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201" w:rsidRPr="002D35D5" w:rsidRDefault="00507209" w:rsidP="0012515D">
      <w:pPr>
        <w:pStyle w:val="Heading3"/>
        <w:tabs>
          <w:tab w:val="left" w:pos="0"/>
        </w:tabs>
        <w:ind w:right="1"/>
        <w:jc w:val="both"/>
        <w:rPr>
          <w:rFonts w:ascii="Tahoma" w:eastAsia="Arial Unicode MS" w:hAnsi="Tahoma" w:cs="Tahoma"/>
          <w:szCs w:val="24"/>
        </w:rPr>
      </w:pPr>
      <w:bookmarkStart w:id="0" w:name="_GoBack"/>
      <w:bookmarkEnd w:id="0"/>
      <w:r w:rsidRPr="002D35D5">
        <w:rPr>
          <w:rFonts w:ascii="Tahoma" w:hAnsi="Tahoma" w:cs="Tahoma"/>
          <w:szCs w:val="24"/>
        </w:rPr>
        <w:t>Report of the Chief Constable</w:t>
      </w:r>
      <w:r w:rsidR="00E87ED4" w:rsidRPr="002D35D5">
        <w:rPr>
          <w:rFonts w:ascii="Tahoma" w:hAnsi="Tahoma" w:cs="Tahoma"/>
          <w:szCs w:val="24"/>
        </w:rPr>
        <w:t xml:space="preserve"> </w:t>
      </w:r>
      <w:r w:rsidRPr="002D35D5">
        <w:rPr>
          <w:rFonts w:ascii="Tahoma" w:hAnsi="Tahoma" w:cs="Tahoma"/>
          <w:szCs w:val="24"/>
        </w:rPr>
        <w:t>to the Chair and Members</w:t>
      </w:r>
      <w:r w:rsidR="00B55CCF" w:rsidRPr="002D35D5">
        <w:rPr>
          <w:rFonts w:ascii="Tahoma" w:eastAsia="Arial Unicode MS" w:hAnsi="Tahoma" w:cs="Tahoma"/>
          <w:szCs w:val="24"/>
        </w:rPr>
        <w:t xml:space="preserve"> </w:t>
      </w:r>
      <w:r w:rsidRPr="002D35D5">
        <w:rPr>
          <w:rFonts w:ascii="Tahoma" w:hAnsi="Tahoma" w:cs="Tahoma"/>
          <w:szCs w:val="24"/>
        </w:rPr>
        <w:t xml:space="preserve">of the </w:t>
      </w:r>
      <w:r w:rsidR="004A6AE1" w:rsidRPr="002D35D5">
        <w:rPr>
          <w:rFonts w:ascii="Tahoma" w:hAnsi="Tahoma" w:cs="Tahoma"/>
          <w:szCs w:val="24"/>
        </w:rPr>
        <w:t xml:space="preserve">Audit </w:t>
      </w:r>
      <w:r w:rsidR="00535E44" w:rsidRPr="002D35D5">
        <w:rPr>
          <w:rFonts w:ascii="Tahoma" w:hAnsi="Tahoma" w:cs="Tahoma"/>
          <w:szCs w:val="24"/>
        </w:rPr>
        <w:t>Committee</w:t>
      </w:r>
    </w:p>
    <w:p w:rsidR="00507209" w:rsidRPr="002D35D5" w:rsidRDefault="001C0F1A" w:rsidP="0012515D">
      <w:pPr>
        <w:tabs>
          <w:tab w:val="left" w:pos="993"/>
        </w:tabs>
        <w:ind w:right="880"/>
        <w:jc w:val="both"/>
        <w:rPr>
          <w:rFonts w:ascii="Tahoma" w:hAnsi="Tahoma" w:cs="Tahoma"/>
          <w:b/>
          <w:bCs/>
          <w:sz w:val="24"/>
          <w:szCs w:val="24"/>
        </w:rPr>
      </w:pPr>
      <w:r>
        <w:rPr>
          <w:rFonts w:ascii="Tahoma" w:hAnsi="Tahoma" w:cs="Tahoma"/>
          <w:b/>
          <w:bCs/>
          <w:sz w:val="24"/>
          <w:szCs w:val="24"/>
        </w:rPr>
        <w:t>21</w:t>
      </w:r>
      <w:r w:rsidRPr="001C0F1A">
        <w:rPr>
          <w:rFonts w:ascii="Tahoma" w:hAnsi="Tahoma" w:cs="Tahoma"/>
          <w:b/>
          <w:bCs/>
          <w:sz w:val="24"/>
          <w:szCs w:val="24"/>
          <w:vertAlign w:val="superscript"/>
        </w:rPr>
        <w:t>st</w:t>
      </w:r>
      <w:r>
        <w:rPr>
          <w:rFonts w:ascii="Tahoma" w:hAnsi="Tahoma" w:cs="Tahoma"/>
          <w:b/>
          <w:bCs/>
          <w:sz w:val="24"/>
          <w:szCs w:val="24"/>
        </w:rPr>
        <w:t xml:space="preserve"> September</w:t>
      </w:r>
      <w:r w:rsidR="00831597" w:rsidRPr="002D35D5">
        <w:rPr>
          <w:rFonts w:ascii="Tahoma" w:hAnsi="Tahoma" w:cs="Tahoma"/>
          <w:b/>
          <w:bCs/>
          <w:sz w:val="24"/>
          <w:szCs w:val="24"/>
        </w:rPr>
        <w:t xml:space="preserve"> 201</w:t>
      </w:r>
      <w:r w:rsidR="00D26629" w:rsidRPr="002D35D5">
        <w:rPr>
          <w:rFonts w:ascii="Tahoma" w:hAnsi="Tahoma" w:cs="Tahoma"/>
          <w:b/>
          <w:bCs/>
          <w:sz w:val="24"/>
          <w:szCs w:val="24"/>
        </w:rPr>
        <w:t>7</w:t>
      </w:r>
    </w:p>
    <w:p w:rsidR="00810696" w:rsidRPr="002D35D5" w:rsidRDefault="00810696" w:rsidP="0012515D">
      <w:pPr>
        <w:tabs>
          <w:tab w:val="left" w:pos="993"/>
        </w:tabs>
        <w:ind w:right="880"/>
        <w:jc w:val="both"/>
        <w:rPr>
          <w:rFonts w:ascii="Tahoma" w:hAnsi="Tahoma" w:cs="Tahoma"/>
          <w:b/>
          <w:bCs/>
          <w:sz w:val="24"/>
          <w:szCs w:val="24"/>
        </w:rPr>
      </w:pPr>
    </w:p>
    <w:p w:rsidR="00507209" w:rsidRPr="002D35D5" w:rsidRDefault="0028080E" w:rsidP="0012515D">
      <w:pPr>
        <w:ind w:right="1"/>
        <w:jc w:val="both"/>
        <w:rPr>
          <w:rFonts w:ascii="Tahoma" w:hAnsi="Tahoma" w:cs="Tahoma"/>
          <w:b/>
          <w:sz w:val="24"/>
          <w:szCs w:val="24"/>
        </w:rPr>
      </w:pPr>
      <w:r w:rsidRPr="002D35D5">
        <w:rPr>
          <w:rFonts w:ascii="Tahoma" w:hAnsi="Tahoma" w:cs="Tahoma"/>
          <w:b/>
          <w:sz w:val="24"/>
          <w:szCs w:val="24"/>
        </w:rPr>
        <w:t xml:space="preserve">Executive </w:t>
      </w:r>
      <w:r w:rsidR="00B21C5D" w:rsidRPr="002D35D5">
        <w:rPr>
          <w:rFonts w:ascii="Tahoma" w:hAnsi="Tahoma" w:cs="Tahoma"/>
          <w:b/>
          <w:sz w:val="24"/>
          <w:szCs w:val="24"/>
        </w:rPr>
        <w:t xml:space="preserve">&amp; Presenting </w:t>
      </w:r>
      <w:r w:rsidRPr="002D35D5">
        <w:rPr>
          <w:rFonts w:ascii="Tahoma" w:hAnsi="Tahoma" w:cs="Tahoma"/>
          <w:b/>
          <w:sz w:val="24"/>
          <w:szCs w:val="24"/>
        </w:rPr>
        <w:t>Officer: Mr</w:t>
      </w:r>
      <w:r w:rsidR="002B2B76">
        <w:rPr>
          <w:rFonts w:ascii="Tahoma" w:hAnsi="Tahoma" w:cs="Tahoma"/>
          <w:b/>
          <w:sz w:val="24"/>
          <w:szCs w:val="24"/>
        </w:rPr>
        <w:t>s</w:t>
      </w:r>
      <w:r w:rsidRPr="002D35D5">
        <w:rPr>
          <w:rFonts w:ascii="Tahoma" w:hAnsi="Tahoma" w:cs="Tahoma"/>
          <w:b/>
          <w:sz w:val="24"/>
          <w:szCs w:val="24"/>
        </w:rPr>
        <w:t xml:space="preserve"> </w:t>
      </w:r>
      <w:r w:rsidR="002B2B76">
        <w:rPr>
          <w:rFonts w:ascii="Tahoma" w:hAnsi="Tahoma" w:cs="Tahoma"/>
          <w:b/>
          <w:sz w:val="24"/>
          <w:szCs w:val="24"/>
        </w:rPr>
        <w:t>Joanne Gleeson</w:t>
      </w:r>
      <w:r w:rsidR="00831597" w:rsidRPr="002D35D5">
        <w:rPr>
          <w:rFonts w:ascii="Tahoma" w:hAnsi="Tahoma" w:cs="Tahoma"/>
          <w:b/>
          <w:sz w:val="24"/>
          <w:szCs w:val="24"/>
        </w:rPr>
        <w:t>, Chief Finance Officer</w:t>
      </w:r>
    </w:p>
    <w:p w:rsidR="00507209" w:rsidRPr="002D35D5" w:rsidRDefault="00507209" w:rsidP="0012515D">
      <w:pPr>
        <w:ind w:right="880"/>
        <w:jc w:val="both"/>
        <w:rPr>
          <w:rFonts w:ascii="Tahoma" w:hAnsi="Tahoma" w:cs="Tahoma"/>
          <w:b/>
          <w:sz w:val="24"/>
          <w:szCs w:val="24"/>
        </w:rPr>
      </w:pPr>
    </w:p>
    <w:p w:rsidR="00507209" w:rsidRPr="002D35D5" w:rsidRDefault="00507209" w:rsidP="0012515D">
      <w:pPr>
        <w:ind w:right="880"/>
        <w:jc w:val="both"/>
        <w:rPr>
          <w:rFonts w:ascii="Tahoma" w:hAnsi="Tahoma" w:cs="Tahoma"/>
          <w:b/>
          <w:sz w:val="24"/>
          <w:szCs w:val="24"/>
        </w:rPr>
      </w:pPr>
      <w:r w:rsidRPr="002D35D5">
        <w:rPr>
          <w:rFonts w:ascii="Tahoma" w:hAnsi="Tahoma" w:cs="Tahoma"/>
          <w:b/>
          <w:sz w:val="24"/>
          <w:szCs w:val="24"/>
        </w:rPr>
        <w:t xml:space="preserve">Status: For </w:t>
      </w:r>
      <w:r w:rsidR="00B21C5D" w:rsidRPr="002D35D5">
        <w:rPr>
          <w:rFonts w:ascii="Tahoma" w:hAnsi="Tahoma" w:cs="Tahoma"/>
          <w:b/>
          <w:sz w:val="24"/>
          <w:szCs w:val="24"/>
        </w:rPr>
        <w:t>Information</w:t>
      </w:r>
    </w:p>
    <w:p w:rsidR="00EB0584" w:rsidRPr="002D35D5" w:rsidRDefault="00EB0584" w:rsidP="0012515D">
      <w:pPr>
        <w:jc w:val="both"/>
        <w:rPr>
          <w:rFonts w:ascii="Tahoma" w:hAnsi="Tahoma" w:cs="Tahoma"/>
          <w:sz w:val="24"/>
          <w:szCs w:val="24"/>
        </w:rPr>
      </w:pPr>
    </w:p>
    <w:p w:rsidR="00507209" w:rsidRPr="002D35D5" w:rsidRDefault="00B44F60" w:rsidP="0012515D">
      <w:pPr>
        <w:ind w:right="1"/>
        <w:jc w:val="both"/>
        <w:rPr>
          <w:rFonts w:ascii="Tahoma" w:hAnsi="Tahoma" w:cs="Tahoma"/>
          <w:b/>
          <w:bCs/>
          <w:sz w:val="28"/>
          <w:szCs w:val="28"/>
        </w:rPr>
      </w:pPr>
      <w:r w:rsidRPr="002D35D5">
        <w:rPr>
          <w:rFonts w:ascii="Tahoma" w:hAnsi="Tahoma" w:cs="Tahoma"/>
          <w:b/>
          <w:bCs/>
          <w:sz w:val="28"/>
          <w:szCs w:val="28"/>
        </w:rPr>
        <w:t xml:space="preserve">Contract </w:t>
      </w:r>
      <w:r w:rsidR="007B3FA0" w:rsidRPr="002D35D5">
        <w:rPr>
          <w:rFonts w:ascii="Tahoma" w:hAnsi="Tahoma" w:cs="Tahoma"/>
          <w:b/>
          <w:bCs/>
          <w:sz w:val="28"/>
          <w:szCs w:val="28"/>
        </w:rPr>
        <w:t>Standing Order</w:t>
      </w:r>
      <w:r w:rsidR="00B55CCF" w:rsidRPr="002D35D5">
        <w:rPr>
          <w:rFonts w:ascii="Tahoma" w:hAnsi="Tahoma" w:cs="Tahoma"/>
          <w:b/>
          <w:bCs/>
          <w:sz w:val="28"/>
          <w:szCs w:val="28"/>
        </w:rPr>
        <w:t xml:space="preserve"> </w:t>
      </w:r>
      <w:r w:rsidR="00BE112F">
        <w:rPr>
          <w:rFonts w:ascii="Tahoma" w:hAnsi="Tahoma" w:cs="Tahoma"/>
          <w:b/>
          <w:bCs/>
          <w:sz w:val="28"/>
          <w:szCs w:val="28"/>
        </w:rPr>
        <w:t>10</w:t>
      </w:r>
      <w:r w:rsidR="00560FBC" w:rsidRPr="002D35D5">
        <w:rPr>
          <w:rFonts w:ascii="Tahoma" w:hAnsi="Tahoma" w:cs="Tahoma"/>
          <w:b/>
          <w:bCs/>
          <w:sz w:val="28"/>
          <w:szCs w:val="28"/>
        </w:rPr>
        <w:t xml:space="preserve"> </w:t>
      </w:r>
      <w:r w:rsidR="0036192D" w:rsidRPr="002D35D5">
        <w:rPr>
          <w:rFonts w:ascii="Tahoma" w:hAnsi="Tahoma" w:cs="Tahoma"/>
          <w:b/>
          <w:bCs/>
          <w:sz w:val="28"/>
          <w:szCs w:val="28"/>
        </w:rPr>
        <w:t>–</w:t>
      </w:r>
      <w:r w:rsidR="00B21C5D" w:rsidRPr="002D35D5">
        <w:rPr>
          <w:rFonts w:ascii="Tahoma" w:hAnsi="Tahoma" w:cs="Tahoma"/>
          <w:b/>
          <w:bCs/>
          <w:sz w:val="28"/>
          <w:szCs w:val="28"/>
        </w:rPr>
        <w:t xml:space="preserve"> </w:t>
      </w:r>
      <w:r w:rsidR="0036192D" w:rsidRPr="002D35D5">
        <w:rPr>
          <w:rFonts w:ascii="Tahoma" w:hAnsi="Tahoma" w:cs="Tahoma"/>
          <w:b/>
          <w:bCs/>
          <w:sz w:val="28"/>
          <w:szCs w:val="28"/>
        </w:rPr>
        <w:t>Exceptional Situations</w:t>
      </w:r>
      <w:r w:rsidR="001C6032" w:rsidRPr="002D35D5">
        <w:rPr>
          <w:rFonts w:ascii="Tahoma" w:hAnsi="Tahoma" w:cs="Tahoma"/>
          <w:b/>
          <w:bCs/>
          <w:sz w:val="28"/>
          <w:szCs w:val="28"/>
        </w:rPr>
        <w:t xml:space="preserve"> </w:t>
      </w:r>
    </w:p>
    <w:p w:rsidR="00474511" w:rsidRPr="002D35D5" w:rsidRDefault="00474511" w:rsidP="0012515D">
      <w:pPr>
        <w:ind w:right="880"/>
        <w:jc w:val="both"/>
        <w:rPr>
          <w:rFonts w:ascii="Tahoma" w:hAnsi="Tahoma" w:cs="Tahoma"/>
          <w:bCs/>
          <w:sz w:val="24"/>
          <w:szCs w:val="24"/>
        </w:rPr>
      </w:pPr>
    </w:p>
    <w:p w:rsidR="00474511" w:rsidRPr="002D35D5" w:rsidRDefault="00474511" w:rsidP="0012515D">
      <w:pPr>
        <w:ind w:right="880"/>
        <w:jc w:val="both"/>
        <w:rPr>
          <w:rFonts w:ascii="Tahoma" w:hAnsi="Tahoma" w:cs="Tahoma"/>
          <w:sz w:val="24"/>
          <w:szCs w:val="24"/>
        </w:rPr>
      </w:pPr>
    </w:p>
    <w:p w:rsidR="00507209" w:rsidRPr="002D35D5" w:rsidRDefault="00507209" w:rsidP="0012515D">
      <w:pPr>
        <w:pStyle w:val="BodyText"/>
        <w:tabs>
          <w:tab w:val="left" w:pos="709"/>
        </w:tabs>
        <w:jc w:val="both"/>
        <w:rPr>
          <w:rFonts w:ascii="Tahoma" w:hAnsi="Tahoma" w:cs="Tahoma"/>
          <w:b/>
          <w:bCs/>
          <w:szCs w:val="24"/>
        </w:rPr>
      </w:pPr>
      <w:r w:rsidRPr="002D35D5">
        <w:rPr>
          <w:rFonts w:ascii="Tahoma" w:hAnsi="Tahoma" w:cs="Tahoma"/>
          <w:b/>
          <w:bCs/>
          <w:szCs w:val="24"/>
        </w:rPr>
        <w:t>1</w:t>
      </w:r>
      <w:r w:rsidR="00B21C5D" w:rsidRPr="002D35D5">
        <w:rPr>
          <w:rFonts w:ascii="Tahoma" w:hAnsi="Tahoma" w:cs="Tahoma"/>
          <w:b/>
          <w:bCs/>
          <w:szCs w:val="24"/>
        </w:rPr>
        <w:t>.</w:t>
      </w:r>
      <w:r w:rsidRPr="002D35D5">
        <w:rPr>
          <w:rFonts w:ascii="Tahoma" w:hAnsi="Tahoma" w:cs="Tahoma"/>
          <w:b/>
          <w:bCs/>
          <w:szCs w:val="24"/>
        </w:rPr>
        <w:tab/>
        <w:t>Purpose</w:t>
      </w:r>
      <w:r w:rsidRPr="002D35D5">
        <w:rPr>
          <w:rFonts w:ascii="Tahoma" w:hAnsi="Tahoma" w:cs="Tahoma"/>
          <w:b/>
          <w:bCs/>
          <w:szCs w:val="24"/>
        </w:rPr>
        <w:br/>
      </w:r>
    </w:p>
    <w:p w:rsidR="00D941D0" w:rsidRPr="002D35D5" w:rsidRDefault="00D941D0" w:rsidP="0012515D">
      <w:pPr>
        <w:pStyle w:val="BodyTextIndent"/>
        <w:jc w:val="both"/>
        <w:rPr>
          <w:szCs w:val="24"/>
        </w:rPr>
      </w:pPr>
      <w:r w:rsidRPr="002D35D5">
        <w:rPr>
          <w:szCs w:val="24"/>
        </w:rPr>
        <w:t>1.1</w:t>
      </w:r>
      <w:r w:rsidRPr="002D35D5">
        <w:rPr>
          <w:szCs w:val="24"/>
        </w:rPr>
        <w:tab/>
      </w:r>
      <w:r w:rsidR="009C70F0" w:rsidRPr="002D35D5">
        <w:rPr>
          <w:szCs w:val="24"/>
        </w:rPr>
        <w:t>Contract standing orders were revised on 22</w:t>
      </w:r>
      <w:r w:rsidR="009C70F0" w:rsidRPr="002D35D5">
        <w:rPr>
          <w:szCs w:val="24"/>
          <w:vertAlign w:val="superscript"/>
        </w:rPr>
        <w:t>nd</w:t>
      </w:r>
      <w:r w:rsidR="009C70F0" w:rsidRPr="002D35D5">
        <w:rPr>
          <w:szCs w:val="24"/>
        </w:rPr>
        <w:t xml:space="preserve"> November 2012 following the introduction of the Police &amp; Crime Commissioner. Members will recall that an update of the Contract Standing Orders was agreed at the June 201</w:t>
      </w:r>
      <w:r w:rsidR="001D4964" w:rsidRPr="002D35D5">
        <w:rPr>
          <w:szCs w:val="24"/>
        </w:rPr>
        <w:t>6</w:t>
      </w:r>
      <w:r w:rsidR="009C70F0" w:rsidRPr="002D35D5">
        <w:rPr>
          <w:szCs w:val="24"/>
        </w:rPr>
        <w:t xml:space="preserve"> meeting of the Audit Committee. Contract Standing Orders state that “Utilisat</w:t>
      </w:r>
      <w:r w:rsidR="00BE112F">
        <w:rPr>
          <w:szCs w:val="24"/>
        </w:rPr>
        <w:t>ion of Contract Standing Order 10</w:t>
      </w:r>
      <w:r w:rsidR="009C70F0" w:rsidRPr="002D35D5">
        <w:rPr>
          <w:szCs w:val="24"/>
        </w:rPr>
        <w:t xml:space="preserve"> or failure to follow contract standing orders shall be reported </w:t>
      </w:r>
      <w:r w:rsidR="009C70F0" w:rsidRPr="002D35D5">
        <w:t xml:space="preserve">by the CFO of the CC </w:t>
      </w:r>
      <w:r w:rsidR="009C70F0" w:rsidRPr="002D35D5">
        <w:rPr>
          <w:szCs w:val="24"/>
        </w:rPr>
        <w:t>to the Audit Committee”.</w:t>
      </w:r>
    </w:p>
    <w:p w:rsidR="00D941D0" w:rsidRPr="002D35D5" w:rsidRDefault="00D941D0" w:rsidP="0012515D">
      <w:pPr>
        <w:pStyle w:val="BodyTextIndent"/>
        <w:ind w:left="0" w:firstLine="0"/>
        <w:jc w:val="both"/>
        <w:rPr>
          <w:szCs w:val="24"/>
        </w:rPr>
      </w:pPr>
    </w:p>
    <w:p w:rsidR="006D1B9A" w:rsidRPr="002D35D5" w:rsidRDefault="00C613BD" w:rsidP="0012515D">
      <w:pPr>
        <w:numPr>
          <w:ilvl w:val="1"/>
          <w:numId w:val="10"/>
        </w:numPr>
        <w:jc w:val="both"/>
        <w:rPr>
          <w:rFonts w:ascii="Tahoma" w:hAnsi="Tahoma" w:cs="Tahoma"/>
          <w:sz w:val="24"/>
          <w:szCs w:val="24"/>
        </w:rPr>
      </w:pPr>
      <w:r w:rsidRPr="002D35D5">
        <w:rPr>
          <w:rFonts w:ascii="Tahoma" w:hAnsi="Tahoma" w:cs="Tahoma"/>
          <w:sz w:val="24"/>
          <w:szCs w:val="24"/>
        </w:rPr>
        <w:t>The purpose of this report is to advise the Audit Committee on the use of Contract Standin</w:t>
      </w:r>
      <w:r w:rsidR="00A642D9" w:rsidRPr="002D35D5">
        <w:rPr>
          <w:rFonts w:ascii="Tahoma" w:hAnsi="Tahoma" w:cs="Tahoma"/>
          <w:sz w:val="24"/>
          <w:szCs w:val="24"/>
        </w:rPr>
        <w:t xml:space="preserve">g Order </w:t>
      </w:r>
      <w:r w:rsidR="00BE112F">
        <w:rPr>
          <w:rFonts w:ascii="Tahoma" w:hAnsi="Tahoma" w:cs="Tahoma"/>
          <w:sz w:val="24"/>
          <w:szCs w:val="24"/>
        </w:rPr>
        <w:t>10</w:t>
      </w:r>
      <w:r w:rsidR="00A642D9" w:rsidRPr="002D35D5">
        <w:rPr>
          <w:rFonts w:ascii="Tahoma" w:hAnsi="Tahoma" w:cs="Tahoma"/>
          <w:sz w:val="24"/>
          <w:szCs w:val="24"/>
        </w:rPr>
        <w:t xml:space="preserve"> during the period </w:t>
      </w:r>
      <w:r w:rsidR="001C0F1A">
        <w:rPr>
          <w:rFonts w:ascii="Tahoma" w:hAnsi="Tahoma" w:cs="Tahoma"/>
          <w:sz w:val="24"/>
          <w:szCs w:val="24"/>
        </w:rPr>
        <w:t xml:space="preserve">March </w:t>
      </w:r>
      <w:r w:rsidR="00831597" w:rsidRPr="002D35D5">
        <w:rPr>
          <w:rFonts w:ascii="Tahoma" w:hAnsi="Tahoma" w:cs="Tahoma"/>
          <w:sz w:val="24"/>
          <w:szCs w:val="24"/>
        </w:rPr>
        <w:t>201</w:t>
      </w:r>
      <w:r w:rsidR="001C0F1A">
        <w:rPr>
          <w:rFonts w:ascii="Tahoma" w:hAnsi="Tahoma" w:cs="Tahoma"/>
          <w:sz w:val="24"/>
          <w:szCs w:val="24"/>
        </w:rPr>
        <w:t>7</w:t>
      </w:r>
      <w:r w:rsidRPr="002D35D5">
        <w:rPr>
          <w:rFonts w:ascii="Tahoma" w:hAnsi="Tahoma" w:cs="Tahoma"/>
          <w:sz w:val="24"/>
          <w:szCs w:val="24"/>
        </w:rPr>
        <w:t xml:space="preserve"> to </w:t>
      </w:r>
      <w:r w:rsidR="001C0F1A">
        <w:rPr>
          <w:rFonts w:ascii="Tahoma" w:hAnsi="Tahoma" w:cs="Tahoma"/>
          <w:sz w:val="24"/>
          <w:szCs w:val="24"/>
        </w:rPr>
        <w:t>August</w:t>
      </w:r>
      <w:r w:rsidR="00831597" w:rsidRPr="002D35D5">
        <w:rPr>
          <w:rFonts w:ascii="Tahoma" w:hAnsi="Tahoma" w:cs="Tahoma"/>
          <w:sz w:val="24"/>
          <w:szCs w:val="24"/>
        </w:rPr>
        <w:t xml:space="preserve"> </w:t>
      </w:r>
      <w:r w:rsidRPr="002D35D5">
        <w:rPr>
          <w:rFonts w:ascii="Tahoma" w:hAnsi="Tahoma" w:cs="Tahoma"/>
          <w:sz w:val="24"/>
          <w:szCs w:val="24"/>
        </w:rPr>
        <w:t>201</w:t>
      </w:r>
      <w:r w:rsidR="00D26629" w:rsidRPr="002D35D5">
        <w:rPr>
          <w:rFonts w:ascii="Tahoma" w:hAnsi="Tahoma" w:cs="Tahoma"/>
          <w:sz w:val="24"/>
          <w:szCs w:val="24"/>
        </w:rPr>
        <w:t>7</w:t>
      </w:r>
      <w:r w:rsidRPr="002D35D5">
        <w:rPr>
          <w:rFonts w:ascii="Tahoma" w:hAnsi="Tahoma" w:cs="Tahoma"/>
          <w:sz w:val="24"/>
          <w:szCs w:val="24"/>
        </w:rPr>
        <w:t>.</w:t>
      </w:r>
    </w:p>
    <w:p w:rsidR="00831597" w:rsidRPr="002D35D5" w:rsidRDefault="00831597" w:rsidP="0012515D">
      <w:pPr>
        <w:jc w:val="both"/>
        <w:rPr>
          <w:rFonts w:ascii="Tahoma" w:hAnsi="Tahoma" w:cs="Tahoma"/>
          <w:sz w:val="24"/>
          <w:szCs w:val="24"/>
        </w:rPr>
      </w:pPr>
    </w:p>
    <w:p w:rsidR="00507209" w:rsidRPr="002D35D5" w:rsidRDefault="00507209" w:rsidP="004D327E">
      <w:pPr>
        <w:pStyle w:val="BodyText"/>
        <w:numPr>
          <w:ilvl w:val="0"/>
          <w:numId w:val="4"/>
        </w:numPr>
        <w:tabs>
          <w:tab w:val="clear" w:pos="360"/>
        </w:tabs>
        <w:ind w:left="709" w:hanging="709"/>
        <w:jc w:val="both"/>
        <w:rPr>
          <w:rFonts w:ascii="Tahoma" w:hAnsi="Tahoma" w:cs="Tahoma"/>
          <w:b/>
          <w:bCs/>
          <w:szCs w:val="24"/>
        </w:rPr>
      </w:pPr>
      <w:r w:rsidRPr="002D35D5">
        <w:rPr>
          <w:rFonts w:ascii="Tahoma" w:hAnsi="Tahoma" w:cs="Tahoma"/>
          <w:b/>
          <w:bCs/>
          <w:szCs w:val="24"/>
        </w:rPr>
        <w:t>Recommendations</w:t>
      </w:r>
    </w:p>
    <w:p w:rsidR="00507209" w:rsidRPr="002D35D5" w:rsidRDefault="00507209" w:rsidP="0012515D">
      <w:pPr>
        <w:pStyle w:val="BodyText"/>
        <w:jc w:val="both"/>
        <w:rPr>
          <w:rFonts w:ascii="Tahoma" w:hAnsi="Tahoma" w:cs="Tahoma"/>
          <w:szCs w:val="24"/>
        </w:rPr>
      </w:pPr>
    </w:p>
    <w:p w:rsidR="0033176A" w:rsidRPr="002D35D5" w:rsidRDefault="0033176A" w:rsidP="0012515D">
      <w:pPr>
        <w:pStyle w:val="BodyTextIndent2"/>
        <w:numPr>
          <w:ilvl w:val="1"/>
          <w:numId w:val="3"/>
        </w:numPr>
        <w:jc w:val="both"/>
        <w:rPr>
          <w:szCs w:val="24"/>
        </w:rPr>
      </w:pPr>
      <w:r w:rsidRPr="002D35D5">
        <w:rPr>
          <w:szCs w:val="24"/>
        </w:rPr>
        <w:t xml:space="preserve">It is recommended that </w:t>
      </w:r>
      <w:r w:rsidR="00535E44" w:rsidRPr="002D35D5">
        <w:rPr>
          <w:szCs w:val="24"/>
        </w:rPr>
        <w:t xml:space="preserve">the </w:t>
      </w:r>
      <w:r w:rsidR="00B55CCF" w:rsidRPr="002D35D5">
        <w:rPr>
          <w:szCs w:val="24"/>
        </w:rPr>
        <w:t xml:space="preserve">Audit </w:t>
      </w:r>
      <w:r w:rsidR="00535E44" w:rsidRPr="002D35D5">
        <w:rPr>
          <w:szCs w:val="24"/>
        </w:rPr>
        <w:t>Committee</w:t>
      </w:r>
      <w:r w:rsidR="00B55CCF" w:rsidRPr="002D35D5">
        <w:rPr>
          <w:szCs w:val="24"/>
        </w:rPr>
        <w:t xml:space="preserve"> note the exceptional situations detailed in Appendix 1</w:t>
      </w:r>
      <w:r w:rsidRPr="002D35D5">
        <w:rPr>
          <w:szCs w:val="24"/>
        </w:rPr>
        <w:t xml:space="preserve">.  </w:t>
      </w:r>
    </w:p>
    <w:p w:rsidR="00831597" w:rsidRPr="002D35D5" w:rsidRDefault="00831597" w:rsidP="0012515D">
      <w:pPr>
        <w:pStyle w:val="BodyTextIndent2"/>
        <w:ind w:left="0" w:firstLine="0"/>
        <w:jc w:val="both"/>
        <w:rPr>
          <w:szCs w:val="24"/>
        </w:rPr>
      </w:pPr>
    </w:p>
    <w:p w:rsidR="00507209" w:rsidRPr="002D35D5" w:rsidRDefault="00B55CCF" w:rsidP="004D327E">
      <w:pPr>
        <w:pStyle w:val="BodyText"/>
        <w:numPr>
          <w:ilvl w:val="0"/>
          <w:numId w:val="4"/>
        </w:numPr>
        <w:tabs>
          <w:tab w:val="clear" w:pos="360"/>
        </w:tabs>
        <w:ind w:left="709" w:hanging="709"/>
        <w:jc w:val="both"/>
        <w:rPr>
          <w:rFonts w:ascii="Tahoma" w:hAnsi="Tahoma" w:cs="Tahoma"/>
          <w:b/>
          <w:bCs/>
          <w:szCs w:val="24"/>
        </w:rPr>
      </w:pPr>
      <w:r w:rsidRPr="002D35D5">
        <w:rPr>
          <w:rFonts w:ascii="Tahoma" w:hAnsi="Tahoma" w:cs="Tahoma"/>
          <w:b/>
          <w:bCs/>
          <w:szCs w:val="24"/>
        </w:rPr>
        <w:t>Background</w:t>
      </w:r>
    </w:p>
    <w:p w:rsidR="00507209" w:rsidRPr="002D35D5" w:rsidRDefault="00507209" w:rsidP="0012515D">
      <w:pPr>
        <w:pStyle w:val="BodyText"/>
        <w:ind w:left="360"/>
        <w:jc w:val="both"/>
        <w:rPr>
          <w:rFonts w:ascii="Tahoma" w:hAnsi="Tahoma" w:cs="Tahoma"/>
          <w:szCs w:val="24"/>
        </w:rPr>
      </w:pPr>
    </w:p>
    <w:p w:rsidR="00C613BD" w:rsidRPr="002D35D5" w:rsidRDefault="00C613BD" w:rsidP="0012515D">
      <w:pPr>
        <w:numPr>
          <w:ilvl w:val="1"/>
          <w:numId w:val="2"/>
        </w:numPr>
        <w:jc w:val="both"/>
        <w:rPr>
          <w:rFonts w:ascii="Tahoma" w:hAnsi="Tahoma" w:cs="Tahoma"/>
          <w:sz w:val="24"/>
          <w:szCs w:val="24"/>
        </w:rPr>
      </w:pPr>
      <w:r w:rsidRPr="002D35D5">
        <w:rPr>
          <w:rFonts w:ascii="Tahoma" w:hAnsi="Tahoma" w:cs="Tahoma"/>
          <w:sz w:val="24"/>
          <w:szCs w:val="24"/>
        </w:rPr>
        <w:t>Contract Standing Orders reflect both the policies of the Office of the Police &amp; Crime Commissioner for Cleveland and the requirements of current legislation. Their purpose is to provide help and guidance to all members of staff who are involved in supplier negotiations for the provision of goods and services. They are mandatory and as such must be complied with at all times.</w:t>
      </w:r>
    </w:p>
    <w:p w:rsidR="00C613BD" w:rsidRPr="002D35D5" w:rsidRDefault="00C613BD" w:rsidP="0012515D">
      <w:pPr>
        <w:jc w:val="both"/>
        <w:rPr>
          <w:rFonts w:ascii="Tahoma" w:hAnsi="Tahoma" w:cs="Tahoma"/>
          <w:sz w:val="24"/>
          <w:szCs w:val="24"/>
        </w:rPr>
      </w:pPr>
    </w:p>
    <w:p w:rsidR="00674FD9" w:rsidRPr="002D35D5" w:rsidRDefault="00C43B46" w:rsidP="0012515D">
      <w:pPr>
        <w:numPr>
          <w:ilvl w:val="1"/>
          <w:numId w:val="2"/>
        </w:numPr>
        <w:jc w:val="both"/>
        <w:rPr>
          <w:rFonts w:ascii="Tahoma" w:hAnsi="Tahoma" w:cs="Tahoma"/>
          <w:sz w:val="24"/>
          <w:szCs w:val="24"/>
        </w:rPr>
      </w:pPr>
      <w:r w:rsidRPr="002D35D5">
        <w:rPr>
          <w:rFonts w:ascii="Tahoma" w:hAnsi="Tahoma" w:cs="Tahoma"/>
          <w:sz w:val="24"/>
          <w:szCs w:val="24"/>
        </w:rPr>
        <w:t>Contract Standing Orders regulate the arrangements and procedures for acquiring goods and services. There is an underlying requirement that where such an acquisition is amenable to competitive tender that this mechanism</w:t>
      </w:r>
      <w:r w:rsidR="0033176A" w:rsidRPr="002D35D5">
        <w:rPr>
          <w:rFonts w:ascii="Tahoma" w:hAnsi="Tahoma" w:cs="Tahoma"/>
          <w:sz w:val="24"/>
          <w:szCs w:val="24"/>
        </w:rPr>
        <w:t xml:space="preserve"> </w:t>
      </w:r>
      <w:r w:rsidRPr="002D35D5">
        <w:rPr>
          <w:rFonts w:ascii="Tahoma" w:hAnsi="Tahoma" w:cs="Tahoma"/>
          <w:sz w:val="24"/>
          <w:szCs w:val="24"/>
        </w:rPr>
        <w:t>should be</w:t>
      </w:r>
      <w:r w:rsidR="00674FD9" w:rsidRPr="002D35D5">
        <w:rPr>
          <w:rFonts w:ascii="Tahoma" w:hAnsi="Tahoma" w:cs="Tahoma"/>
          <w:sz w:val="24"/>
          <w:szCs w:val="24"/>
        </w:rPr>
        <w:t xml:space="preserve"> </w:t>
      </w:r>
      <w:r w:rsidRPr="002D35D5">
        <w:rPr>
          <w:rFonts w:ascii="Tahoma" w:hAnsi="Tahoma" w:cs="Tahoma"/>
          <w:sz w:val="24"/>
          <w:szCs w:val="24"/>
        </w:rPr>
        <w:t xml:space="preserve">employed. This requirement is modified in practice </w:t>
      </w:r>
      <w:r w:rsidR="00500B1E" w:rsidRPr="002D35D5">
        <w:rPr>
          <w:rFonts w:ascii="Tahoma" w:hAnsi="Tahoma" w:cs="Tahoma"/>
          <w:sz w:val="24"/>
          <w:szCs w:val="24"/>
        </w:rPr>
        <w:t xml:space="preserve">when </w:t>
      </w:r>
      <w:r w:rsidR="00AF1E13" w:rsidRPr="002D35D5">
        <w:rPr>
          <w:rFonts w:ascii="Tahoma" w:hAnsi="Tahoma" w:cs="Tahoma"/>
          <w:sz w:val="24"/>
          <w:szCs w:val="24"/>
        </w:rPr>
        <w:t>competitive</w:t>
      </w:r>
      <w:r w:rsidRPr="002D35D5">
        <w:rPr>
          <w:rFonts w:ascii="Tahoma" w:hAnsi="Tahoma" w:cs="Tahoma"/>
          <w:sz w:val="24"/>
          <w:szCs w:val="24"/>
        </w:rPr>
        <w:t xml:space="preserve"> tendering is not considered either efficient or practical.</w:t>
      </w:r>
    </w:p>
    <w:p w:rsidR="00674FD9" w:rsidRPr="002D35D5" w:rsidRDefault="00674FD9" w:rsidP="0012515D">
      <w:pPr>
        <w:numPr>
          <w:ilvl w:val="1"/>
          <w:numId w:val="2"/>
        </w:numPr>
        <w:jc w:val="both"/>
        <w:rPr>
          <w:rFonts w:ascii="Tahoma" w:hAnsi="Tahoma" w:cs="Tahoma"/>
          <w:sz w:val="24"/>
          <w:szCs w:val="24"/>
        </w:rPr>
        <w:sectPr w:rsidR="00674FD9" w:rsidRPr="002D35D5" w:rsidSect="00535E44">
          <w:headerReference w:type="default" r:id="rId9"/>
          <w:footerReference w:type="even" r:id="rId10"/>
          <w:footerReference w:type="default" r:id="rId11"/>
          <w:pgSz w:w="11909" w:h="16834" w:code="9"/>
          <w:pgMar w:top="1134" w:right="1134" w:bottom="1134" w:left="1134" w:header="709" w:footer="709" w:gutter="0"/>
          <w:paperSrc w:first="15" w:other="15"/>
          <w:cols w:space="720"/>
          <w:formProt w:val="0"/>
        </w:sectPr>
      </w:pPr>
    </w:p>
    <w:p w:rsidR="009B782C" w:rsidRPr="002D35D5" w:rsidRDefault="009A2DC8" w:rsidP="0012515D">
      <w:pPr>
        <w:ind w:left="709" w:hanging="709"/>
        <w:jc w:val="both"/>
        <w:rPr>
          <w:rFonts w:ascii="Tahoma" w:hAnsi="Tahoma" w:cs="Tahoma"/>
          <w:sz w:val="24"/>
          <w:szCs w:val="24"/>
        </w:rPr>
      </w:pPr>
      <w:r w:rsidRPr="002D35D5">
        <w:rPr>
          <w:rFonts w:ascii="Tahoma" w:hAnsi="Tahoma" w:cs="Tahoma"/>
          <w:sz w:val="24"/>
          <w:szCs w:val="24"/>
        </w:rPr>
        <w:lastRenderedPageBreak/>
        <w:t>3.3</w:t>
      </w:r>
      <w:r w:rsidRPr="002D35D5">
        <w:rPr>
          <w:rFonts w:ascii="Tahoma" w:hAnsi="Tahoma" w:cs="Tahoma"/>
          <w:sz w:val="24"/>
          <w:szCs w:val="24"/>
        </w:rPr>
        <w:tab/>
        <w:t>Furthermore there are classes of goods and services which are not amenable to competitive tendering, examples of these would be property rental, water supply and contributions to national bodies supplying services to police forces either</w:t>
      </w:r>
      <w:r w:rsidR="00A642D9" w:rsidRPr="002D35D5">
        <w:rPr>
          <w:rFonts w:ascii="Tahoma" w:hAnsi="Tahoma" w:cs="Tahoma"/>
          <w:sz w:val="24"/>
          <w:szCs w:val="24"/>
        </w:rPr>
        <w:t xml:space="preserve"> </w:t>
      </w:r>
      <w:r w:rsidR="009B782C" w:rsidRPr="002D35D5">
        <w:rPr>
          <w:rFonts w:ascii="Tahoma" w:hAnsi="Tahoma" w:cs="Tahoma"/>
          <w:sz w:val="24"/>
          <w:szCs w:val="24"/>
        </w:rPr>
        <w:t xml:space="preserve">individually or as a “community of interest”. </w:t>
      </w:r>
    </w:p>
    <w:p w:rsidR="009B782C" w:rsidRPr="002D35D5" w:rsidRDefault="009B782C" w:rsidP="0012515D">
      <w:pPr>
        <w:jc w:val="both"/>
        <w:rPr>
          <w:rFonts w:ascii="Tahoma" w:hAnsi="Tahoma" w:cs="Tahoma"/>
          <w:sz w:val="24"/>
          <w:szCs w:val="24"/>
        </w:rPr>
      </w:pPr>
    </w:p>
    <w:p w:rsidR="0036192D" w:rsidRPr="002D35D5" w:rsidRDefault="00BE112F" w:rsidP="0012515D">
      <w:pPr>
        <w:numPr>
          <w:ilvl w:val="1"/>
          <w:numId w:val="11"/>
        </w:numPr>
        <w:jc w:val="both"/>
        <w:rPr>
          <w:rFonts w:ascii="Tahoma" w:hAnsi="Tahoma" w:cs="Tahoma"/>
          <w:sz w:val="24"/>
          <w:szCs w:val="24"/>
        </w:rPr>
      </w:pPr>
      <w:r>
        <w:rPr>
          <w:rFonts w:ascii="Tahoma" w:hAnsi="Tahoma" w:cs="Tahoma"/>
          <w:sz w:val="24"/>
          <w:szCs w:val="24"/>
        </w:rPr>
        <w:t>Contract Standing Order 10</w:t>
      </w:r>
      <w:r w:rsidR="0036192D" w:rsidRPr="002D35D5">
        <w:rPr>
          <w:rFonts w:ascii="Tahoma" w:hAnsi="Tahoma" w:cs="Tahoma"/>
          <w:sz w:val="24"/>
          <w:szCs w:val="24"/>
        </w:rPr>
        <w:t xml:space="preserve"> states that “Exceptional situations are those created by external actions and events over which the Force has no control but has an obligation to respond.”</w:t>
      </w:r>
    </w:p>
    <w:p w:rsidR="0036192D" w:rsidRPr="002D35D5" w:rsidRDefault="0036192D" w:rsidP="0012515D">
      <w:pPr>
        <w:jc w:val="both"/>
        <w:rPr>
          <w:rFonts w:ascii="Tahoma" w:hAnsi="Tahoma" w:cs="Tahoma"/>
          <w:sz w:val="24"/>
          <w:szCs w:val="24"/>
        </w:rPr>
      </w:pPr>
    </w:p>
    <w:p w:rsidR="004D1B42" w:rsidRPr="002D35D5" w:rsidRDefault="00AF1E13" w:rsidP="0012515D">
      <w:pPr>
        <w:numPr>
          <w:ilvl w:val="1"/>
          <w:numId w:val="11"/>
        </w:numPr>
        <w:jc w:val="both"/>
        <w:rPr>
          <w:rFonts w:ascii="Tahoma" w:hAnsi="Tahoma" w:cs="Tahoma"/>
          <w:sz w:val="24"/>
          <w:szCs w:val="24"/>
        </w:rPr>
      </w:pPr>
      <w:r w:rsidRPr="002D35D5">
        <w:rPr>
          <w:rFonts w:ascii="Tahoma" w:hAnsi="Tahoma" w:cs="Tahoma"/>
          <w:sz w:val="24"/>
          <w:szCs w:val="24"/>
        </w:rPr>
        <w:t xml:space="preserve">In compliance with Contract Standing Orders it </w:t>
      </w:r>
      <w:r w:rsidR="00B55CCF" w:rsidRPr="002D35D5">
        <w:rPr>
          <w:rFonts w:ascii="Tahoma" w:hAnsi="Tahoma" w:cs="Tahoma"/>
          <w:sz w:val="24"/>
          <w:szCs w:val="24"/>
        </w:rPr>
        <w:t>is</w:t>
      </w:r>
      <w:r w:rsidRPr="002D35D5">
        <w:rPr>
          <w:rFonts w:ascii="Tahoma" w:hAnsi="Tahoma" w:cs="Tahoma"/>
          <w:sz w:val="24"/>
          <w:szCs w:val="24"/>
        </w:rPr>
        <w:t xml:space="preserve"> the practice to report </w:t>
      </w:r>
      <w:r w:rsidR="009C70F0" w:rsidRPr="002D35D5">
        <w:rPr>
          <w:rFonts w:ascii="Tahoma" w:hAnsi="Tahoma" w:cs="Tahoma"/>
          <w:sz w:val="24"/>
          <w:szCs w:val="24"/>
        </w:rPr>
        <w:t>on a six monthly basis</w:t>
      </w:r>
      <w:r w:rsidRPr="002D35D5">
        <w:rPr>
          <w:rFonts w:ascii="Tahoma" w:hAnsi="Tahoma" w:cs="Tahoma"/>
          <w:sz w:val="24"/>
          <w:szCs w:val="24"/>
        </w:rPr>
        <w:t xml:space="preserve"> </w:t>
      </w:r>
      <w:r w:rsidR="00507209" w:rsidRPr="002D35D5">
        <w:rPr>
          <w:rFonts w:ascii="Tahoma" w:hAnsi="Tahoma" w:cs="Tahoma"/>
          <w:sz w:val="24"/>
          <w:szCs w:val="24"/>
        </w:rPr>
        <w:t xml:space="preserve">every </w:t>
      </w:r>
      <w:r w:rsidR="009B782C" w:rsidRPr="002D35D5">
        <w:rPr>
          <w:rFonts w:ascii="Tahoma" w:hAnsi="Tahoma" w:cs="Tahoma"/>
          <w:sz w:val="24"/>
          <w:szCs w:val="24"/>
        </w:rPr>
        <w:t xml:space="preserve">exceptional </w:t>
      </w:r>
      <w:r w:rsidR="00B12891" w:rsidRPr="002D35D5">
        <w:rPr>
          <w:rFonts w:ascii="Tahoma" w:hAnsi="Tahoma" w:cs="Tahoma"/>
          <w:sz w:val="24"/>
          <w:szCs w:val="24"/>
        </w:rPr>
        <w:t xml:space="preserve">circumstance where it appears that the normal requirement to tender </w:t>
      </w:r>
      <w:r w:rsidR="00B25DAC" w:rsidRPr="002D35D5">
        <w:rPr>
          <w:rFonts w:ascii="Tahoma" w:hAnsi="Tahoma" w:cs="Tahoma"/>
          <w:sz w:val="24"/>
          <w:szCs w:val="24"/>
        </w:rPr>
        <w:t>has not been followed.</w:t>
      </w:r>
      <w:r w:rsidR="009B782C" w:rsidRPr="002D35D5">
        <w:rPr>
          <w:rFonts w:ascii="Tahoma" w:hAnsi="Tahoma" w:cs="Tahoma"/>
          <w:sz w:val="24"/>
          <w:szCs w:val="24"/>
        </w:rPr>
        <w:t xml:space="preserve"> The details</w:t>
      </w:r>
      <w:r w:rsidR="00E67101" w:rsidRPr="002D35D5">
        <w:rPr>
          <w:rFonts w:ascii="Tahoma" w:hAnsi="Tahoma" w:cs="Tahoma"/>
          <w:sz w:val="24"/>
          <w:szCs w:val="24"/>
        </w:rPr>
        <w:t xml:space="preserve"> are listed in Appendix </w:t>
      </w:r>
      <w:r w:rsidR="0036192D" w:rsidRPr="002D35D5">
        <w:rPr>
          <w:rFonts w:ascii="Tahoma" w:hAnsi="Tahoma" w:cs="Tahoma"/>
          <w:sz w:val="24"/>
          <w:szCs w:val="24"/>
        </w:rPr>
        <w:t>1</w:t>
      </w:r>
      <w:r w:rsidR="00E67101" w:rsidRPr="002D35D5">
        <w:rPr>
          <w:rFonts w:ascii="Tahoma" w:hAnsi="Tahoma" w:cs="Tahoma"/>
          <w:sz w:val="24"/>
          <w:szCs w:val="24"/>
        </w:rPr>
        <w:t xml:space="preserve">. </w:t>
      </w:r>
    </w:p>
    <w:p w:rsidR="0012515D" w:rsidRPr="002D35D5" w:rsidRDefault="0012515D" w:rsidP="0012515D">
      <w:pPr>
        <w:jc w:val="both"/>
        <w:rPr>
          <w:rFonts w:ascii="Tahoma" w:hAnsi="Tahoma" w:cs="Tahoma"/>
        </w:rPr>
      </w:pPr>
    </w:p>
    <w:p w:rsidR="00507209" w:rsidRPr="002D35D5" w:rsidRDefault="00507209" w:rsidP="0012515D">
      <w:pPr>
        <w:pStyle w:val="BodyText"/>
        <w:jc w:val="both"/>
        <w:rPr>
          <w:rFonts w:ascii="Tahoma" w:hAnsi="Tahoma" w:cs="Tahoma"/>
          <w:b/>
          <w:bCs/>
          <w:szCs w:val="24"/>
        </w:rPr>
      </w:pPr>
      <w:r w:rsidRPr="002D35D5">
        <w:rPr>
          <w:rFonts w:ascii="Tahoma" w:hAnsi="Tahoma" w:cs="Tahoma"/>
          <w:b/>
          <w:bCs/>
          <w:szCs w:val="24"/>
        </w:rPr>
        <w:t>4</w:t>
      </w:r>
      <w:r w:rsidR="00EB7650" w:rsidRPr="002D35D5">
        <w:rPr>
          <w:rFonts w:ascii="Tahoma" w:hAnsi="Tahoma" w:cs="Tahoma"/>
          <w:b/>
          <w:bCs/>
          <w:szCs w:val="24"/>
        </w:rPr>
        <w:t>.</w:t>
      </w:r>
      <w:r w:rsidRPr="002D35D5">
        <w:rPr>
          <w:rFonts w:ascii="Tahoma" w:hAnsi="Tahoma" w:cs="Tahoma"/>
          <w:b/>
          <w:bCs/>
          <w:szCs w:val="24"/>
        </w:rPr>
        <w:tab/>
        <w:t>Implications</w:t>
      </w:r>
      <w:r w:rsidRPr="002D35D5">
        <w:rPr>
          <w:rFonts w:ascii="Tahoma" w:hAnsi="Tahoma" w:cs="Tahoma"/>
          <w:b/>
          <w:bCs/>
          <w:szCs w:val="24"/>
        </w:rPr>
        <w:br/>
      </w:r>
    </w:p>
    <w:p w:rsidR="00077B9E" w:rsidRPr="002D35D5" w:rsidRDefault="00507209" w:rsidP="0012515D">
      <w:pPr>
        <w:pStyle w:val="BodyText"/>
        <w:ind w:left="720" w:hanging="720"/>
        <w:jc w:val="both"/>
        <w:rPr>
          <w:rFonts w:ascii="Tahoma" w:hAnsi="Tahoma" w:cs="Tahoma"/>
          <w:b/>
          <w:bCs/>
          <w:szCs w:val="24"/>
        </w:rPr>
      </w:pPr>
      <w:r w:rsidRPr="002D35D5">
        <w:rPr>
          <w:rFonts w:ascii="Tahoma" w:hAnsi="Tahoma" w:cs="Tahoma"/>
          <w:szCs w:val="24"/>
        </w:rPr>
        <w:t>4.1</w:t>
      </w:r>
      <w:r w:rsidRPr="002D35D5">
        <w:rPr>
          <w:rFonts w:ascii="Tahoma" w:hAnsi="Tahoma" w:cs="Tahoma"/>
          <w:szCs w:val="24"/>
        </w:rPr>
        <w:tab/>
      </w:r>
      <w:r w:rsidRPr="002D35D5">
        <w:rPr>
          <w:rFonts w:ascii="Tahoma" w:hAnsi="Tahoma" w:cs="Tahoma"/>
          <w:bCs/>
          <w:szCs w:val="24"/>
          <w:u w:val="single"/>
        </w:rPr>
        <w:t>Finance</w:t>
      </w:r>
    </w:p>
    <w:p w:rsidR="00507209" w:rsidRPr="002D35D5" w:rsidRDefault="00507209" w:rsidP="0012515D">
      <w:pPr>
        <w:pStyle w:val="BodyText"/>
        <w:ind w:left="720"/>
        <w:jc w:val="both"/>
        <w:rPr>
          <w:rFonts w:ascii="Tahoma" w:hAnsi="Tahoma" w:cs="Tahoma"/>
          <w:szCs w:val="24"/>
        </w:rPr>
      </w:pPr>
      <w:r w:rsidRPr="002D35D5">
        <w:rPr>
          <w:rFonts w:ascii="Tahoma" w:hAnsi="Tahoma" w:cs="Tahoma"/>
          <w:szCs w:val="24"/>
        </w:rPr>
        <w:t>All commitmen</w:t>
      </w:r>
      <w:r w:rsidR="009B782C" w:rsidRPr="002D35D5">
        <w:rPr>
          <w:rFonts w:ascii="Tahoma" w:hAnsi="Tahoma" w:cs="Tahoma"/>
          <w:szCs w:val="24"/>
        </w:rPr>
        <w:t>ts are within existing budgets. There are no financial implications arising from the content of this report.</w:t>
      </w:r>
    </w:p>
    <w:p w:rsidR="00507209" w:rsidRPr="002D35D5" w:rsidRDefault="00507209" w:rsidP="0012515D">
      <w:pPr>
        <w:pStyle w:val="BodyTextIndent"/>
        <w:jc w:val="both"/>
        <w:rPr>
          <w:szCs w:val="24"/>
        </w:rPr>
      </w:pPr>
    </w:p>
    <w:p w:rsidR="00507209" w:rsidRPr="002D35D5" w:rsidRDefault="00507209" w:rsidP="0012515D">
      <w:pPr>
        <w:pStyle w:val="BodyTextIndent"/>
        <w:numPr>
          <w:ilvl w:val="1"/>
          <w:numId w:val="1"/>
        </w:numPr>
        <w:jc w:val="both"/>
        <w:rPr>
          <w:bCs/>
          <w:szCs w:val="24"/>
          <w:u w:val="single"/>
        </w:rPr>
      </w:pPr>
      <w:r w:rsidRPr="002D35D5">
        <w:rPr>
          <w:bCs/>
          <w:szCs w:val="24"/>
          <w:u w:val="single"/>
        </w:rPr>
        <w:t xml:space="preserve">Legal </w:t>
      </w:r>
    </w:p>
    <w:p w:rsidR="007077C8" w:rsidRPr="002D35D5" w:rsidRDefault="00507209" w:rsidP="0012515D">
      <w:pPr>
        <w:pStyle w:val="BodyTextIndent"/>
        <w:jc w:val="both"/>
        <w:rPr>
          <w:szCs w:val="24"/>
        </w:rPr>
      </w:pPr>
      <w:r w:rsidRPr="002D35D5">
        <w:rPr>
          <w:szCs w:val="24"/>
        </w:rPr>
        <w:tab/>
      </w:r>
      <w:r w:rsidR="009A2DC8" w:rsidRPr="002D35D5">
        <w:rPr>
          <w:szCs w:val="24"/>
        </w:rPr>
        <w:t>A</w:t>
      </w:r>
      <w:r w:rsidR="00BA00A3" w:rsidRPr="002D35D5">
        <w:rPr>
          <w:szCs w:val="24"/>
        </w:rPr>
        <w:t xml:space="preserve">ny requests </w:t>
      </w:r>
      <w:r w:rsidR="009A2DC8" w:rsidRPr="002D35D5">
        <w:rPr>
          <w:szCs w:val="24"/>
        </w:rPr>
        <w:t xml:space="preserve">to utilise Contract Standing Order </w:t>
      </w:r>
      <w:r w:rsidR="00BE112F">
        <w:rPr>
          <w:szCs w:val="24"/>
        </w:rPr>
        <w:t>10</w:t>
      </w:r>
      <w:r w:rsidR="009A2DC8" w:rsidRPr="002D35D5">
        <w:rPr>
          <w:szCs w:val="24"/>
        </w:rPr>
        <w:t xml:space="preserve"> </w:t>
      </w:r>
      <w:r w:rsidR="00BA00A3" w:rsidRPr="002D35D5">
        <w:rPr>
          <w:szCs w:val="24"/>
        </w:rPr>
        <w:t xml:space="preserve">which involve new </w:t>
      </w:r>
      <w:r w:rsidR="002049AD" w:rsidRPr="002D35D5">
        <w:rPr>
          <w:szCs w:val="24"/>
        </w:rPr>
        <w:t xml:space="preserve">supplier terms and conditions are </w:t>
      </w:r>
      <w:r w:rsidR="00BA00A3" w:rsidRPr="002D35D5">
        <w:rPr>
          <w:szCs w:val="24"/>
        </w:rPr>
        <w:t>discussed and agreed with Legal Services.</w:t>
      </w:r>
      <w:r w:rsidR="007077C8" w:rsidRPr="002D35D5">
        <w:rPr>
          <w:szCs w:val="24"/>
        </w:rPr>
        <w:t xml:space="preserve"> </w:t>
      </w:r>
      <w:r w:rsidR="009B782C" w:rsidRPr="002D35D5">
        <w:rPr>
          <w:szCs w:val="24"/>
        </w:rPr>
        <w:t>There are no legal implications arising from the content of this report.</w:t>
      </w:r>
    </w:p>
    <w:p w:rsidR="007077C8" w:rsidRPr="002D35D5" w:rsidRDefault="007077C8" w:rsidP="0012515D">
      <w:pPr>
        <w:pStyle w:val="BodyTextIndent"/>
        <w:jc w:val="both"/>
        <w:rPr>
          <w:szCs w:val="24"/>
        </w:rPr>
      </w:pPr>
    </w:p>
    <w:p w:rsidR="00507209" w:rsidRPr="002D35D5" w:rsidRDefault="00507209" w:rsidP="0012515D">
      <w:pPr>
        <w:pStyle w:val="BodyText"/>
        <w:numPr>
          <w:ilvl w:val="1"/>
          <w:numId w:val="1"/>
        </w:numPr>
        <w:jc w:val="both"/>
        <w:rPr>
          <w:rFonts w:ascii="Tahoma" w:hAnsi="Tahoma" w:cs="Tahoma"/>
          <w:bCs/>
          <w:szCs w:val="24"/>
          <w:u w:val="single"/>
        </w:rPr>
      </w:pPr>
      <w:r w:rsidRPr="002D35D5">
        <w:rPr>
          <w:rFonts w:ascii="Tahoma" w:hAnsi="Tahoma" w:cs="Tahoma"/>
          <w:bCs/>
          <w:szCs w:val="24"/>
          <w:u w:val="single"/>
        </w:rPr>
        <w:t>Diversity</w:t>
      </w:r>
      <w:r w:rsidR="00C96CEA" w:rsidRPr="002D35D5">
        <w:rPr>
          <w:rFonts w:ascii="Tahoma" w:hAnsi="Tahoma" w:cs="Tahoma"/>
          <w:bCs/>
          <w:szCs w:val="24"/>
          <w:u w:val="single"/>
        </w:rPr>
        <w:t xml:space="preserve"> &amp; Equal Opportunities</w:t>
      </w:r>
    </w:p>
    <w:p w:rsidR="00507209" w:rsidRPr="002D35D5" w:rsidRDefault="009B782C" w:rsidP="0012515D">
      <w:pPr>
        <w:pStyle w:val="BodyText"/>
        <w:ind w:left="720"/>
        <w:jc w:val="both"/>
        <w:rPr>
          <w:rFonts w:ascii="Tahoma" w:hAnsi="Tahoma" w:cs="Tahoma"/>
          <w:szCs w:val="24"/>
        </w:rPr>
      </w:pPr>
      <w:r w:rsidRPr="002D35D5">
        <w:rPr>
          <w:rFonts w:ascii="Tahoma" w:hAnsi="Tahoma" w:cs="Tahoma"/>
          <w:szCs w:val="24"/>
        </w:rPr>
        <w:t>There are no diversity or equal opportunities implications arising from the content of this report.</w:t>
      </w:r>
    </w:p>
    <w:p w:rsidR="00507209" w:rsidRPr="002D35D5" w:rsidRDefault="00507209" w:rsidP="0012515D">
      <w:pPr>
        <w:pStyle w:val="BodyText"/>
        <w:jc w:val="both"/>
        <w:rPr>
          <w:rFonts w:ascii="Tahoma" w:hAnsi="Tahoma" w:cs="Tahoma"/>
          <w:szCs w:val="24"/>
        </w:rPr>
      </w:pPr>
    </w:p>
    <w:p w:rsidR="00B21C5D" w:rsidRPr="002D35D5" w:rsidRDefault="00B21C5D" w:rsidP="0012515D">
      <w:pPr>
        <w:pStyle w:val="BodyText"/>
        <w:numPr>
          <w:ilvl w:val="1"/>
          <w:numId w:val="1"/>
        </w:numPr>
        <w:jc w:val="both"/>
        <w:rPr>
          <w:rFonts w:ascii="Tahoma" w:hAnsi="Tahoma" w:cs="Tahoma"/>
          <w:szCs w:val="24"/>
          <w:u w:val="single"/>
        </w:rPr>
      </w:pPr>
      <w:r w:rsidRPr="002D35D5">
        <w:rPr>
          <w:rFonts w:ascii="Tahoma" w:hAnsi="Tahoma" w:cs="Tahoma"/>
          <w:szCs w:val="24"/>
          <w:u w:val="single"/>
        </w:rPr>
        <w:t xml:space="preserve">Human Rights Act </w:t>
      </w:r>
    </w:p>
    <w:p w:rsidR="00B21C5D" w:rsidRPr="002D35D5" w:rsidRDefault="00B21C5D" w:rsidP="0012515D">
      <w:pPr>
        <w:pStyle w:val="BodyText"/>
        <w:ind w:firstLine="720"/>
        <w:jc w:val="both"/>
        <w:rPr>
          <w:rFonts w:ascii="Tahoma" w:hAnsi="Tahoma" w:cs="Tahoma"/>
          <w:szCs w:val="24"/>
        </w:rPr>
      </w:pPr>
      <w:r w:rsidRPr="002D35D5">
        <w:rPr>
          <w:rFonts w:ascii="Tahoma" w:hAnsi="Tahoma" w:cs="Tahoma"/>
          <w:szCs w:val="24"/>
        </w:rPr>
        <w:t xml:space="preserve">There are no Human Rights Act implications arising from </w:t>
      </w:r>
      <w:r w:rsidR="009B782C" w:rsidRPr="002D35D5">
        <w:rPr>
          <w:rFonts w:ascii="Tahoma" w:hAnsi="Tahoma" w:cs="Tahoma"/>
          <w:szCs w:val="24"/>
        </w:rPr>
        <w:t xml:space="preserve">the content of </w:t>
      </w:r>
      <w:r w:rsidRPr="002D35D5">
        <w:rPr>
          <w:rFonts w:ascii="Tahoma" w:hAnsi="Tahoma" w:cs="Tahoma"/>
          <w:szCs w:val="24"/>
        </w:rPr>
        <w:t>this report.</w:t>
      </w:r>
    </w:p>
    <w:p w:rsidR="00B21C5D" w:rsidRPr="002D35D5" w:rsidRDefault="00B21C5D" w:rsidP="0012515D">
      <w:pPr>
        <w:pStyle w:val="BodyText"/>
        <w:jc w:val="both"/>
        <w:rPr>
          <w:rFonts w:ascii="Tahoma" w:hAnsi="Tahoma" w:cs="Tahoma"/>
          <w:szCs w:val="24"/>
          <w:u w:val="single"/>
        </w:rPr>
      </w:pPr>
    </w:p>
    <w:p w:rsidR="00507209" w:rsidRPr="002D35D5" w:rsidRDefault="00507209" w:rsidP="0012515D">
      <w:pPr>
        <w:pStyle w:val="BodyText"/>
        <w:numPr>
          <w:ilvl w:val="1"/>
          <w:numId w:val="1"/>
        </w:numPr>
        <w:jc w:val="both"/>
        <w:rPr>
          <w:rFonts w:ascii="Tahoma" w:hAnsi="Tahoma" w:cs="Tahoma"/>
          <w:szCs w:val="24"/>
          <w:u w:val="single"/>
        </w:rPr>
      </w:pPr>
      <w:r w:rsidRPr="002D35D5">
        <w:rPr>
          <w:rFonts w:ascii="Tahoma" w:hAnsi="Tahoma" w:cs="Tahoma"/>
          <w:bCs/>
          <w:szCs w:val="24"/>
          <w:u w:val="single"/>
        </w:rPr>
        <w:t>Sustainability</w:t>
      </w:r>
      <w:r w:rsidRPr="002D35D5">
        <w:rPr>
          <w:rFonts w:ascii="Tahoma" w:hAnsi="Tahoma" w:cs="Tahoma"/>
          <w:szCs w:val="24"/>
          <w:u w:val="single"/>
        </w:rPr>
        <w:t xml:space="preserve"> </w:t>
      </w:r>
    </w:p>
    <w:p w:rsidR="00507209" w:rsidRPr="002D35D5" w:rsidRDefault="00617A23" w:rsidP="0012515D">
      <w:pPr>
        <w:ind w:left="709" w:firstLine="11"/>
        <w:jc w:val="both"/>
        <w:rPr>
          <w:rFonts w:ascii="Tahoma" w:hAnsi="Tahoma" w:cs="Tahoma"/>
          <w:sz w:val="24"/>
          <w:szCs w:val="24"/>
        </w:rPr>
      </w:pPr>
      <w:r w:rsidRPr="002D35D5">
        <w:rPr>
          <w:rFonts w:ascii="Tahoma" w:hAnsi="Tahoma" w:cs="Tahoma"/>
          <w:sz w:val="24"/>
          <w:szCs w:val="24"/>
        </w:rPr>
        <w:t xml:space="preserve">There are no sustainability implications arising from </w:t>
      </w:r>
      <w:r w:rsidR="009B782C" w:rsidRPr="002D35D5">
        <w:rPr>
          <w:rFonts w:ascii="Tahoma" w:hAnsi="Tahoma" w:cs="Tahoma"/>
          <w:sz w:val="24"/>
          <w:szCs w:val="24"/>
        </w:rPr>
        <w:t xml:space="preserve">the content of </w:t>
      </w:r>
      <w:r w:rsidRPr="002D35D5">
        <w:rPr>
          <w:rFonts w:ascii="Tahoma" w:hAnsi="Tahoma" w:cs="Tahoma"/>
          <w:sz w:val="24"/>
          <w:szCs w:val="24"/>
        </w:rPr>
        <w:t>this report</w:t>
      </w:r>
      <w:r w:rsidR="00E962BD" w:rsidRPr="002D35D5">
        <w:rPr>
          <w:rFonts w:ascii="Tahoma" w:hAnsi="Tahoma" w:cs="Tahoma"/>
          <w:sz w:val="24"/>
          <w:szCs w:val="24"/>
        </w:rPr>
        <w:t>.</w:t>
      </w:r>
    </w:p>
    <w:p w:rsidR="0028080E" w:rsidRPr="002D35D5" w:rsidRDefault="0028080E" w:rsidP="0012515D">
      <w:pPr>
        <w:jc w:val="both"/>
        <w:rPr>
          <w:rFonts w:ascii="Tahoma" w:hAnsi="Tahoma" w:cs="Tahoma"/>
          <w:sz w:val="24"/>
          <w:szCs w:val="24"/>
        </w:rPr>
      </w:pPr>
    </w:p>
    <w:p w:rsidR="0028080E" w:rsidRPr="002D35D5" w:rsidRDefault="0028080E" w:rsidP="0012515D">
      <w:pPr>
        <w:numPr>
          <w:ilvl w:val="1"/>
          <w:numId w:val="1"/>
        </w:numPr>
        <w:jc w:val="both"/>
        <w:rPr>
          <w:rFonts w:ascii="Tahoma" w:hAnsi="Tahoma" w:cs="Tahoma"/>
          <w:sz w:val="24"/>
          <w:szCs w:val="24"/>
          <w:u w:val="single"/>
        </w:rPr>
      </w:pPr>
      <w:r w:rsidRPr="002D35D5">
        <w:rPr>
          <w:rFonts w:ascii="Tahoma" w:hAnsi="Tahoma" w:cs="Tahoma"/>
          <w:sz w:val="24"/>
          <w:szCs w:val="24"/>
          <w:u w:val="single"/>
        </w:rPr>
        <w:t>Risk</w:t>
      </w:r>
    </w:p>
    <w:p w:rsidR="0028080E" w:rsidRPr="002D35D5" w:rsidRDefault="0092093F" w:rsidP="0012515D">
      <w:pPr>
        <w:jc w:val="both"/>
        <w:rPr>
          <w:rFonts w:ascii="Tahoma" w:hAnsi="Tahoma" w:cs="Tahoma"/>
          <w:sz w:val="24"/>
          <w:szCs w:val="24"/>
        </w:rPr>
      </w:pPr>
      <w:r w:rsidRPr="002D35D5">
        <w:rPr>
          <w:rFonts w:ascii="Tahoma" w:hAnsi="Tahoma" w:cs="Tahoma"/>
          <w:sz w:val="24"/>
          <w:szCs w:val="24"/>
        </w:rPr>
        <w:tab/>
        <w:t xml:space="preserve">There are no risk implications </w:t>
      </w:r>
      <w:r w:rsidR="009B782C" w:rsidRPr="002D35D5">
        <w:rPr>
          <w:rFonts w:ascii="Tahoma" w:hAnsi="Tahoma" w:cs="Tahoma"/>
          <w:sz w:val="24"/>
          <w:szCs w:val="24"/>
        </w:rPr>
        <w:t>arising from the content of this</w:t>
      </w:r>
      <w:r w:rsidRPr="002D35D5">
        <w:rPr>
          <w:rFonts w:ascii="Tahoma" w:hAnsi="Tahoma" w:cs="Tahoma"/>
          <w:sz w:val="24"/>
          <w:szCs w:val="24"/>
        </w:rPr>
        <w:t xml:space="preserve"> report.</w:t>
      </w:r>
    </w:p>
    <w:p w:rsidR="005F1CBE" w:rsidRPr="002D35D5" w:rsidRDefault="005F1CBE" w:rsidP="0012515D">
      <w:pPr>
        <w:jc w:val="both"/>
        <w:rPr>
          <w:rFonts w:ascii="Tahoma" w:hAnsi="Tahoma" w:cs="Tahoma"/>
        </w:rPr>
      </w:pPr>
    </w:p>
    <w:p w:rsidR="0012515D" w:rsidRPr="002D35D5" w:rsidRDefault="0012515D" w:rsidP="0012515D">
      <w:pPr>
        <w:jc w:val="both"/>
        <w:rPr>
          <w:rFonts w:ascii="Tahoma" w:hAnsi="Tahoma" w:cs="Tahoma"/>
        </w:rPr>
      </w:pPr>
    </w:p>
    <w:p w:rsidR="00507209" w:rsidRPr="002D35D5" w:rsidRDefault="0028080E" w:rsidP="0012515D">
      <w:pPr>
        <w:pStyle w:val="BodyText"/>
        <w:jc w:val="both"/>
        <w:rPr>
          <w:rFonts w:ascii="Tahoma" w:hAnsi="Tahoma" w:cs="Tahoma"/>
          <w:b/>
          <w:bCs/>
          <w:szCs w:val="24"/>
        </w:rPr>
      </w:pPr>
      <w:r w:rsidRPr="002D35D5">
        <w:rPr>
          <w:rFonts w:ascii="Tahoma" w:hAnsi="Tahoma" w:cs="Tahoma"/>
          <w:b/>
          <w:bCs/>
          <w:szCs w:val="24"/>
        </w:rPr>
        <w:t>5</w:t>
      </w:r>
      <w:r w:rsidR="00B21C5D" w:rsidRPr="002D35D5">
        <w:rPr>
          <w:rFonts w:ascii="Tahoma" w:hAnsi="Tahoma" w:cs="Tahoma"/>
          <w:b/>
          <w:bCs/>
          <w:szCs w:val="24"/>
        </w:rPr>
        <w:t>.</w:t>
      </w:r>
      <w:r w:rsidR="00507209" w:rsidRPr="002D35D5">
        <w:rPr>
          <w:rFonts w:ascii="Tahoma" w:hAnsi="Tahoma" w:cs="Tahoma"/>
          <w:b/>
          <w:bCs/>
          <w:szCs w:val="24"/>
        </w:rPr>
        <w:tab/>
        <w:t>Conclusions</w:t>
      </w:r>
    </w:p>
    <w:p w:rsidR="00507209" w:rsidRPr="002D35D5" w:rsidRDefault="00507209" w:rsidP="0012515D">
      <w:pPr>
        <w:pStyle w:val="BodyText"/>
        <w:ind w:firstLine="720"/>
        <w:jc w:val="both"/>
        <w:rPr>
          <w:rFonts w:ascii="Tahoma" w:hAnsi="Tahoma" w:cs="Tahoma"/>
          <w:szCs w:val="24"/>
        </w:rPr>
      </w:pPr>
    </w:p>
    <w:p w:rsidR="00507209" w:rsidRPr="002D35D5" w:rsidRDefault="0028080E" w:rsidP="0012515D">
      <w:pPr>
        <w:pStyle w:val="BodyTextIndent2"/>
        <w:ind w:left="720" w:hanging="720"/>
        <w:jc w:val="both"/>
        <w:rPr>
          <w:szCs w:val="24"/>
        </w:rPr>
      </w:pPr>
      <w:r w:rsidRPr="002D35D5">
        <w:rPr>
          <w:szCs w:val="24"/>
        </w:rPr>
        <w:t>5</w:t>
      </w:r>
      <w:r w:rsidR="009B782C" w:rsidRPr="002D35D5">
        <w:rPr>
          <w:szCs w:val="24"/>
        </w:rPr>
        <w:t>.1</w:t>
      </w:r>
      <w:r w:rsidR="009B782C" w:rsidRPr="002D35D5">
        <w:rPr>
          <w:szCs w:val="24"/>
        </w:rPr>
        <w:tab/>
        <w:t xml:space="preserve">The details of </w:t>
      </w:r>
      <w:r w:rsidR="00C613BD" w:rsidRPr="002D35D5">
        <w:rPr>
          <w:szCs w:val="24"/>
        </w:rPr>
        <w:t>the</w:t>
      </w:r>
      <w:r w:rsidR="009B782C" w:rsidRPr="002D35D5">
        <w:rPr>
          <w:szCs w:val="24"/>
        </w:rPr>
        <w:t xml:space="preserve"> exceptional situations</w:t>
      </w:r>
      <w:r w:rsidR="00B55CCF" w:rsidRPr="002D35D5">
        <w:rPr>
          <w:szCs w:val="24"/>
        </w:rPr>
        <w:t xml:space="preserve"> </w:t>
      </w:r>
      <w:r w:rsidR="00C613BD" w:rsidRPr="002D35D5">
        <w:rPr>
          <w:szCs w:val="24"/>
        </w:rPr>
        <w:t xml:space="preserve">listed in Appendix 1 </w:t>
      </w:r>
      <w:r w:rsidR="00507209" w:rsidRPr="002D35D5">
        <w:rPr>
          <w:szCs w:val="24"/>
        </w:rPr>
        <w:t xml:space="preserve">not only comply with </w:t>
      </w:r>
      <w:r w:rsidR="00E67101" w:rsidRPr="002D35D5">
        <w:rPr>
          <w:szCs w:val="24"/>
        </w:rPr>
        <w:t>the process detai</w:t>
      </w:r>
      <w:r w:rsidR="00BE112F">
        <w:rPr>
          <w:szCs w:val="24"/>
        </w:rPr>
        <w:t>led in Contract Standing Order 10</w:t>
      </w:r>
      <w:r w:rsidR="00507209" w:rsidRPr="002D35D5">
        <w:rPr>
          <w:szCs w:val="24"/>
        </w:rPr>
        <w:t xml:space="preserve"> but represent the Force’s ongoing commitment to greater efficiency and effectiveness.     </w:t>
      </w:r>
    </w:p>
    <w:p w:rsidR="00507209" w:rsidRPr="002D35D5" w:rsidRDefault="00507209" w:rsidP="0012515D">
      <w:pPr>
        <w:pStyle w:val="BodyTextIndent2"/>
        <w:ind w:left="0" w:firstLine="0"/>
        <w:jc w:val="both"/>
        <w:rPr>
          <w:szCs w:val="24"/>
        </w:rPr>
      </w:pPr>
    </w:p>
    <w:p w:rsidR="00091924" w:rsidRPr="002D35D5" w:rsidRDefault="00091924" w:rsidP="0012515D">
      <w:pPr>
        <w:pStyle w:val="BodyTextIndent2"/>
        <w:ind w:left="0" w:firstLine="0"/>
        <w:jc w:val="both"/>
        <w:rPr>
          <w:szCs w:val="24"/>
        </w:rPr>
      </w:pPr>
    </w:p>
    <w:p w:rsidR="00507209" w:rsidRPr="002D35D5" w:rsidRDefault="001C0F1A" w:rsidP="0012515D">
      <w:pPr>
        <w:pStyle w:val="BodyText"/>
        <w:jc w:val="both"/>
        <w:rPr>
          <w:rFonts w:ascii="Tahoma" w:hAnsi="Tahoma" w:cs="Tahoma"/>
          <w:szCs w:val="24"/>
        </w:rPr>
      </w:pPr>
      <w:r>
        <w:rPr>
          <w:rFonts w:ascii="Tahoma" w:hAnsi="Tahoma" w:cs="Tahoma"/>
          <w:szCs w:val="24"/>
        </w:rPr>
        <w:t>Claire Wrightson</w:t>
      </w:r>
    </w:p>
    <w:p w:rsidR="0012515D" w:rsidRDefault="001C0F1A" w:rsidP="0012515D">
      <w:pPr>
        <w:jc w:val="both"/>
        <w:rPr>
          <w:rFonts w:ascii="Tahoma" w:hAnsi="Tahoma" w:cs="Tahoma"/>
          <w:sz w:val="24"/>
          <w:szCs w:val="24"/>
        </w:rPr>
      </w:pPr>
      <w:r>
        <w:rPr>
          <w:rFonts w:ascii="Tahoma" w:hAnsi="Tahoma" w:cs="Tahoma"/>
          <w:sz w:val="24"/>
          <w:szCs w:val="24"/>
        </w:rPr>
        <w:t xml:space="preserve">Head of Procurement and Fleet </w:t>
      </w:r>
    </w:p>
    <w:p w:rsidR="001C0F1A" w:rsidRPr="002D35D5" w:rsidRDefault="001C0F1A" w:rsidP="0012515D">
      <w:pPr>
        <w:jc w:val="both"/>
        <w:rPr>
          <w:rFonts w:ascii="Tahoma" w:hAnsi="Tahoma" w:cs="Tahoma"/>
          <w:sz w:val="24"/>
          <w:szCs w:val="24"/>
        </w:rPr>
        <w:sectPr w:rsidR="001C0F1A" w:rsidRPr="002D35D5" w:rsidSect="00535E44">
          <w:headerReference w:type="default" r:id="rId12"/>
          <w:pgSz w:w="11909" w:h="16834" w:code="9"/>
          <w:pgMar w:top="1134" w:right="1134" w:bottom="1134" w:left="1134" w:header="709" w:footer="709" w:gutter="0"/>
          <w:paperSrc w:first="15" w:other="15"/>
          <w:cols w:space="720"/>
          <w:formProt w:val="0"/>
        </w:sectPr>
      </w:pPr>
    </w:p>
    <w:p w:rsidR="00A4787C" w:rsidRPr="002D35D5" w:rsidRDefault="009A2DC8" w:rsidP="0012515D">
      <w:pPr>
        <w:jc w:val="both"/>
        <w:rPr>
          <w:rFonts w:ascii="Tahoma" w:hAnsi="Tahoma" w:cs="Tahoma"/>
          <w:b/>
          <w:sz w:val="24"/>
          <w:szCs w:val="24"/>
          <w:u w:val="single"/>
          <w:lang w:eastAsia="en-GB"/>
        </w:rPr>
      </w:pPr>
      <w:r w:rsidRPr="002D35D5">
        <w:rPr>
          <w:rFonts w:ascii="Tahoma" w:hAnsi="Tahoma" w:cs="Tahoma"/>
          <w:b/>
          <w:sz w:val="24"/>
          <w:szCs w:val="24"/>
          <w:u w:val="single"/>
          <w:lang w:eastAsia="en-GB"/>
        </w:rPr>
        <w:lastRenderedPageBreak/>
        <w:t>Exceptional Situation</w:t>
      </w:r>
      <w:r w:rsidR="008C5DCD" w:rsidRPr="002D35D5">
        <w:rPr>
          <w:rFonts w:ascii="Tahoma" w:hAnsi="Tahoma" w:cs="Tahoma"/>
          <w:b/>
          <w:sz w:val="24"/>
          <w:szCs w:val="24"/>
          <w:u w:val="single"/>
          <w:lang w:eastAsia="en-GB"/>
        </w:rPr>
        <w:t xml:space="preserve"> </w:t>
      </w:r>
      <w:r w:rsidR="00AD6694" w:rsidRPr="002D35D5">
        <w:rPr>
          <w:rFonts w:ascii="Tahoma" w:hAnsi="Tahoma" w:cs="Tahoma"/>
          <w:b/>
          <w:sz w:val="24"/>
          <w:szCs w:val="24"/>
          <w:u w:val="single"/>
          <w:lang w:eastAsia="en-GB"/>
        </w:rPr>
        <w:t>– Proprietary</w:t>
      </w:r>
      <w:r w:rsidR="008C5DCD" w:rsidRPr="002D35D5">
        <w:rPr>
          <w:rFonts w:ascii="Tahoma" w:hAnsi="Tahoma" w:cs="Tahoma"/>
          <w:b/>
          <w:sz w:val="24"/>
          <w:szCs w:val="24"/>
          <w:u w:val="single"/>
          <w:lang w:eastAsia="en-GB"/>
        </w:rPr>
        <w:t xml:space="preserve"> Product</w:t>
      </w:r>
    </w:p>
    <w:p w:rsidR="00E54CC0" w:rsidRPr="002D35D5" w:rsidRDefault="00E54CC0" w:rsidP="0012515D">
      <w:pPr>
        <w:jc w:val="both"/>
        <w:rPr>
          <w:rFonts w:ascii="Tahoma" w:hAnsi="Tahoma" w:cs="Tahoma"/>
          <w:b/>
          <w:sz w:val="24"/>
          <w:szCs w:val="24"/>
          <w:u w:val="single"/>
          <w:lang w:eastAsia="en-GB"/>
        </w:rPr>
      </w:pPr>
    </w:p>
    <w:p w:rsidR="001C0F1A" w:rsidRDefault="001D4964" w:rsidP="001C0F1A">
      <w:pPr>
        <w:pStyle w:val="BodyText2"/>
        <w:ind w:left="709" w:hanging="709"/>
        <w:jc w:val="both"/>
        <w:rPr>
          <w:b/>
          <w:noProof/>
          <w:szCs w:val="24"/>
          <w:u w:val="none"/>
        </w:rPr>
      </w:pPr>
      <w:r w:rsidRPr="002D35D5">
        <w:rPr>
          <w:b/>
          <w:szCs w:val="24"/>
          <w:u w:val="none"/>
        </w:rPr>
        <w:t>1.</w:t>
      </w:r>
      <w:r w:rsidRPr="002D35D5">
        <w:rPr>
          <w:b/>
          <w:szCs w:val="24"/>
          <w:u w:val="none"/>
        </w:rPr>
        <w:tab/>
      </w:r>
      <w:r w:rsidR="001C0F1A">
        <w:rPr>
          <w:b/>
          <w:noProof/>
          <w:szCs w:val="24"/>
          <w:u w:val="none"/>
        </w:rPr>
        <w:t>Annual Maintenance of Audionet for ICT at a cost of £17,602.82 from Weston Digital</w:t>
      </w:r>
    </w:p>
    <w:p w:rsidR="001C0F1A" w:rsidRDefault="001C0F1A" w:rsidP="001C0F1A">
      <w:pPr>
        <w:pStyle w:val="BodyText2"/>
        <w:ind w:left="709" w:hanging="709"/>
        <w:jc w:val="both"/>
        <w:rPr>
          <w:b/>
          <w:noProof/>
          <w:szCs w:val="24"/>
          <w:u w:val="none"/>
        </w:rPr>
      </w:pPr>
    </w:p>
    <w:p w:rsidR="001C0F1A" w:rsidRDefault="001C0F1A" w:rsidP="001C0F1A">
      <w:pPr>
        <w:pStyle w:val="BodyText2"/>
        <w:ind w:left="709" w:hanging="709"/>
        <w:jc w:val="both"/>
        <w:rPr>
          <w:noProof/>
          <w:szCs w:val="24"/>
          <w:u w:val="none"/>
        </w:rPr>
      </w:pPr>
      <w:r>
        <w:rPr>
          <w:noProof/>
          <w:szCs w:val="24"/>
          <w:u w:val="none"/>
        </w:rPr>
        <w:t>1.1</w:t>
      </w:r>
      <w:r>
        <w:rPr>
          <w:noProof/>
          <w:szCs w:val="24"/>
          <w:u w:val="none"/>
        </w:rPr>
        <w:tab/>
        <w:t>There has been a contract in place with Weston Digital since 2004 for the provision and support and maintenance of voice recording. The system records all radio transmissions and telephone calls to the control room and is essential to enable copies of recording to be made for evidential purposes.</w:t>
      </w:r>
      <w:r w:rsidRPr="001C0F1A">
        <w:rPr>
          <w:noProof/>
          <w:szCs w:val="24"/>
          <w:u w:val="none"/>
        </w:rPr>
        <w:t xml:space="preserve"> </w:t>
      </w:r>
      <w:r>
        <w:rPr>
          <w:noProof/>
          <w:szCs w:val="24"/>
          <w:u w:val="none"/>
        </w:rPr>
        <w:t>This is required until the new CSH facility and telephony replacement project is in place which will include a new recording system.</w:t>
      </w:r>
    </w:p>
    <w:p w:rsidR="001C0F1A" w:rsidRDefault="001C0F1A" w:rsidP="001C0F1A">
      <w:pPr>
        <w:pStyle w:val="BodyText2"/>
        <w:ind w:left="709" w:hanging="709"/>
        <w:jc w:val="both"/>
        <w:rPr>
          <w:noProof/>
          <w:szCs w:val="24"/>
          <w:u w:val="none"/>
        </w:rPr>
      </w:pPr>
    </w:p>
    <w:p w:rsidR="001C0F1A" w:rsidRDefault="001C0F1A" w:rsidP="001C0F1A">
      <w:pPr>
        <w:pStyle w:val="BodyText2"/>
        <w:numPr>
          <w:ilvl w:val="1"/>
          <w:numId w:val="40"/>
        </w:numPr>
        <w:jc w:val="both"/>
        <w:rPr>
          <w:noProof/>
          <w:szCs w:val="24"/>
          <w:u w:val="none"/>
        </w:rPr>
      </w:pPr>
      <w:r>
        <w:rPr>
          <w:noProof/>
          <w:szCs w:val="24"/>
          <w:u w:val="none"/>
        </w:rPr>
        <w:t xml:space="preserve">As the system was provided by Weston Digital, the support is proprietary to them. </w:t>
      </w:r>
    </w:p>
    <w:p w:rsidR="001C0F1A" w:rsidRDefault="001C0F1A" w:rsidP="001C0F1A">
      <w:pPr>
        <w:pStyle w:val="BodyText2"/>
        <w:ind w:left="720"/>
        <w:jc w:val="both"/>
        <w:rPr>
          <w:noProof/>
          <w:szCs w:val="24"/>
          <w:u w:val="none"/>
        </w:rPr>
      </w:pPr>
    </w:p>
    <w:p w:rsidR="001C0F1A" w:rsidRPr="002D35D5" w:rsidRDefault="001C0F1A" w:rsidP="001C0F1A">
      <w:pPr>
        <w:pStyle w:val="BodyText2"/>
        <w:ind w:left="709" w:hanging="709"/>
        <w:jc w:val="both"/>
        <w:rPr>
          <w:b/>
          <w:szCs w:val="24"/>
          <w:u w:val="none"/>
        </w:rPr>
      </w:pPr>
      <w:r>
        <w:rPr>
          <w:b/>
          <w:szCs w:val="24"/>
          <w:u w:val="none"/>
        </w:rPr>
        <w:t>2</w:t>
      </w:r>
      <w:r w:rsidRPr="002D35D5">
        <w:rPr>
          <w:b/>
          <w:szCs w:val="24"/>
          <w:u w:val="none"/>
        </w:rPr>
        <w:t>.</w:t>
      </w:r>
      <w:r w:rsidRPr="002D35D5">
        <w:rPr>
          <w:b/>
          <w:szCs w:val="24"/>
          <w:u w:val="none"/>
        </w:rPr>
        <w:tab/>
        <w:t>Purchase of Consultancy Services for Executive at a cost of £23,625 from John Armstrong.</w:t>
      </w:r>
    </w:p>
    <w:p w:rsidR="001C0F1A" w:rsidRPr="002D35D5" w:rsidRDefault="001C0F1A" w:rsidP="001C0F1A">
      <w:pPr>
        <w:pStyle w:val="BodyText2"/>
        <w:ind w:left="709" w:hanging="709"/>
        <w:jc w:val="both"/>
        <w:rPr>
          <w:b/>
          <w:szCs w:val="24"/>
          <w:u w:val="none"/>
        </w:rPr>
      </w:pPr>
    </w:p>
    <w:p w:rsidR="001C0F1A" w:rsidRPr="002D35D5" w:rsidRDefault="001C0F1A" w:rsidP="001C0F1A">
      <w:pPr>
        <w:pStyle w:val="BodyText2"/>
        <w:ind w:left="709" w:hanging="709"/>
        <w:jc w:val="both"/>
        <w:rPr>
          <w:szCs w:val="24"/>
          <w:u w:val="none"/>
        </w:rPr>
      </w:pPr>
      <w:r>
        <w:rPr>
          <w:szCs w:val="24"/>
          <w:u w:val="none"/>
        </w:rPr>
        <w:t>2</w:t>
      </w:r>
      <w:r w:rsidRPr="002D35D5">
        <w:rPr>
          <w:szCs w:val="24"/>
          <w:u w:val="none"/>
        </w:rPr>
        <w:t>.1</w:t>
      </w:r>
      <w:r w:rsidRPr="002D35D5">
        <w:rPr>
          <w:szCs w:val="24"/>
          <w:u w:val="none"/>
        </w:rPr>
        <w:tab/>
        <w:t>As part of the Forces Strategic Plan,</w:t>
      </w:r>
      <w:r>
        <w:rPr>
          <w:szCs w:val="24"/>
          <w:u w:val="none"/>
        </w:rPr>
        <w:t xml:space="preserve"> the</w:t>
      </w:r>
      <w:r w:rsidRPr="002D35D5">
        <w:rPr>
          <w:szCs w:val="24"/>
          <w:u w:val="none"/>
        </w:rPr>
        <w:t xml:space="preserve"> Professional Standards </w:t>
      </w:r>
      <w:r>
        <w:rPr>
          <w:szCs w:val="24"/>
          <w:u w:val="none"/>
        </w:rPr>
        <w:t xml:space="preserve">Department </w:t>
      </w:r>
      <w:r w:rsidRPr="002D35D5">
        <w:rPr>
          <w:szCs w:val="24"/>
          <w:u w:val="none"/>
        </w:rPr>
        <w:t>(PSD) was scheduled to be reviewed in 2017. The recent misconduct hearing has placed additional focus and emphasis on the manner of the review and has brought forward the timetable for the review to be conducted.</w:t>
      </w:r>
    </w:p>
    <w:p w:rsidR="001C0F1A" w:rsidRPr="002D35D5" w:rsidRDefault="001C0F1A" w:rsidP="001C0F1A">
      <w:pPr>
        <w:pStyle w:val="BodyText2"/>
        <w:ind w:left="709" w:hanging="709"/>
        <w:jc w:val="both"/>
        <w:rPr>
          <w:szCs w:val="24"/>
          <w:u w:val="none"/>
        </w:rPr>
      </w:pPr>
    </w:p>
    <w:p w:rsidR="001C0F1A" w:rsidRPr="002D35D5" w:rsidRDefault="001C0F1A" w:rsidP="001C0F1A">
      <w:pPr>
        <w:pStyle w:val="BodyText2"/>
        <w:ind w:left="709" w:hanging="709"/>
        <w:jc w:val="both"/>
        <w:rPr>
          <w:szCs w:val="24"/>
          <w:u w:val="none"/>
        </w:rPr>
      </w:pPr>
      <w:r>
        <w:rPr>
          <w:szCs w:val="24"/>
          <w:u w:val="none"/>
        </w:rPr>
        <w:t>2</w:t>
      </w:r>
      <w:r w:rsidRPr="002D35D5">
        <w:rPr>
          <w:szCs w:val="24"/>
          <w:u w:val="none"/>
        </w:rPr>
        <w:t>.2</w:t>
      </w:r>
      <w:r w:rsidRPr="002D35D5">
        <w:rPr>
          <w:szCs w:val="24"/>
          <w:u w:val="none"/>
        </w:rPr>
        <w:tab/>
        <w:t>The review is to be a transformational review of Professional Standards, assisting in drawing up terms of reference, providing mentoring and coaching and provide an independent organisational learning review into the handling of the recent criminal and misconduct investigation.</w:t>
      </w:r>
    </w:p>
    <w:p w:rsidR="001C0F1A" w:rsidRPr="002D35D5" w:rsidRDefault="001C0F1A" w:rsidP="001C0F1A">
      <w:pPr>
        <w:pStyle w:val="BodyText2"/>
        <w:ind w:left="709" w:hanging="709"/>
        <w:jc w:val="both"/>
        <w:rPr>
          <w:szCs w:val="24"/>
          <w:u w:val="none"/>
        </w:rPr>
      </w:pPr>
    </w:p>
    <w:p w:rsidR="001C0F1A" w:rsidRDefault="001C0F1A" w:rsidP="001C0F1A">
      <w:pPr>
        <w:pStyle w:val="BodyText2"/>
        <w:numPr>
          <w:ilvl w:val="1"/>
          <w:numId w:val="41"/>
        </w:numPr>
        <w:jc w:val="both"/>
        <w:rPr>
          <w:szCs w:val="24"/>
          <w:u w:val="none"/>
        </w:rPr>
      </w:pPr>
      <w:r w:rsidRPr="002D35D5">
        <w:rPr>
          <w:szCs w:val="24"/>
          <w:u w:val="none"/>
        </w:rPr>
        <w:t xml:space="preserve">John Armstrong is a retired Head of PSD with a national background including significant work for IPCC and HMIC. The skills and experience that John Armstrong brings coupled with the independent approach (no longer a serving Officer) is unique in the market and therefore proprietary. </w:t>
      </w:r>
    </w:p>
    <w:p w:rsidR="001C0F1A" w:rsidRDefault="001C0F1A" w:rsidP="001C0F1A">
      <w:pPr>
        <w:pStyle w:val="BodyText2"/>
        <w:ind w:left="720"/>
        <w:jc w:val="both"/>
        <w:rPr>
          <w:szCs w:val="24"/>
          <w:u w:val="none"/>
        </w:rPr>
      </w:pPr>
    </w:p>
    <w:p w:rsidR="001C0F1A" w:rsidRPr="002D35D5" w:rsidRDefault="001C0F1A" w:rsidP="001C0F1A">
      <w:pPr>
        <w:pStyle w:val="BodyText2"/>
        <w:ind w:left="709" w:hanging="709"/>
        <w:jc w:val="both"/>
        <w:rPr>
          <w:szCs w:val="24"/>
          <w:u w:val="none"/>
        </w:rPr>
      </w:pPr>
      <w:r>
        <w:rPr>
          <w:szCs w:val="24"/>
          <w:u w:val="none"/>
        </w:rPr>
        <w:t>2.4</w:t>
      </w:r>
      <w:r>
        <w:rPr>
          <w:szCs w:val="24"/>
          <w:u w:val="none"/>
        </w:rPr>
        <w:tab/>
        <w:t>John Armstrong has been providing services for 3 months; however the Force wishes to extend the services to aid with the remainder of the review and recruitment of a new Head of Professional Standards.</w:t>
      </w:r>
    </w:p>
    <w:p w:rsidR="001C0F1A" w:rsidRDefault="001C0F1A" w:rsidP="001C0F1A">
      <w:pPr>
        <w:pStyle w:val="BodyText2"/>
        <w:ind w:left="720"/>
        <w:jc w:val="both"/>
        <w:rPr>
          <w:noProof/>
          <w:szCs w:val="24"/>
          <w:u w:val="none"/>
        </w:rPr>
      </w:pPr>
    </w:p>
    <w:p w:rsidR="00DB5804" w:rsidRDefault="00DB5804" w:rsidP="001C0F1A">
      <w:pPr>
        <w:pStyle w:val="BodyText2"/>
        <w:ind w:left="720"/>
        <w:jc w:val="both"/>
        <w:rPr>
          <w:noProof/>
          <w:szCs w:val="24"/>
          <w:u w:val="none"/>
        </w:rPr>
      </w:pPr>
    </w:p>
    <w:p w:rsidR="00DB5804" w:rsidRPr="00F52ACA" w:rsidRDefault="00DB5804" w:rsidP="00DB5804">
      <w:pPr>
        <w:pStyle w:val="BodyText2"/>
        <w:ind w:left="709" w:hanging="709"/>
        <w:jc w:val="both"/>
        <w:rPr>
          <w:b/>
          <w:szCs w:val="24"/>
          <w:u w:val="none"/>
        </w:rPr>
      </w:pPr>
      <w:r w:rsidRPr="00F52ACA">
        <w:rPr>
          <w:b/>
          <w:szCs w:val="24"/>
          <w:u w:val="none"/>
        </w:rPr>
        <w:t>3.</w:t>
      </w:r>
      <w:r w:rsidRPr="00F52ACA">
        <w:rPr>
          <w:b/>
          <w:szCs w:val="24"/>
          <w:u w:val="none"/>
        </w:rPr>
        <w:tab/>
      </w:r>
      <w:r>
        <w:rPr>
          <w:b/>
          <w:szCs w:val="24"/>
          <w:u w:val="none"/>
        </w:rPr>
        <w:t xml:space="preserve">Annual Support and Maintenance </w:t>
      </w:r>
      <w:r w:rsidRPr="00F52ACA">
        <w:rPr>
          <w:b/>
          <w:szCs w:val="24"/>
          <w:u w:val="none"/>
        </w:rPr>
        <w:t>of Pegasus for ICT from ABM at a cost of £1</w:t>
      </w:r>
      <w:r>
        <w:rPr>
          <w:b/>
          <w:szCs w:val="24"/>
          <w:u w:val="none"/>
        </w:rPr>
        <w:t>3</w:t>
      </w:r>
      <w:r w:rsidRPr="00F52ACA">
        <w:rPr>
          <w:b/>
          <w:szCs w:val="24"/>
          <w:u w:val="none"/>
        </w:rPr>
        <w:t>,</w:t>
      </w:r>
      <w:r>
        <w:rPr>
          <w:b/>
          <w:szCs w:val="24"/>
          <w:u w:val="none"/>
        </w:rPr>
        <w:t>265.43</w:t>
      </w:r>
      <w:r w:rsidRPr="00F52ACA">
        <w:rPr>
          <w:b/>
          <w:szCs w:val="24"/>
          <w:u w:val="none"/>
        </w:rPr>
        <w:t>.</w:t>
      </w:r>
    </w:p>
    <w:p w:rsidR="00DB5804" w:rsidRPr="00F52ACA" w:rsidRDefault="00DB5804" w:rsidP="00DB5804">
      <w:pPr>
        <w:pStyle w:val="BodyText2"/>
        <w:ind w:left="709" w:hanging="709"/>
        <w:jc w:val="both"/>
        <w:rPr>
          <w:b/>
          <w:szCs w:val="24"/>
          <w:u w:val="none"/>
        </w:rPr>
      </w:pPr>
      <w:r w:rsidRPr="00F52ACA">
        <w:rPr>
          <w:b/>
          <w:szCs w:val="24"/>
          <w:u w:val="none"/>
        </w:rPr>
        <w:t xml:space="preserve"> </w:t>
      </w:r>
    </w:p>
    <w:p w:rsidR="00DB5804" w:rsidRPr="00F52ACA" w:rsidRDefault="00DB5804" w:rsidP="00DB5804">
      <w:pPr>
        <w:pStyle w:val="BodyText2"/>
        <w:ind w:left="709" w:hanging="709"/>
        <w:jc w:val="both"/>
        <w:rPr>
          <w:szCs w:val="24"/>
          <w:u w:val="none"/>
        </w:rPr>
      </w:pPr>
      <w:r w:rsidRPr="00F52ACA">
        <w:rPr>
          <w:szCs w:val="24"/>
          <w:u w:val="none"/>
        </w:rPr>
        <w:t>3.1</w:t>
      </w:r>
      <w:r w:rsidRPr="00F52ACA">
        <w:rPr>
          <w:szCs w:val="24"/>
          <w:u w:val="none"/>
        </w:rPr>
        <w:tab/>
        <w:t>Pegasus is a suite of applications which provides electronic workflow for covert policing. The management of covert policing is a requirement under the Regulation of Investigatory Powers Act 2000 (RIPA).</w:t>
      </w:r>
    </w:p>
    <w:p w:rsidR="00DB5804" w:rsidRPr="00F52ACA" w:rsidRDefault="00DB5804" w:rsidP="00DB5804">
      <w:pPr>
        <w:pStyle w:val="BodyText2"/>
        <w:ind w:left="709" w:hanging="709"/>
        <w:jc w:val="both"/>
        <w:rPr>
          <w:szCs w:val="24"/>
          <w:u w:val="none"/>
        </w:rPr>
      </w:pPr>
    </w:p>
    <w:p w:rsidR="00DB5804" w:rsidRPr="00F52ACA" w:rsidRDefault="00DB5804" w:rsidP="00DB5804">
      <w:pPr>
        <w:pStyle w:val="BodyText2"/>
        <w:ind w:left="709" w:hanging="709"/>
        <w:jc w:val="both"/>
        <w:rPr>
          <w:szCs w:val="24"/>
          <w:u w:val="none"/>
        </w:rPr>
      </w:pPr>
      <w:r w:rsidRPr="00F52ACA">
        <w:rPr>
          <w:szCs w:val="24"/>
          <w:u w:val="none"/>
        </w:rPr>
        <w:t>3.2</w:t>
      </w:r>
      <w:r w:rsidRPr="00F52ACA">
        <w:rPr>
          <w:szCs w:val="24"/>
          <w:u w:val="none"/>
        </w:rPr>
        <w:tab/>
        <w:t xml:space="preserve">In order to </w:t>
      </w:r>
      <w:r w:rsidR="00AD00F6">
        <w:rPr>
          <w:szCs w:val="24"/>
          <w:u w:val="none"/>
        </w:rPr>
        <w:t xml:space="preserve">ensure an operational system has </w:t>
      </w:r>
      <w:r>
        <w:rPr>
          <w:szCs w:val="24"/>
          <w:u w:val="none"/>
        </w:rPr>
        <w:t>on-going support and maintenance</w:t>
      </w:r>
      <w:r w:rsidR="00AD00F6">
        <w:rPr>
          <w:szCs w:val="24"/>
          <w:u w:val="none"/>
        </w:rPr>
        <w:t xml:space="preserve"> a renewal of this agreement is required.</w:t>
      </w:r>
    </w:p>
    <w:p w:rsidR="00DB5804" w:rsidRPr="00F52ACA" w:rsidRDefault="00DB5804" w:rsidP="00DB5804">
      <w:pPr>
        <w:pStyle w:val="BodyText2"/>
        <w:ind w:left="709" w:hanging="709"/>
        <w:jc w:val="both"/>
        <w:rPr>
          <w:szCs w:val="24"/>
          <w:u w:val="none"/>
        </w:rPr>
      </w:pPr>
    </w:p>
    <w:p w:rsidR="00DB5804" w:rsidRPr="00F52ACA" w:rsidRDefault="00DB5804" w:rsidP="00DB5804">
      <w:pPr>
        <w:pStyle w:val="BodyText2"/>
        <w:ind w:left="709" w:hanging="709"/>
        <w:jc w:val="both"/>
        <w:rPr>
          <w:szCs w:val="24"/>
          <w:u w:val="none"/>
        </w:rPr>
      </w:pPr>
      <w:r w:rsidRPr="00F52ACA">
        <w:rPr>
          <w:szCs w:val="24"/>
          <w:u w:val="none"/>
        </w:rPr>
        <w:t>3.3</w:t>
      </w:r>
      <w:r w:rsidRPr="00F52ACA">
        <w:rPr>
          <w:szCs w:val="24"/>
          <w:u w:val="none"/>
        </w:rPr>
        <w:tab/>
        <w:t xml:space="preserve">ABM </w:t>
      </w:r>
      <w:r w:rsidR="001C7B95" w:rsidRPr="00F52ACA">
        <w:rPr>
          <w:szCs w:val="24"/>
          <w:u w:val="none"/>
        </w:rPr>
        <w:t>is</w:t>
      </w:r>
      <w:r w:rsidRPr="00F52ACA">
        <w:rPr>
          <w:szCs w:val="24"/>
          <w:u w:val="none"/>
        </w:rPr>
        <w:t xml:space="preserve"> the sole provider of Pegasus and therefore this is proprietary.</w:t>
      </w:r>
    </w:p>
    <w:p w:rsidR="00DB5804" w:rsidRDefault="00DB5804" w:rsidP="001C0F1A">
      <w:pPr>
        <w:pStyle w:val="BodyText2"/>
        <w:ind w:left="720"/>
        <w:jc w:val="both"/>
        <w:rPr>
          <w:noProof/>
          <w:szCs w:val="24"/>
          <w:u w:val="none"/>
        </w:rPr>
      </w:pPr>
    </w:p>
    <w:p w:rsidR="00AD00F6" w:rsidRPr="002D35D5" w:rsidRDefault="0077670F" w:rsidP="00AD00F6">
      <w:pPr>
        <w:pStyle w:val="BodyText2"/>
        <w:ind w:left="709" w:hanging="709"/>
        <w:jc w:val="both"/>
        <w:rPr>
          <w:b/>
          <w:szCs w:val="24"/>
          <w:u w:val="none"/>
        </w:rPr>
      </w:pPr>
      <w:r>
        <w:rPr>
          <w:b/>
          <w:szCs w:val="24"/>
          <w:u w:val="none"/>
        </w:rPr>
        <w:t>4</w:t>
      </w:r>
      <w:r w:rsidR="00AD00F6" w:rsidRPr="002D35D5">
        <w:rPr>
          <w:b/>
          <w:szCs w:val="24"/>
          <w:u w:val="none"/>
        </w:rPr>
        <w:t>.</w:t>
      </w:r>
      <w:r w:rsidR="00AD00F6" w:rsidRPr="002D35D5">
        <w:rPr>
          <w:b/>
          <w:szCs w:val="24"/>
          <w:u w:val="none"/>
        </w:rPr>
        <w:tab/>
        <w:t xml:space="preserve">Purchase of </w:t>
      </w:r>
      <w:r>
        <w:rPr>
          <w:b/>
          <w:szCs w:val="24"/>
          <w:u w:val="none"/>
        </w:rPr>
        <w:t>Services</w:t>
      </w:r>
      <w:r w:rsidR="00AD00F6" w:rsidRPr="002D35D5">
        <w:rPr>
          <w:b/>
          <w:szCs w:val="24"/>
          <w:u w:val="none"/>
        </w:rPr>
        <w:t xml:space="preserve"> for ICT at a cost of £18,500 from Intergraph</w:t>
      </w:r>
      <w:r w:rsidR="00AD00F6">
        <w:rPr>
          <w:b/>
          <w:szCs w:val="24"/>
          <w:u w:val="none"/>
        </w:rPr>
        <w:t>.</w:t>
      </w:r>
      <w:r w:rsidR="00AD00F6" w:rsidRPr="002D35D5">
        <w:rPr>
          <w:b/>
          <w:szCs w:val="24"/>
          <w:u w:val="none"/>
        </w:rPr>
        <w:t xml:space="preserve">  </w:t>
      </w:r>
    </w:p>
    <w:p w:rsidR="00AD00F6" w:rsidRPr="002D35D5" w:rsidRDefault="00AD00F6" w:rsidP="00AD00F6">
      <w:pPr>
        <w:pStyle w:val="BodyText2"/>
        <w:ind w:left="709" w:hanging="709"/>
        <w:jc w:val="both"/>
        <w:rPr>
          <w:b/>
          <w:szCs w:val="24"/>
          <w:u w:val="none"/>
        </w:rPr>
      </w:pPr>
    </w:p>
    <w:p w:rsidR="00AD00F6" w:rsidRPr="002D35D5" w:rsidRDefault="0077670F" w:rsidP="00AD00F6">
      <w:pPr>
        <w:pStyle w:val="BodyText2"/>
        <w:ind w:left="709" w:hanging="709"/>
        <w:jc w:val="both"/>
        <w:rPr>
          <w:szCs w:val="24"/>
          <w:u w:val="none"/>
        </w:rPr>
      </w:pPr>
      <w:r>
        <w:rPr>
          <w:szCs w:val="24"/>
          <w:u w:val="none"/>
        </w:rPr>
        <w:t>4</w:t>
      </w:r>
      <w:r w:rsidR="00AD00F6" w:rsidRPr="002D35D5">
        <w:rPr>
          <w:szCs w:val="24"/>
          <w:u w:val="none"/>
        </w:rPr>
        <w:t>.1</w:t>
      </w:r>
      <w:r w:rsidR="00AD00F6" w:rsidRPr="002D35D5">
        <w:rPr>
          <w:szCs w:val="24"/>
          <w:u w:val="none"/>
        </w:rPr>
        <w:tab/>
        <w:t>The Force currently deploys four products procured from Helmdart via Intergraph. These include i/Disclosure, i/PNC and i/VET. These systems are supported by Intergraph.</w:t>
      </w:r>
    </w:p>
    <w:p w:rsidR="00AD00F6" w:rsidRPr="002D35D5" w:rsidRDefault="00AD00F6" w:rsidP="00AD00F6">
      <w:pPr>
        <w:pStyle w:val="BodyText2"/>
        <w:ind w:left="709" w:hanging="709"/>
        <w:jc w:val="both"/>
        <w:rPr>
          <w:szCs w:val="24"/>
          <w:u w:val="none"/>
        </w:rPr>
      </w:pPr>
    </w:p>
    <w:p w:rsidR="00AD00F6" w:rsidRPr="002D35D5" w:rsidRDefault="0077670F" w:rsidP="00AD00F6">
      <w:pPr>
        <w:pStyle w:val="BodyText2"/>
        <w:ind w:left="709" w:hanging="709"/>
        <w:jc w:val="both"/>
        <w:rPr>
          <w:szCs w:val="24"/>
          <w:u w:val="none"/>
        </w:rPr>
      </w:pPr>
      <w:r>
        <w:rPr>
          <w:szCs w:val="24"/>
          <w:u w:val="none"/>
        </w:rPr>
        <w:t>4</w:t>
      </w:r>
      <w:r w:rsidR="00AD00F6" w:rsidRPr="002D35D5">
        <w:rPr>
          <w:szCs w:val="24"/>
          <w:u w:val="none"/>
        </w:rPr>
        <w:t>.2</w:t>
      </w:r>
      <w:r w:rsidR="00AD00F6" w:rsidRPr="002D35D5">
        <w:rPr>
          <w:szCs w:val="24"/>
          <w:u w:val="none"/>
        </w:rPr>
        <w:tab/>
        <w:t>I Disclosure and i/PNC are no longer supported in their current form of an Oracle database. There is a requirement to decommission the server which hosts these databases and applications, which provides an opportunity to migrate the data to the main Force database environment.</w:t>
      </w:r>
    </w:p>
    <w:p w:rsidR="00AD00F6" w:rsidRPr="002D35D5" w:rsidRDefault="00AD00F6" w:rsidP="00AD00F6">
      <w:pPr>
        <w:pStyle w:val="BodyText2"/>
        <w:ind w:left="709" w:hanging="709"/>
        <w:jc w:val="both"/>
        <w:rPr>
          <w:szCs w:val="24"/>
          <w:u w:val="none"/>
        </w:rPr>
      </w:pPr>
    </w:p>
    <w:p w:rsidR="00AD00F6" w:rsidRPr="002D35D5" w:rsidRDefault="0077670F" w:rsidP="00AD00F6">
      <w:pPr>
        <w:pStyle w:val="BodyText2"/>
        <w:ind w:left="709" w:hanging="709"/>
        <w:jc w:val="both"/>
        <w:rPr>
          <w:szCs w:val="24"/>
          <w:u w:val="none"/>
        </w:rPr>
      </w:pPr>
      <w:r>
        <w:rPr>
          <w:szCs w:val="24"/>
          <w:u w:val="none"/>
        </w:rPr>
        <w:t>4</w:t>
      </w:r>
      <w:r w:rsidR="00AD00F6" w:rsidRPr="002D35D5">
        <w:rPr>
          <w:szCs w:val="24"/>
          <w:u w:val="none"/>
        </w:rPr>
        <w:t>.3</w:t>
      </w:r>
      <w:r w:rsidR="00AD00F6" w:rsidRPr="002D35D5">
        <w:rPr>
          <w:szCs w:val="24"/>
          <w:u w:val="none"/>
        </w:rPr>
        <w:tab/>
        <w:t xml:space="preserve">In order to migrate the databases and applications, the data needs to be transferred from an Oracle database to an MS-SQL database. </w:t>
      </w:r>
      <w:r w:rsidR="001C7B95">
        <w:rPr>
          <w:szCs w:val="24"/>
          <w:u w:val="none"/>
        </w:rPr>
        <w:t>A service</w:t>
      </w:r>
      <w:r w:rsidR="00AD00F6" w:rsidRPr="002D35D5">
        <w:rPr>
          <w:szCs w:val="24"/>
          <w:u w:val="none"/>
        </w:rPr>
        <w:t xml:space="preserve"> from Intergraph who provides support f</w:t>
      </w:r>
      <w:r>
        <w:rPr>
          <w:szCs w:val="24"/>
          <w:u w:val="none"/>
        </w:rPr>
        <w:t xml:space="preserve">or these systems is required for </w:t>
      </w:r>
      <w:r w:rsidR="00AD00F6" w:rsidRPr="002D35D5">
        <w:rPr>
          <w:szCs w:val="24"/>
          <w:u w:val="none"/>
        </w:rPr>
        <w:t xml:space="preserve">migration. As support is wholly provided by Intergraph these are the sole providers of this consultancy. </w:t>
      </w:r>
    </w:p>
    <w:p w:rsidR="00AD00F6" w:rsidRDefault="00AD00F6" w:rsidP="001C0F1A">
      <w:pPr>
        <w:pStyle w:val="BodyText2"/>
        <w:ind w:left="720"/>
        <w:jc w:val="both"/>
        <w:rPr>
          <w:noProof/>
          <w:szCs w:val="24"/>
          <w:u w:val="none"/>
        </w:rPr>
      </w:pPr>
    </w:p>
    <w:p w:rsidR="0077670F" w:rsidRPr="00831597" w:rsidRDefault="0077670F" w:rsidP="0077670F">
      <w:pPr>
        <w:pStyle w:val="BodyText2"/>
        <w:tabs>
          <w:tab w:val="left" w:pos="709"/>
        </w:tabs>
        <w:ind w:left="709" w:hanging="709"/>
        <w:jc w:val="both"/>
        <w:rPr>
          <w:szCs w:val="24"/>
        </w:rPr>
      </w:pPr>
      <w:r>
        <w:rPr>
          <w:b/>
          <w:szCs w:val="24"/>
          <w:u w:val="none"/>
        </w:rPr>
        <w:t>5.</w:t>
      </w:r>
      <w:r>
        <w:rPr>
          <w:b/>
          <w:szCs w:val="24"/>
          <w:u w:val="none"/>
        </w:rPr>
        <w:tab/>
        <w:t>Renewal of the Online Legal Database for Legal Services from Lexis Nexis at a cost of £22,201.65.</w:t>
      </w:r>
    </w:p>
    <w:p w:rsidR="0077670F" w:rsidRDefault="0077670F" w:rsidP="0077670F">
      <w:pPr>
        <w:pStyle w:val="BodyText2"/>
        <w:jc w:val="both"/>
        <w:rPr>
          <w:szCs w:val="24"/>
          <w:u w:val="none"/>
        </w:rPr>
      </w:pPr>
    </w:p>
    <w:p w:rsidR="0077670F" w:rsidRDefault="0077670F" w:rsidP="0077670F">
      <w:pPr>
        <w:pStyle w:val="BodyText2"/>
        <w:ind w:left="709" w:hanging="709"/>
        <w:jc w:val="both"/>
        <w:rPr>
          <w:u w:val="none"/>
        </w:rPr>
      </w:pPr>
      <w:r>
        <w:rPr>
          <w:u w:val="none"/>
        </w:rPr>
        <w:t>5.1</w:t>
      </w:r>
      <w:r>
        <w:rPr>
          <w:u w:val="none"/>
        </w:rPr>
        <w:tab/>
        <w:t>Legal Services provide the Force with Legal advice covering a full range of legal disciplines. In order to do this effectively there is a requirement to access a broad spectrum of legal information including legislation, case law and publications.</w:t>
      </w:r>
    </w:p>
    <w:p w:rsidR="0077670F" w:rsidRDefault="0077670F" w:rsidP="0077670F">
      <w:pPr>
        <w:pStyle w:val="BodyText2"/>
        <w:ind w:left="709" w:hanging="709"/>
        <w:jc w:val="both"/>
        <w:rPr>
          <w:u w:val="none"/>
        </w:rPr>
      </w:pPr>
    </w:p>
    <w:p w:rsidR="0080665E" w:rsidRDefault="0080665E" w:rsidP="0080665E">
      <w:pPr>
        <w:pStyle w:val="BodyText2"/>
        <w:numPr>
          <w:ilvl w:val="1"/>
          <w:numId w:val="43"/>
        </w:numPr>
        <w:jc w:val="both"/>
        <w:rPr>
          <w:bCs/>
          <w:szCs w:val="24"/>
          <w:u w:val="none"/>
        </w:rPr>
      </w:pPr>
      <w:r>
        <w:rPr>
          <w:bCs/>
          <w:szCs w:val="24"/>
          <w:u w:val="none"/>
        </w:rPr>
        <w:t xml:space="preserve">There is another provider in the market that can provide access to legal </w:t>
      </w:r>
      <w:r w:rsidR="001C7B95">
        <w:rPr>
          <w:bCs/>
          <w:szCs w:val="24"/>
          <w:u w:val="none"/>
        </w:rPr>
        <w:t>information;</w:t>
      </w:r>
      <w:r>
        <w:rPr>
          <w:bCs/>
          <w:szCs w:val="24"/>
          <w:u w:val="none"/>
        </w:rPr>
        <w:t xml:space="preserve"> however this is not comprehensive and not guaranteed to be </w:t>
      </w:r>
      <w:r w:rsidR="001C7B95">
        <w:rPr>
          <w:bCs/>
          <w:szCs w:val="24"/>
          <w:u w:val="none"/>
        </w:rPr>
        <w:t>up to</w:t>
      </w:r>
      <w:r>
        <w:rPr>
          <w:bCs/>
          <w:szCs w:val="24"/>
          <w:u w:val="none"/>
        </w:rPr>
        <w:t xml:space="preserve"> date.</w:t>
      </w:r>
    </w:p>
    <w:p w:rsidR="002B2B76" w:rsidRDefault="002B2B76" w:rsidP="002B2B76">
      <w:pPr>
        <w:pStyle w:val="BodyText2"/>
        <w:ind w:left="720"/>
        <w:jc w:val="both"/>
        <w:rPr>
          <w:bCs/>
          <w:szCs w:val="24"/>
          <w:u w:val="none"/>
        </w:rPr>
      </w:pPr>
    </w:p>
    <w:p w:rsidR="0080665E" w:rsidRPr="00C53B06" w:rsidRDefault="0080665E" w:rsidP="0080665E">
      <w:pPr>
        <w:pStyle w:val="BodyText2"/>
        <w:numPr>
          <w:ilvl w:val="1"/>
          <w:numId w:val="43"/>
        </w:numPr>
        <w:jc w:val="both"/>
        <w:rPr>
          <w:bCs/>
          <w:noProof/>
          <w:color w:val="FF0000"/>
          <w:szCs w:val="24"/>
          <w:u w:val="none"/>
        </w:rPr>
      </w:pPr>
      <w:r>
        <w:rPr>
          <w:bCs/>
          <w:szCs w:val="24"/>
          <w:u w:val="none"/>
        </w:rPr>
        <w:t>The on-line database provided by Lexis Nexis is the only database which provides a single source access to all relevant information but is also regularly updated with new case law etc. Therefore this is a proprietary product.</w:t>
      </w:r>
    </w:p>
    <w:p w:rsidR="0077670F" w:rsidRDefault="0077670F" w:rsidP="0077670F">
      <w:pPr>
        <w:pStyle w:val="BodyText2"/>
        <w:ind w:left="720"/>
        <w:jc w:val="both"/>
        <w:rPr>
          <w:bCs/>
          <w:szCs w:val="24"/>
          <w:u w:val="none"/>
        </w:rPr>
      </w:pPr>
    </w:p>
    <w:p w:rsidR="0077670F" w:rsidRPr="0077670F" w:rsidRDefault="0077670F" w:rsidP="0080665E">
      <w:pPr>
        <w:pStyle w:val="BodyText2"/>
        <w:numPr>
          <w:ilvl w:val="1"/>
          <w:numId w:val="43"/>
        </w:numPr>
        <w:jc w:val="both"/>
        <w:rPr>
          <w:noProof/>
          <w:szCs w:val="24"/>
          <w:u w:val="none"/>
        </w:rPr>
      </w:pPr>
      <w:r w:rsidRPr="0077670F">
        <w:rPr>
          <w:bCs/>
          <w:szCs w:val="24"/>
          <w:u w:val="none"/>
        </w:rPr>
        <w:t xml:space="preserve">A 12 month extension to the contract rather than a 3 year contract which is usually taken has been requested due to the on-going collaboration review with Durham and North Yorkshire which contracts across all three forces will be consolidated. </w:t>
      </w:r>
    </w:p>
    <w:p w:rsidR="0077670F" w:rsidRDefault="0077670F" w:rsidP="0077670F">
      <w:pPr>
        <w:pStyle w:val="ListParagraph"/>
        <w:rPr>
          <w:noProof/>
          <w:szCs w:val="24"/>
        </w:rPr>
      </w:pPr>
    </w:p>
    <w:p w:rsidR="0080665E" w:rsidRDefault="0080665E" w:rsidP="0080665E">
      <w:pPr>
        <w:pStyle w:val="BodyText2"/>
        <w:ind w:left="709" w:hanging="709"/>
        <w:jc w:val="both"/>
        <w:rPr>
          <w:b/>
          <w:noProof/>
          <w:szCs w:val="24"/>
          <w:u w:val="none"/>
        </w:rPr>
      </w:pPr>
      <w:r>
        <w:rPr>
          <w:b/>
          <w:noProof/>
          <w:szCs w:val="24"/>
          <w:u w:val="none"/>
        </w:rPr>
        <w:t>6.</w:t>
      </w:r>
      <w:r>
        <w:rPr>
          <w:b/>
          <w:noProof/>
          <w:szCs w:val="24"/>
          <w:u w:val="none"/>
        </w:rPr>
        <w:tab/>
        <w:t xml:space="preserve">Contract for kennelling of Dangerous Dogs by Operations Command at a cost of £138,000 over 3 years. </w:t>
      </w:r>
    </w:p>
    <w:p w:rsidR="0080665E" w:rsidRDefault="0080665E" w:rsidP="0080665E">
      <w:pPr>
        <w:pStyle w:val="BodyText2"/>
        <w:ind w:left="709" w:hanging="709"/>
        <w:jc w:val="both"/>
        <w:rPr>
          <w:b/>
          <w:noProof/>
          <w:szCs w:val="24"/>
          <w:u w:val="none"/>
        </w:rPr>
      </w:pPr>
    </w:p>
    <w:p w:rsidR="0080665E" w:rsidRDefault="0080665E" w:rsidP="0080665E">
      <w:pPr>
        <w:pStyle w:val="BodyText2"/>
        <w:ind w:left="709" w:hanging="709"/>
        <w:jc w:val="both"/>
        <w:rPr>
          <w:noProof/>
          <w:szCs w:val="24"/>
          <w:u w:val="none"/>
        </w:rPr>
      </w:pPr>
      <w:r>
        <w:rPr>
          <w:noProof/>
          <w:szCs w:val="24"/>
          <w:u w:val="none"/>
        </w:rPr>
        <w:t>6.1</w:t>
      </w:r>
      <w:r>
        <w:rPr>
          <w:noProof/>
          <w:szCs w:val="24"/>
          <w:u w:val="none"/>
        </w:rPr>
        <w:tab/>
        <w:t>In October 2013 Clevelands current provider for kennelling of dangerous dogs had decided to cease business due to the ill health of the owner.</w:t>
      </w:r>
    </w:p>
    <w:p w:rsidR="0080665E" w:rsidRDefault="0080665E" w:rsidP="0080665E">
      <w:pPr>
        <w:pStyle w:val="BodyText2"/>
        <w:ind w:left="709" w:hanging="709"/>
        <w:jc w:val="both"/>
        <w:rPr>
          <w:noProof/>
          <w:szCs w:val="24"/>
          <w:u w:val="none"/>
        </w:rPr>
      </w:pPr>
    </w:p>
    <w:p w:rsidR="0080665E" w:rsidRDefault="00402376" w:rsidP="0080665E">
      <w:pPr>
        <w:pStyle w:val="BodyText2"/>
        <w:ind w:left="709" w:hanging="709"/>
        <w:jc w:val="both"/>
        <w:rPr>
          <w:noProof/>
          <w:szCs w:val="24"/>
          <w:u w:val="none"/>
        </w:rPr>
      </w:pPr>
      <w:r>
        <w:rPr>
          <w:noProof/>
          <w:szCs w:val="24"/>
          <w:u w:val="none"/>
        </w:rPr>
        <w:t>6</w:t>
      </w:r>
      <w:r w:rsidR="0080665E">
        <w:rPr>
          <w:noProof/>
          <w:szCs w:val="24"/>
          <w:u w:val="none"/>
        </w:rPr>
        <w:t>.2</w:t>
      </w:r>
      <w:r w:rsidR="0080665E">
        <w:rPr>
          <w:noProof/>
          <w:szCs w:val="24"/>
          <w:u w:val="none"/>
        </w:rPr>
        <w:tab/>
      </w:r>
      <w:r w:rsidR="002B2B76">
        <w:rPr>
          <w:noProof/>
          <w:szCs w:val="24"/>
          <w:u w:val="none"/>
        </w:rPr>
        <w:t>On e</w:t>
      </w:r>
      <w:r w:rsidR="0080665E">
        <w:rPr>
          <w:noProof/>
          <w:szCs w:val="24"/>
          <w:u w:val="none"/>
        </w:rPr>
        <w:t>nquiries with local authorities and alternative kennelling facilities it was identified that no-one in the local area was willing to take these dogs.</w:t>
      </w:r>
    </w:p>
    <w:p w:rsidR="0080665E" w:rsidRDefault="0080665E" w:rsidP="0080665E">
      <w:pPr>
        <w:pStyle w:val="BodyText2"/>
        <w:ind w:left="709" w:hanging="709"/>
        <w:jc w:val="both"/>
        <w:rPr>
          <w:noProof/>
          <w:szCs w:val="24"/>
          <w:u w:val="none"/>
        </w:rPr>
      </w:pPr>
    </w:p>
    <w:p w:rsidR="0080665E" w:rsidRDefault="00402376" w:rsidP="00402376">
      <w:pPr>
        <w:pStyle w:val="BodyText2"/>
        <w:ind w:left="709" w:hanging="709"/>
        <w:jc w:val="both"/>
        <w:rPr>
          <w:noProof/>
          <w:szCs w:val="24"/>
          <w:u w:val="none"/>
        </w:rPr>
      </w:pPr>
      <w:r>
        <w:rPr>
          <w:noProof/>
          <w:szCs w:val="24"/>
          <w:u w:val="none"/>
        </w:rPr>
        <w:t>6</w:t>
      </w:r>
      <w:r w:rsidR="0080665E">
        <w:rPr>
          <w:noProof/>
          <w:szCs w:val="24"/>
          <w:u w:val="none"/>
        </w:rPr>
        <w:t>.3</w:t>
      </w:r>
      <w:r w:rsidR="0080665E">
        <w:rPr>
          <w:noProof/>
          <w:szCs w:val="24"/>
          <w:u w:val="none"/>
        </w:rPr>
        <w:tab/>
        <w:t>Durham Police also used Cleveland previous provider for this service, therefore Durham was apporached to establish whom they had sourced to deliver the service. Discussions took place regarding a collaborative contract being put in place for both Forces, however Durham did not wish to enter into a joint agreement. Following our own negotiations and assessment of the facilities it was identified that the provider Durham had sourced would not meet our needs and an alternative provider was sourced.</w:t>
      </w:r>
    </w:p>
    <w:p w:rsidR="0080665E" w:rsidRDefault="0080665E" w:rsidP="0080665E">
      <w:pPr>
        <w:pStyle w:val="BodyText2"/>
        <w:ind w:left="709" w:hanging="709"/>
        <w:jc w:val="both"/>
        <w:rPr>
          <w:noProof/>
          <w:szCs w:val="24"/>
          <w:u w:val="none"/>
        </w:rPr>
      </w:pPr>
    </w:p>
    <w:p w:rsidR="0080665E" w:rsidRDefault="00402376" w:rsidP="0080665E">
      <w:pPr>
        <w:pStyle w:val="BodyText2"/>
        <w:ind w:left="709" w:hanging="709"/>
        <w:jc w:val="both"/>
        <w:rPr>
          <w:noProof/>
          <w:szCs w:val="24"/>
          <w:u w:val="none"/>
        </w:rPr>
      </w:pPr>
      <w:r>
        <w:rPr>
          <w:noProof/>
          <w:szCs w:val="24"/>
          <w:u w:val="none"/>
        </w:rPr>
        <w:t>6</w:t>
      </w:r>
      <w:r w:rsidR="0080665E">
        <w:rPr>
          <w:noProof/>
          <w:szCs w:val="24"/>
          <w:u w:val="none"/>
        </w:rPr>
        <w:t>.4</w:t>
      </w:r>
      <w:r w:rsidR="0080665E">
        <w:rPr>
          <w:noProof/>
          <w:szCs w:val="24"/>
          <w:u w:val="none"/>
        </w:rPr>
        <w:tab/>
        <w:t>This is proprietary as this is the only suitabl</w:t>
      </w:r>
      <w:r w:rsidR="002B2B76">
        <w:rPr>
          <w:noProof/>
          <w:szCs w:val="24"/>
          <w:u w:val="none"/>
        </w:rPr>
        <w:t>e kennelling facility in the lo</w:t>
      </w:r>
      <w:r w:rsidR="0080665E">
        <w:rPr>
          <w:noProof/>
          <w:szCs w:val="24"/>
          <w:u w:val="none"/>
        </w:rPr>
        <w:t>c</w:t>
      </w:r>
      <w:r w:rsidR="002B2B76">
        <w:rPr>
          <w:noProof/>
          <w:szCs w:val="24"/>
          <w:u w:val="none"/>
        </w:rPr>
        <w:t>a</w:t>
      </w:r>
      <w:r w:rsidR="0080665E">
        <w:rPr>
          <w:noProof/>
          <w:szCs w:val="24"/>
          <w:u w:val="none"/>
        </w:rPr>
        <w:t>l area which was willin</w:t>
      </w:r>
      <w:r>
        <w:rPr>
          <w:noProof/>
          <w:szCs w:val="24"/>
          <w:u w:val="none"/>
        </w:rPr>
        <w:t>g to take on the dangerous dogs, however it has been agreed that a procurement exercise will be conducted prior to the expiry of the initial 1 year term to test the market and provide assurances of the proprieatry status.</w:t>
      </w:r>
    </w:p>
    <w:p w:rsidR="0080665E" w:rsidRDefault="0080665E" w:rsidP="0080665E">
      <w:pPr>
        <w:jc w:val="both"/>
        <w:rPr>
          <w:rFonts w:ascii="Tahoma" w:hAnsi="Tahoma" w:cs="Tahoma"/>
          <w:b/>
          <w:sz w:val="24"/>
          <w:szCs w:val="24"/>
          <w:u w:val="single"/>
          <w:lang w:eastAsia="en-GB"/>
        </w:rPr>
      </w:pPr>
    </w:p>
    <w:p w:rsidR="0080665E" w:rsidRDefault="00402376" w:rsidP="0080665E">
      <w:pPr>
        <w:pStyle w:val="BodyText2"/>
        <w:ind w:left="709" w:hanging="709"/>
        <w:jc w:val="both"/>
        <w:rPr>
          <w:b/>
          <w:noProof/>
          <w:szCs w:val="24"/>
          <w:u w:val="none"/>
        </w:rPr>
      </w:pPr>
      <w:r>
        <w:rPr>
          <w:b/>
          <w:noProof/>
          <w:szCs w:val="24"/>
          <w:u w:val="none"/>
        </w:rPr>
        <w:t>7</w:t>
      </w:r>
      <w:r w:rsidR="0080665E" w:rsidRPr="00455AC7">
        <w:rPr>
          <w:b/>
          <w:noProof/>
          <w:szCs w:val="24"/>
          <w:u w:val="none"/>
        </w:rPr>
        <w:t>.</w:t>
      </w:r>
      <w:r w:rsidR="0080665E" w:rsidRPr="00455AC7">
        <w:rPr>
          <w:b/>
          <w:noProof/>
          <w:szCs w:val="24"/>
          <w:u w:val="none"/>
        </w:rPr>
        <w:tab/>
      </w:r>
      <w:r>
        <w:rPr>
          <w:b/>
          <w:noProof/>
          <w:szCs w:val="24"/>
          <w:u w:val="none"/>
        </w:rPr>
        <w:t xml:space="preserve">Annual Maintenance and Support </w:t>
      </w:r>
      <w:r w:rsidR="0080665E">
        <w:rPr>
          <w:b/>
          <w:noProof/>
          <w:szCs w:val="24"/>
          <w:u w:val="none"/>
        </w:rPr>
        <w:t>of Cyccomms Software by Covert Standards from Geoff S</w:t>
      </w:r>
      <w:r>
        <w:rPr>
          <w:b/>
          <w:noProof/>
          <w:szCs w:val="24"/>
          <w:u w:val="none"/>
        </w:rPr>
        <w:t>mith Associates at a cost of £18</w:t>
      </w:r>
      <w:r w:rsidR="0080665E">
        <w:rPr>
          <w:b/>
          <w:noProof/>
          <w:szCs w:val="24"/>
          <w:u w:val="none"/>
        </w:rPr>
        <w:t>,</w:t>
      </w:r>
      <w:r>
        <w:rPr>
          <w:b/>
          <w:noProof/>
          <w:szCs w:val="24"/>
          <w:u w:val="none"/>
        </w:rPr>
        <w:t>146.30</w:t>
      </w:r>
    </w:p>
    <w:p w:rsidR="0080665E" w:rsidRDefault="0080665E" w:rsidP="0080665E">
      <w:pPr>
        <w:pStyle w:val="BodyText2"/>
        <w:ind w:left="709" w:hanging="709"/>
        <w:jc w:val="both"/>
        <w:rPr>
          <w:b/>
          <w:noProof/>
          <w:szCs w:val="24"/>
          <w:u w:val="none"/>
        </w:rPr>
      </w:pPr>
      <w:r>
        <w:rPr>
          <w:b/>
          <w:noProof/>
          <w:szCs w:val="24"/>
          <w:u w:val="none"/>
        </w:rPr>
        <w:t xml:space="preserve"> </w:t>
      </w:r>
    </w:p>
    <w:p w:rsidR="0080665E" w:rsidRDefault="00BE0734" w:rsidP="0080665E">
      <w:pPr>
        <w:pStyle w:val="BodyText2"/>
        <w:ind w:left="709" w:hanging="709"/>
        <w:jc w:val="both"/>
        <w:rPr>
          <w:noProof/>
          <w:szCs w:val="24"/>
          <w:u w:val="none"/>
        </w:rPr>
      </w:pPr>
      <w:r>
        <w:rPr>
          <w:noProof/>
          <w:szCs w:val="24"/>
          <w:u w:val="none"/>
        </w:rPr>
        <w:t>7</w:t>
      </w:r>
      <w:r w:rsidR="0080665E">
        <w:rPr>
          <w:noProof/>
          <w:szCs w:val="24"/>
          <w:u w:val="none"/>
        </w:rPr>
        <w:t>.1</w:t>
      </w:r>
      <w:r w:rsidR="0080665E">
        <w:rPr>
          <w:noProof/>
          <w:szCs w:val="24"/>
          <w:u w:val="none"/>
        </w:rPr>
        <w:tab/>
        <w:t>The Home Office funded collaboration</w:t>
      </w:r>
      <w:r w:rsidR="00402376">
        <w:rPr>
          <w:noProof/>
          <w:szCs w:val="24"/>
          <w:u w:val="none"/>
        </w:rPr>
        <w:t xml:space="preserve"> a number of years ago</w:t>
      </w:r>
      <w:r w:rsidR="0080665E">
        <w:rPr>
          <w:noProof/>
          <w:szCs w:val="24"/>
          <w:u w:val="none"/>
        </w:rPr>
        <w:t xml:space="preserve"> for a regional solutioner for telephon</w:t>
      </w:r>
      <w:r w:rsidR="00402376">
        <w:rPr>
          <w:noProof/>
          <w:szCs w:val="24"/>
          <w:u w:val="none"/>
        </w:rPr>
        <w:t>e</w:t>
      </w:r>
      <w:r w:rsidR="0080665E">
        <w:rPr>
          <w:noProof/>
          <w:szCs w:val="24"/>
          <w:u w:val="none"/>
        </w:rPr>
        <w:t xml:space="preserve"> analysis for investigations.</w:t>
      </w:r>
    </w:p>
    <w:p w:rsidR="0080665E" w:rsidRDefault="0080665E" w:rsidP="0080665E">
      <w:pPr>
        <w:pStyle w:val="BodyText2"/>
        <w:ind w:left="709" w:hanging="709"/>
        <w:jc w:val="both"/>
        <w:rPr>
          <w:noProof/>
          <w:szCs w:val="24"/>
          <w:u w:val="none"/>
        </w:rPr>
      </w:pPr>
    </w:p>
    <w:p w:rsidR="0080665E" w:rsidRDefault="00BE0734" w:rsidP="0080665E">
      <w:pPr>
        <w:pStyle w:val="BodyText2"/>
        <w:ind w:left="709" w:hanging="709"/>
        <w:jc w:val="both"/>
        <w:rPr>
          <w:noProof/>
          <w:szCs w:val="24"/>
          <w:u w:val="none"/>
        </w:rPr>
      </w:pPr>
      <w:r>
        <w:rPr>
          <w:noProof/>
          <w:szCs w:val="24"/>
          <w:u w:val="none"/>
        </w:rPr>
        <w:t>7</w:t>
      </w:r>
      <w:r w:rsidR="0080665E">
        <w:rPr>
          <w:noProof/>
          <w:szCs w:val="24"/>
          <w:u w:val="none"/>
        </w:rPr>
        <w:t>.2</w:t>
      </w:r>
      <w:r w:rsidR="0080665E">
        <w:rPr>
          <w:noProof/>
          <w:szCs w:val="24"/>
          <w:u w:val="none"/>
        </w:rPr>
        <w:tab/>
      </w:r>
      <w:r w:rsidR="00402376">
        <w:rPr>
          <w:noProof/>
          <w:szCs w:val="24"/>
          <w:u w:val="none"/>
        </w:rPr>
        <w:t>Support and Maintenance for the application is required to ensure</w:t>
      </w:r>
      <w:r>
        <w:rPr>
          <w:noProof/>
          <w:szCs w:val="24"/>
          <w:u w:val="none"/>
        </w:rPr>
        <w:t xml:space="preserve"> </w:t>
      </w:r>
      <w:r w:rsidR="00402376">
        <w:rPr>
          <w:noProof/>
          <w:szCs w:val="24"/>
          <w:u w:val="none"/>
        </w:rPr>
        <w:t>the software is adequatley supported and receives upgrades.</w:t>
      </w:r>
    </w:p>
    <w:p w:rsidR="0080665E" w:rsidRDefault="0080665E" w:rsidP="0080665E">
      <w:pPr>
        <w:pStyle w:val="BodyText2"/>
        <w:ind w:left="709" w:hanging="709"/>
        <w:jc w:val="both"/>
        <w:rPr>
          <w:noProof/>
          <w:szCs w:val="24"/>
          <w:u w:val="none"/>
        </w:rPr>
      </w:pPr>
    </w:p>
    <w:p w:rsidR="0080665E" w:rsidRDefault="00BE0734" w:rsidP="0080665E">
      <w:pPr>
        <w:pStyle w:val="BodyText2"/>
        <w:ind w:left="709" w:hanging="709"/>
        <w:jc w:val="both"/>
        <w:rPr>
          <w:bCs/>
          <w:szCs w:val="24"/>
        </w:rPr>
      </w:pPr>
      <w:r>
        <w:rPr>
          <w:noProof/>
          <w:szCs w:val="24"/>
          <w:u w:val="none"/>
        </w:rPr>
        <w:t>7</w:t>
      </w:r>
      <w:r w:rsidR="0080665E">
        <w:rPr>
          <w:noProof/>
          <w:szCs w:val="24"/>
          <w:u w:val="none"/>
        </w:rPr>
        <w:t>.3</w:t>
      </w:r>
      <w:r w:rsidR="0080665E">
        <w:rPr>
          <w:noProof/>
          <w:szCs w:val="24"/>
          <w:u w:val="none"/>
        </w:rPr>
        <w:tab/>
      </w:r>
      <w:r>
        <w:rPr>
          <w:noProof/>
          <w:szCs w:val="24"/>
          <w:u w:val="none"/>
        </w:rPr>
        <w:t xml:space="preserve">Maintenance of the software can only be provided by </w:t>
      </w:r>
      <w:r w:rsidR="0080665E">
        <w:rPr>
          <w:noProof/>
          <w:szCs w:val="24"/>
          <w:u w:val="none"/>
        </w:rPr>
        <w:t xml:space="preserve">Geoff Smith Associates </w:t>
      </w:r>
      <w:r w:rsidR="002B2B76">
        <w:rPr>
          <w:noProof/>
          <w:szCs w:val="24"/>
          <w:u w:val="none"/>
        </w:rPr>
        <w:t xml:space="preserve">they </w:t>
      </w:r>
      <w:r w:rsidR="0080665E">
        <w:rPr>
          <w:noProof/>
          <w:szCs w:val="24"/>
          <w:u w:val="none"/>
        </w:rPr>
        <w:t>are the sole provider of this product therefore it is proprietary.</w:t>
      </w:r>
      <w:r w:rsidR="0080665E">
        <w:rPr>
          <w:bCs/>
          <w:szCs w:val="24"/>
        </w:rPr>
        <w:t xml:space="preserve"> </w:t>
      </w:r>
    </w:p>
    <w:p w:rsidR="0077670F" w:rsidRDefault="0077670F" w:rsidP="0080665E">
      <w:pPr>
        <w:pStyle w:val="BodyText2"/>
        <w:ind w:left="720"/>
        <w:jc w:val="both"/>
        <w:rPr>
          <w:noProof/>
          <w:szCs w:val="24"/>
          <w:u w:val="none"/>
        </w:rPr>
      </w:pPr>
    </w:p>
    <w:p w:rsidR="00BE0734" w:rsidRDefault="00BE0734" w:rsidP="0080665E">
      <w:pPr>
        <w:pStyle w:val="BodyText2"/>
        <w:ind w:left="720"/>
        <w:jc w:val="both"/>
        <w:rPr>
          <w:noProof/>
          <w:szCs w:val="24"/>
          <w:u w:val="none"/>
        </w:rPr>
      </w:pPr>
    </w:p>
    <w:p w:rsidR="00BE0734" w:rsidRPr="00F52ACA" w:rsidRDefault="00BE0734" w:rsidP="00BE0734">
      <w:pPr>
        <w:pStyle w:val="BodyText2"/>
        <w:ind w:left="709" w:hanging="709"/>
        <w:jc w:val="both"/>
        <w:rPr>
          <w:b/>
          <w:bCs/>
          <w:szCs w:val="24"/>
          <w:u w:val="none"/>
        </w:rPr>
      </w:pPr>
      <w:r>
        <w:rPr>
          <w:b/>
          <w:bCs/>
          <w:szCs w:val="24"/>
          <w:u w:val="none"/>
        </w:rPr>
        <w:t>8.</w:t>
      </w:r>
      <w:r>
        <w:rPr>
          <w:b/>
          <w:bCs/>
          <w:szCs w:val="24"/>
          <w:u w:val="none"/>
        </w:rPr>
        <w:tab/>
      </w:r>
      <w:r w:rsidRPr="00F52ACA">
        <w:rPr>
          <w:b/>
          <w:bCs/>
          <w:szCs w:val="24"/>
          <w:u w:val="none"/>
        </w:rPr>
        <w:t>Provis</w:t>
      </w:r>
      <w:r>
        <w:rPr>
          <w:b/>
          <w:bCs/>
          <w:szCs w:val="24"/>
          <w:u w:val="none"/>
        </w:rPr>
        <w:t>ion of Corporate UK Phonebook for</w:t>
      </w:r>
      <w:r w:rsidRPr="00F52ACA">
        <w:rPr>
          <w:b/>
          <w:bCs/>
          <w:szCs w:val="24"/>
          <w:u w:val="none"/>
        </w:rPr>
        <w:t xml:space="preserve"> ICT at a cost of £11,100 from </w:t>
      </w:r>
      <w:r w:rsidRPr="003F5924">
        <w:rPr>
          <w:b/>
          <w:bCs/>
          <w:szCs w:val="24"/>
          <w:u w:val="none"/>
        </w:rPr>
        <w:t>Siminuix</w:t>
      </w:r>
      <w:r>
        <w:rPr>
          <w:b/>
          <w:bCs/>
          <w:szCs w:val="24"/>
          <w:u w:val="none"/>
        </w:rPr>
        <w:t>.</w:t>
      </w:r>
    </w:p>
    <w:p w:rsidR="00BE0734" w:rsidRPr="00F52ACA" w:rsidRDefault="00BE0734" w:rsidP="00BE0734">
      <w:pPr>
        <w:pStyle w:val="BodyText2"/>
        <w:jc w:val="both"/>
        <w:rPr>
          <w:b/>
          <w:bCs/>
          <w:szCs w:val="24"/>
        </w:rPr>
      </w:pPr>
    </w:p>
    <w:p w:rsidR="00BE0734" w:rsidRPr="00F52ACA" w:rsidRDefault="00BE0734" w:rsidP="00BE0734">
      <w:pPr>
        <w:pStyle w:val="BodyText2"/>
        <w:ind w:left="709" w:hanging="709"/>
        <w:jc w:val="both"/>
        <w:rPr>
          <w:szCs w:val="24"/>
          <w:u w:val="none"/>
        </w:rPr>
      </w:pPr>
      <w:r>
        <w:rPr>
          <w:szCs w:val="24"/>
          <w:u w:val="none"/>
        </w:rPr>
        <w:t>8</w:t>
      </w:r>
      <w:r w:rsidRPr="00F52ACA">
        <w:rPr>
          <w:szCs w:val="24"/>
          <w:u w:val="none"/>
        </w:rPr>
        <w:t>.1</w:t>
      </w:r>
      <w:r w:rsidRPr="00F52ACA">
        <w:rPr>
          <w:szCs w:val="24"/>
          <w:u w:val="none"/>
        </w:rPr>
        <w:tab/>
        <w:t>Cleveland Police have used Corporate UK Phonebook to provide Officers and staff access to addresses and phone numbers v</w:t>
      </w:r>
      <w:r>
        <w:rPr>
          <w:szCs w:val="24"/>
          <w:u w:val="none"/>
        </w:rPr>
        <w:t>i</w:t>
      </w:r>
      <w:r w:rsidRPr="00F52ACA">
        <w:rPr>
          <w:szCs w:val="24"/>
          <w:u w:val="none"/>
        </w:rPr>
        <w:t>a the intranet site for a number of years.</w:t>
      </w:r>
    </w:p>
    <w:p w:rsidR="00BE0734" w:rsidRPr="00F52ACA" w:rsidRDefault="00BE0734" w:rsidP="00BE0734">
      <w:pPr>
        <w:pStyle w:val="BodyText2"/>
        <w:ind w:left="709" w:hanging="709"/>
        <w:jc w:val="both"/>
        <w:rPr>
          <w:szCs w:val="24"/>
          <w:u w:val="none"/>
        </w:rPr>
      </w:pPr>
    </w:p>
    <w:p w:rsidR="00BE0734" w:rsidRPr="00F52ACA" w:rsidRDefault="00BE0734" w:rsidP="00BE0734">
      <w:pPr>
        <w:pStyle w:val="BodyText2"/>
        <w:ind w:left="709" w:hanging="709"/>
        <w:jc w:val="both"/>
        <w:rPr>
          <w:szCs w:val="24"/>
          <w:u w:val="none"/>
        </w:rPr>
      </w:pPr>
      <w:r>
        <w:rPr>
          <w:szCs w:val="24"/>
          <w:u w:val="none"/>
        </w:rPr>
        <w:t>8.2</w:t>
      </w:r>
      <w:r>
        <w:rPr>
          <w:szCs w:val="24"/>
          <w:u w:val="none"/>
        </w:rPr>
        <w:tab/>
        <w:t>I</w:t>
      </w:r>
      <w:r w:rsidRPr="00F52ACA">
        <w:rPr>
          <w:szCs w:val="24"/>
          <w:u w:val="none"/>
        </w:rPr>
        <w:t>n an effort to reduce costs the need for this service was reviewed and a decision was taken to cancel the contract, however following feedback from users regarding the concerns of this cancellation</w:t>
      </w:r>
      <w:r>
        <w:rPr>
          <w:szCs w:val="24"/>
          <w:u w:val="none"/>
        </w:rPr>
        <w:t>,</w:t>
      </w:r>
      <w:r w:rsidRPr="00F52ACA">
        <w:rPr>
          <w:szCs w:val="24"/>
          <w:u w:val="none"/>
        </w:rPr>
        <w:t xml:space="preserve"> and a review of the functionality</w:t>
      </w:r>
      <w:r>
        <w:rPr>
          <w:szCs w:val="24"/>
          <w:u w:val="none"/>
        </w:rPr>
        <w:t>,</w:t>
      </w:r>
      <w:r w:rsidRPr="00F52ACA">
        <w:rPr>
          <w:szCs w:val="24"/>
          <w:u w:val="none"/>
        </w:rPr>
        <w:t xml:space="preserve"> a decision was made to reinstate and enable the additional functionality available which includes company and director information and IP addresses for use in investigations.</w:t>
      </w:r>
    </w:p>
    <w:p w:rsidR="00BE0734" w:rsidRPr="00F52ACA" w:rsidRDefault="00BE0734" w:rsidP="00BE0734">
      <w:pPr>
        <w:pStyle w:val="BodyText2"/>
        <w:ind w:left="709" w:hanging="709"/>
        <w:jc w:val="both"/>
        <w:rPr>
          <w:szCs w:val="24"/>
          <w:u w:val="none"/>
        </w:rPr>
      </w:pPr>
    </w:p>
    <w:p w:rsidR="00BE0734" w:rsidRPr="00F52ACA" w:rsidRDefault="00BE0734" w:rsidP="00BE0734">
      <w:pPr>
        <w:pStyle w:val="BodyText2"/>
        <w:ind w:left="709" w:hanging="709"/>
        <w:jc w:val="both"/>
        <w:rPr>
          <w:szCs w:val="24"/>
          <w:u w:val="none"/>
        </w:rPr>
      </w:pPr>
      <w:r>
        <w:rPr>
          <w:szCs w:val="24"/>
          <w:u w:val="none"/>
        </w:rPr>
        <w:t>8</w:t>
      </w:r>
      <w:r w:rsidRPr="00F52ACA">
        <w:rPr>
          <w:szCs w:val="24"/>
          <w:u w:val="none"/>
        </w:rPr>
        <w:t>.3</w:t>
      </w:r>
      <w:r w:rsidRPr="00F52ACA">
        <w:rPr>
          <w:szCs w:val="24"/>
          <w:u w:val="none"/>
        </w:rPr>
        <w:tab/>
        <w:t xml:space="preserve">UK Phonebook can only be provided by Siminuix and therefore is proprietary. </w:t>
      </w:r>
    </w:p>
    <w:p w:rsidR="00BE0734" w:rsidRDefault="00BE0734" w:rsidP="00BE0734">
      <w:pPr>
        <w:pStyle w:val="BodyText2"/>
        <w:ind w:left="709" w:hanging="709"/>
        <w:jc w:val="both"/>
        <w:rPr>
          <w:b/>
          <w:noProof/>
          <w:szCs w:val="24"/>
          <w:u w:val="none"/>
        </w:rPr>
      </w:pPr>
    </w:p>
    <w:p w:rsidR="00BE0734" w:rsidRDefault="00BE0734" w:rsidP="00BE0734">
      <w:pPr>
        <w:pStyle w:val="BodyText2"/>
        <w:ind w:left="709" w:hanging="709"/>
        <w:jc w:val="both"/>
        <w:rPr>
          <w:b/>
          <w:noProof/>
          <w:szCs w:val="24"/>
          <w:u w:val="none"/>
        </w:rPr>
      </w:pPr>
      <w:r>
        <w:rPr>
          <w:b/>
          <w:noProof/>
          <w:szCs w:val="24"/>
          <w:u w:val="none"/>
        </w:rPr>
        <w:t>9.</w:t>
      </w:r>
      <w:r>
        <w:rPr>
          <w:b/>
          <w:noProof/>
          <w:szCs w:val="24"/>
          <w:u w:val="none"/>
        </w:rPr>
        <w:tab/>
        <w:t>Purchase of Cellebrite Licence by Crime and Justice at a cost of £7,095 from Cellebrite</w:t>
      </w:r>
    </w:p>
    <w:p w:rsidR="00BE0734" w:rsidRDefault="00BE0734" w:rsidP="00BE0734">
      <w:pPr>
        <w:pStyle w:val="BodyText2"/>
        <w:ind w:left="709" w:hanging="709"/>
        <w:jc w:val="both"/>
        <w:rPr>
          <w:b/>
          <w:noProof/>
          <w:szCs w:val="24"/>
          <w:u w:val="none"/>
        </w:rPr>
      </w:pPr>
    </w:p>
    <w:p w:rsidR="00BE0734" w:rsidRDefault="00BE0734" w:rsidP="00BE0734">
      <w:pPr>
        <w:pStyle w:val="BodyText2"/>
        <w:ind w:left="709" w:hanging="709"/>
        <w:jc w:val="both"/>
        <w:rPr>
          <w:noProof/>
          <w:szCs w:val="24"/>
          <w:u w:val="none"/>
        </w:rPr>
      </w:pPr>
      <w:r>
        <w:rPr>
          <w:noProof/>
          <w:szCs w:val="24"/>
          <w:u w:val="none"/>
        </w:rPr>
        <w:t xml:space="preserve"> 9.1</w:t>
      </w:r>
      <w:r>
        <w:rPr>
          <w:noProof/>
          <w:szCs w:val="24"/>
          <w:u w:val="none"/>
        </w:rPr>
        <w:tab/>
        <w:t xml:space="preserve">Cellbrite Licence provides the force with software/equipment tools to forensically examine smart phones/tablets. Without this software the result would be the requirement for the Force to send these devices to private forensic laboratorys at significantly higher costs. </w:t>
      </w:r>
    </w:p>
    <w:p w:rsidR="00BE0734" w:rsidRDefault="00BE0734" w:rsidP="00BE0734">
      <w:pPr>
        <w:pStyle w:val="BodyText2"/>
        <w:ind w:left="709" w:hanging="709"/>
        <w:jc w:val="both"/>
        <w:rPr>
          <w:noProof/>
          <w:szCs w:val="24"/>
          <w:u w:val="none"/>
        </w:rPr>
      </w:pPr>
    </w:p>
    <w:p w:rsidR="00BE0734" w:rsidRDefault="00BE0734" w:rsidP="00BE0734">
      <w:pPr>
        <w:pStyle w:val="BodyText2"/>
        <w:ind w:left="709" w:hanging="709"/>
        <w:jc w:val="both"/>
        <w:rPr>
          <w:noProof/>
          <w:szCs w:val="24"/>
          <w:u w:val="none"/>
        </w:rPr>
      </w:pPr>
      <w:r>
        <w:rPr>
          <w:noProof/>
          <w:szCs w:val="24"/>
          <w:u w:val="none"/>
        </w:rPr>
        <w:t>9.2</w:t>
      </w:r>
      <w:r>
        <w:rPr>
          <w:noProof/>
          <w:szCs w:val="24"/>
          <w:u w:val="none"/>
        </w:rPr>
        <w:tab/>
        <w:t xml:space="preserve">This software along with the other tool used in force is only one of two tools recognised by ACPO and the College of Policing, and each tool provides differing extraction availability (no one piece of software will extract data from all known devices). </w:t>
      </w:r>
    </w:p>
    <w:p w:rsidR="00BE0734" w:rsidRDefault="00BE0734" w:rsidP="00BE0734">
      <w:pPr>
        <w:pStyle w:val="BodyText2"/>
        <w:ind w:left="709" w:hanging="709"/>
        <w:jc w:val="both"/>
        <w:rPr>
          <w:noProof/>
          <w:szCs w:val="24"/>
          <w:u w:val="none"/>
        </w:rPr>
      </w:pPr>
    </w:p>
    <w:p w:rsidR="00BE0734" w:rsidRDefault="00BE0734" w:rsidP="00BE0734">
      <w:pPr>
        <w:pStyle w:val="BodyText2"/>
        <w:ind w:left="709" w:hanging="709"/>
        <w:jc w:val="both"/>
        <w:rPr>
          <w:noProof/>
          <w:szCs w:val="24"/>
          <w:u w:val="none"/>
        </w:rPr>
      </w:pPr>
      <w:r>
        <w:rPr>
          <w:noProof/>
          <w:szCs w:val="24"/>
          <w:u w:val="none"/>
        </w:rPr>
        <w:t>9.3</w:t>
      </w:r>
      <w:r>
        <w:rPr>
          <w:noProof/>
          <w:szCs w:val="24"/>
          <w:u w:val="none"/>
        </w:rPr>
        <w:tab/>
        <w:t>The Force had a backlog of  devices awaiting examination, an additional licence will provide additional resilience during busy operational periods.</w:t>
      </w:r>
    </w:p>
    <w:p w:rsidR="00BE0734" w:rsidRDefault="00BE0734" w:rsidP="00BE0734">
      <w:pPr>
        <w:pStyle w:val="BodyText2"/>
        <w:ind w:left="709" w:hanging="709"/>
        <w:jc w:val="both"/>
        <w:rPr>
          <w:noProof/>
          <w:szCs w:val="24"/>
          <w:u w:val="none"/>
        </w:rPr>
      </w:pPr>
    </w:p>
    <w:p w:rsidR="00BE0734" w:rsidRPr="00F52ACA" w:rsidRDefault="00BE0734" w:rsidP="00BE0734">
      <w:pPr>
        <w:pStyle w:val="BodyText2"/>
        <w:ind w:left="709" w:hanging="709"/>
        <w:jc w:val="both"/>
        <w:rPr>
          <w:szCs w:val="24"/>
          <w:u w:val="none"/>
        </w:rPr>
      </w:pPr>
      <w:r>
        <w:rPr>
          <w:noProof/>
          <w:szCs w:val="24"/>
          <w:u w:val="none"/>
        </w:rPr>
        <w:t>9.4</w:t>
      </w:r>
      <w:r>
        <w:rPr>
          <w:noProof/>
          <w:szCs w:val="24"/>
          <w:u w:val="none"/>
        </w:rPr>
        <w:tab/>
        <w:t>Although the cost of the licence is below £10,000, as there is already spend with Cellbrite the total expenditure with this provider is above £10,000.</w:t>
      </w:r>
    </w:p>
    <w:p w:rsidR="00BE0734" w:rsidRDefault="00BE0734" w:rsidP="0080665E">
      <w:pPr>
        <w:pStyle w:val="BodyText2"/>
        <w:ind w:left="720"/>
        <w:jc w:val="both"/>
        <w:rPr>
          <w:noProof/>
          <w:szCs w:val="24"/>
          <w:u w:val="none"/>
        </w:rPr>
      </w:pPr>
    </w:p>
    <w:p w:rsidR="004B1858" w:rsidRDefault="004B1858" w:rsidP="0080665E">
      <w:pPr>
        <w:pStyle w:val="BodyText2"/>
        <w:ind w:left="720"/>
        <w:jc w:val="both"/>
        <w:rPr>
          <w:noProof/>
          <w:szCs w:val="24"/>
          <w:u w:val="none"/>
        </w:rPr>
      </w:pPr>
    </w:p>
    <w:p w:rsidR="004B1858" w:rsidRPr="005F674C" w:rsidRDefault="004B1858" w:rsidP="005F674C">
      <w:pPr>
        <w:pStyle w:val="BodyText2"/>
        <w:jc w:val="both"/>
        <w:rPr>
          <w:b/>
          <w:szCs w:val="24"/>
          <w:u w:val="none"/>
        </w:rPr>
      </w:pPr>
      <w:r>
        <w:rPr>
          <w:b/>
          <w:szCs w:val="24"/>
          <w:u w:val="none"/>
        </w:rPr>
        <w:t>10.</w:t>
      </w:r>
      <w:r w:rsidRPr="00C049D6">
        <w:rPr>
          <w:b/>
          <w:szCs w:val="24"/>
          <w:u w:val="none"/>
        </w:rPr>
        <w:t xml:space="preserve">  </w:t>
      </w:r>
      <w:r>
        <w:rPr>
          <w:b/>
          <w:szCs w:val="24"/>
          <w:u w:val="none"/>
        </w:rPr>
        <w:t>Contract for the Installation, Dec</w:t>
      </w:r>
      <w:r w:rsidR="005F674C">
        <w:rPr>
          <w:b/>
          <w:szCs w:val="24"/>
          <w:u w:val="none"/>
        </w:rPr>
        <w:t xml:space="preserve">ommissioning and Maintenance of </w:t>
      </w:r>
      <w:r>
        <w:rPr>
          <w:b/>
          <w:szCs w:val="24"/>
          <w:u w:val="none"/>
        </w:rPr>
        <w:t>Airwaves Equipment in Police vehicles for ICT at a cost of £22,640 for 2 years from Cleveland Fire Brigade</w:t>
      </w:r>
    </w:p>
    <w:p w:rsidR="004B1858" w:rsidRPr="00831597" w:rsidRDefault="004B1858" w:rsidP="004B1858">
      <w:pPr>
        <w:pStyle w:val="BodyText2"/>
        <w:ind w:left="360"/>
        <w:jc w:val="both"/>
        <w:rPr>
          <w:bCs/>
          <w:noProof/>
          <w:szCs w:val="24"/>
          <w:u w:val="none"/>
        </w:rPr>
      </w:pPr>
    </w:p>
    <w:p w:rsidR="004B1858" w:rsidRDefault="007E111E" w:rsidP="004B1858">
      <w:pPr>
        <w:ind w:left="709" w:hanging="709"/>
        <w:jc w:val="both"/>
        <w:rPr>
          <w:rFonts w:ascii="Tahoma" w:hAnsi="Tahoma" w:cs="Tahoma"/>
          <w:bCs/>
          <w:noProof/>
          <w:sz w:val="24"/>
          <w:szCs w:val="24"/>
        </w:rPr>
      </w:pPr>
      <w:r>
        <w:rPr>
          <w:rFonts w:ascii="Tahoma" w:hAnsi="Tahoma" w:cs="Tahoma"/>
          <w:bCs/>
          <w:noProof/>
          <w:sz w:val="24"/>
          <w:szCs w:val="24"/>
        </w:rPr>
        <w:t>10</w:t>
      </w:r>
      <w:r w:rsidR="004B1858">
        <w:rPr>
          <w:rFonts w:ascii="Tahoma" w:hAnsi="Tahoma" w:cs="Tahoma"/>
          <w:bCs/>
          <w:noProof/>
          <w:sz w:val="24"/>
          <w:szCs w:val="24"/>
        </w:rPr>
        <w:t>.1</w:t>
      </w:r>
      <w:r w:rsidR="004B1858">
        <w:rPr>
          <w:rFonts w:ascii="Tahoma" w:hAnsi="Tahoma" w:cs="Tahoma"/>
          <w:bCs/>
          <w:noProof/>
          <w:sz w:val="24"/>
          <w:szCs w:val="24"/>
        </w:rPr>
        <w:tab/>
        <w:t>The installation, decommissioning and manintenance of airwaves radio equipment into Police vehicles  must be carried out by accredited and security cleared workshops.</w:t>
      </w:r>
    </w:p>
    <w:p w:rsidR="004B1858" w:rsidRDefault="004B1858" w:rsidP="004B1858">
      <w:pPr>
        <w:ind w:left="709" w:hanging="709"/>
        <w:jc w:val="both"/>
        <w:rPr>
          <w:rFonts w:ascii="Tahoma" w:hAnsi="Tahoma" w:cs="Tahoma"/>
          <w:bCs/>
          <w:noProof/>
          <w:sz w:val="24"/>
          <w:szCs w:val="24"/>
        </w:rPr>
      </w:pPr>
    </w:p>
    <w:p w:rsidR="004B1858" w:rsidRPr="007E111E" w:rsidRDefault="004B1858" w:rsidP="007E111E">
      <w:pPr>
        <w:pStyle w:val="ListParagraph"/>
        <w:numPr>
          <w:ilvl w:val="1"/>
          <w:numId w:val="44"/>
        </w:numPr>
        <w:jc w:val="both"/>
        <w:rPr>
          <w:rFonts w:ascii="Tahoma" w:hAnsi="Tahoma" w:cs="Tahoma"/>
          <w:bCs/>
          <w:noProof/>
          <w:sz w:val="24"/>
          <w:szCs w:val="24"/>
        </w:rPr>
      </w:pPr>
      <w:r w:rsidRPr="007E111E">
        <w:rPr>
          <w:rFonts w:ascii="Tahoma" w:hAnsi="Tahoma" w:cs="Tahoma"/>
          <w:bCs/>
          <w:noProof/>
          <w:sz w:val="24"/>
          <w:szCs w:val="24"/>
        </w:rPr>
        <w:t>Cleveland Firebrigade are accrediated TEA2 approved airwaves installators and are the only local provider who have this accreditation and are therefore proprietary.</w:t>
      </w:r>
    </w:p>
    <w:p w:rsidR="004B1858" w:rsidRDefault="004B1858" w:rsidP="004B1858">
      <w:pPr>
        <w:ind w:left="720"/>
        <w:jc w:val="both"/>
        <w:rPr>
          <w:rFonts w:ascii="Tahoma" w:hAnsi="Tahoma" w:cs="Tahoma"/>
          <w:bCs/>
          <w:noProof/>
          <w:sz w:val="24"/>
          <w:szCs w:val="24"/>
        </w:rPr>
      </w:pPr>
    </w:p>
    <w:p w:rsidR="004B1858" w:rsidRPr="007E111E" w:rsidRDefault="004B1858" w:rsidP="007E111E">
      <w:pPr>
        <w:pStyle w:val="ListParagraph"/>
        <w:numPr>
          <w:ilvl w:val="1"/>
          <w:numId w:val="44"/>
        </w:numPr>
        <w:jc w:val="both"/>
        <w:rPr>
          <w:rFonts w:ascii="Tahoma" w:hAnsi="Tahoma" w:cs="Tahoma"/>
          <w:bCs/>
          <w:noProof/>
          <w:sz w:val="24"/>
          <w:szCs w:val="24"/>
        </w:rPr>
      </w:pPr>
      <w:r w:rsidRPr="007E111E">
        <w:rPr>
          <w:rFonts w:ascii="Tahoma" w:hAnsi="Tahoma" w:cs="Tahoma"/>
          <w:bCs/>
          <w:noProof/>
          <w:sz w:val="24"/>
          <w:szCs w:val="24"/>
        </w:rPr>
        <w:t>Cleveland Police have used Cleveland Firebriga</w:t>
      </w:r>
      <w:r w:rsidR="002B2B76">
        <w:rPr>
          <w:rFonts w:ascii="Tahoma" w:hAnsi="Tahoma" w:cs="Tahoma"/>
          <w:bCs/>
          <w:noProof/>
          <w:sz w:val="24"/>
          <w:szCs w:val="24"/>
        </w:rPr>
        <w:t>d</w:t>
      </w:r>
      <w:r w:rsidRPr="007E111E">
        <w:rPr>
          <w:rFonts w:ascii="Tahoma" w:hAnsi="Tahoma" w:cs="Tahoma"/>
          <w:bCs/>
          <w:noProof/>
          <w:sz w:val="24"/>
          <w:szCs w:val="24"/>
        </w:rPr>
        <w:t>e for a number of years for the provision of this service. The service level was reviewed 2 years ago as the number of v</w:t>
      </w:r>
      <w:r w:rsidR="002B2B76">
        <w:rPr>
          <w:rFonts w:ascii="Tahoma" w:hAnsi="Tahoma" w:cs="Tahoma"/>
          <w:bCs/>
          <w:noProof/>
          <w:sz w:val="24"/>
          <w:szCs w:val="24"/>
        </w:rPr>
        <w:t>ehicles purchased per annum has</w:t>
      </w:r>
      <w:r w:rsidRPr="007E111E">
        <w:rPr>
          <w:rFonts w:ascii="Tahoma" w:hAnsi="Tahoma" w:cs="Tahoma"/>
          <w:bCs/>
          <w:noProof/>
          <w:sz w:val="24"/>
          <w:szCs w:val="24"/>
        </w:rPr>
        <w:t xml:space="preserve"> reduced and the number of vehi</w:t>
      </w:r>
      <w:r w:rsidR="002B2B76">
        <w:rPr>
          <w:rFonts w:ascii="Tahoma" w:hAnsi="Tahoma" w:cs="Tahoma"/>
          <w:bCs/>
          <w:noProof/>
          <w:sz w:val="24"/>
          <w:szCs w:val="24"/>
        </w:rPr>
        <w:t>c</w:t>
      </w:r>
      <w:r w:rsidRPr="007E111E">
        <w:rPr>
          <w:rFonts w:ascii="Tahoma" w:hAnsi="Tahoma" w:cs="Tahoma"/>
          <w:bCs/>
          <w:noProof/>
          <w:sz w:val="24"/>
          <w:szCs w:val="24"/>
        </w:rPr>
        <w:t>les on the fleet has also reduced. Savings of £22,000 per annum were achieved. Further delays with ESN and the current review for Fleet collaboration with the Fire Brigade has resulted on a requirement to renew the contract.</w:t>
      </w:r>
    </w:p>
    <w:p w:rsidR="00D84C1F" w:rsidRPr="002D35D5" w:rsidRDefault="00D84C1F" w:rsidP="007E111E">
      <w:pPr>
        <w:pStyle w:val="BodyText2"/>
        <w:jc w:val="both"/>
        <w:rPr>
          <w:bCs/>
          <w:color w:val="FF0000"/>
          <w:szCs w:val="24"/>
          <w:u w:val="none"/>
        </w:rPr>
      </w:pPr>
    </w:p>
    <w:p w:rsidR="00BB5E50" w:rsidRPr="002D35D5" w:rsidRDefault="007E111E" w:rsidP="00BB5E50">
      <w:pPr>
        <w:pStyle w:val="BodyText2"/>
        <w:ind w:left="709" w:hanging="709"/>
        <w:jc w:val="both"/>
        <w:rPr>
          <w:b/>
          <w:szCs w:val="24"/>
          <w:u w:val="none"/>
        </w:rPr>
      </w:pPr>
      <w:r>
        <w:rPr>
          <w:b/>
          <w:szCs w:val="24"/>
          <w:u w:val="none"/>
        </w:rPr>
        <w:t>11</w:t>
      </w:r>
      <w:r w:rsidR="00FC3A46" w:rsidRPr="002D35D5">
        <w:rPr>
          <w:b/>
          <w:szCs w:val="24"/>
          <w:u w:val="none"/>
        </w:rPr>
        <w:t>.</w:t>
      </w:r>
      <w:r w:rsidR="00C049D6" w:rsidRPr="002D35D5">
        <w:rPr>
          <w:b/>
          <w:szCs w:val="24"/>
          <w:u w:val="none"/>
        </w:rPr>
        <w:t xml:space="preserve">  </w:t>
      </w:r>
      <w:r w:rsidR="00BB5E50" w:rsidRPr="002D35D5">
        <w:rPr>
          <w:b/>
          <w:szCs w:val="24"/>
          <w:u w:val="none"/>
        </w:rPr>
        <w:t xml:space="preserve"> Maintenance and Support of </w:t>
      </w:r>
      <w:r>
        <w:rPr>
          <w:b/>
          <w:szCs w:val="24"/>
          <w:u w:val="none"/>
        </w:rPr>
        <w:t>Locard</w:t>
      </w:r>
      <w:r w:rsidR="00BB5E50" w:rsidRPr="002D35D5">
        <w:rPr>
          <w:b/>
          <w:szCs w:val="24"/>
          <w:u w:val="none"/>
        </w:rPr>
        <w:t xml:space="preserve"> for ICT at a cost of £</w:t>
      </w:r>
      <w:r>
        <w:rPr>
          <w:b/>
          <w:szCs w:val="24"/>
          <w:u w:val="none"/>
        </w:rPr>
        <w:t>26</w:t>
      </w:r>
      <w:r w:rsidR="00BB5E50" w:rsidRPr="002D35D5">
        <w:rPr>
          <w:b/>
          <w:szCs w:val="24"/>
          <w:u w:val="none"/>
        </w:rPr>
        <w:t>,</w:t>
      </w:r>
      <w:r>
        <w:rPr>
          <w:b/>
          <w:szCs w:val="24"/>
          <w:u w:val="none"/>
        </w:rPr>
        <w:t>428 from Atkins</w:t>
      </w:r>
      <w:r w:rsidR="00BB5E50" w:rsidRPr="002D35D5">
        <w:rPr>
          <w:b/>
          <w:szCs w:val="24"/>
          <w:u w:val="none"/>
        </w:rPr>
        <w:t>.</w:t>
      </w:r>
    </w:p>
    <w:p w:rsidR="00BB5E50" w:rsidRPr="002D35D5" w:rsidRDefault="00BB5E50" w:rsidP="00BB5E50">
      <w:pPr>
        <w:pStyle w:val="BodyText2"/>
        <w:ind w:left="709" w:hanging="709"/>
        <w:jc w:val="both"/>
        <w:rPr>
          <w:b/>
          <w:szCs w:val="24"/>
          <w:u w:val="none"/>
        </w:rPr>
      </w:pPr>
    </w:p>
    <w:p w:rsidR="00F95CF9" w:rsidRDefault="007E111E" w:rsidP="00BB5E50">
      <w:pPr>
        <w:pStyle w:val="BodyText2"/>
        <w:ind w:left="709" w:hanging="709"/>
        <w:jc w:val="both"/>
        <w:rPr>
          <w:szCs w:val="24"/>
          <w:u w:val="none"/>
        </w:rPr>
      </w:pPr>
      <w:r>
        <w:rPr>
          <w:szCs w:val="24"/>
          <w:u w:val="none"/>
        </w:rPr>
        <w:t xml:space="preserve"> </w:t>
      </w:r>
      <w:r w:rsidR="00F95CF9">
        <w:rPr>
          <w:szCs w:val="24"/>
          <w:u w:val="none"/>
        </w:rPr>
        <w:t>11</w:t>
      </w:r>
      <w:r>
        <w:rPr>
          <w:szCs w:val="24"/>
          <w:u w:val="none"/>
        </w:rPr>
        <w:t>.1</w:t>
      </w:r>
      <w:r>
        <w:rPr>
          <w:szCs w:val="24"/>
          <w:u w:val="none"/>
        </w:rPr>
        <w:tab/>
        <w:t>The Force uses Locard for its Scientific Support Unit and shares this with Durh</w:t>
      </w:r>
      <w:r w:rsidR="00F95CF9">
        <w:rPr>
          <w:szCs w:val="24"/>
          <w:u w:val="none"/>
        </w:rPr>
        <w:t>am Police and the Fingerprint Bureau. The application supports the submission and management of forensic exhibits for crime detection.</w:t>
      </w:r>
    </w:p>
    <w:p w:rsidR="00F95CF9" w:rsidRDefault="00F95CF9" w:rsidP="00BB5E50">
      <w:pPr>
        <w:pStyle w:val="BodyText2"/>
        <w:ind w:left="709" w:hanging="709"/>
        <w:jc w:val="both"/>
        <w:rPr>
          <w:szCs w:val="24"/>
          <w:u w:val="none"/>
        </w:rPr>
      </w:pPr>
    </w:p>
    <w:p w:rsidR="00F95CF9" w:rsidRDefault="00F95CF9" w:rsidP="00BB5E50">
      <w:pPr>
        <w:pStyle w:val="BodyText2"/>
        <w:ind w:left="709" w:hanging="709"/>
        <w:jc w:val="both"/>
        <w:rPr>
          <w:szCs w:val="24"/>
          <w:u w:val="none"/>
        </w:rPr>
      </w:pPr>
      <w:r>
        <w:rPr>
          <w:szCs w:val="24"/>
          <w:u w:val="none"/>
        </w:rPr>
        <w:t>11.2</w:t>
      </w:r>
      <w:r>
        <w:rPr>
          <w:szCs w:val="24"/>
          <w:u w:val="none"/>
        </w:rPr>
        <w:tab/>
        <w:t>Although there are other software applications in the market the Force at present (until it has completed its review to establish if collaboration of Scientific Support is viable) has no desire to change systems due to its current close working with Durham and the cost to change.</w:t>
      </w:r>
    </w:p>
    <w:p w:rsidR="00F95CF9" w:rsidRDefault="00F95CF9" w:rsidP="00BB5E50">
      <w:pPr>
        <w:pStyle w:val="BodyText2"/>
        <w:ind w:left="709" w:hanging="709"/>
        <w:jc w:val="both"/>
        <w:rPr>
          <w:szCs w:val="24"/>
          <w:u w:val="none"/>
        </w:rPr>
      </w:pPr>
    </w:p>
    <w:p w:rsidR="00F95CF9" w:rsidRDefault="00F95CF9" w:rsidP="00BB5E50">
      <w:pPr>
        <w:pStyle w:val="BodyText2"/>
        <w:ind w:left="709" w:hanging="709"/>
        <w:jc w:val="both"/>
        <w:rPr>
          <w:szCs w:val="24"/>
          <w:u w:val="none"/>
        </w:rPr>
      </w:pPr>
      <w:r>
        <w:rPr>
          <w:szCs w:val="24"/>
          <w:u w:val="none"/>
        </w:rPr>
        <w:t>11.3</w:t>
      </w:r>
      <w:r>
        <w:rPr>
          <w:szCs w:val="24"/>
          <w:u w:val="none"/>
        </w:rPr>
        <w:tab/>
        <w:t xml:space="preserve">Atkins is the sole provider of Locard and therefore the support and maintenance is proprietary. </w:t>
      </w:r>
    </w:p>
    <w:p w:rsidR="002B2B76" w:rsidRDefault="002B2B76" w:rsidP="00BB5E50">
      <w:pPr>
        <w:pStyle w:val="BodyText2"/>
        <w:ind w:left="709" w:hanging="709"/>
        <w:jc w:val="both"/>
        <w:rPr>
          <w:b/>
          <w:bCs/>
          <w:szCs w:val="24"/>
          <w:u w:val="none"/>
        </w:rPr>
      </w:pPr>
    </w:p>
    <w:p w:rsidR="00BB5E50" w:rsidRPr="002D35D5" w:rsidRDefault="00F95CF9" w:rsidP="00BB5E50">
      <w:pPr>
        <w:pStyle w:val="BodyText2"/>
        <w:ind w:left="709" w:hanging="709"/>
        <w:jc w:val="both"/>
        <w:rPr>
          <w:b/>
          <w:bCs/>
          <w:szCs w:val="24"/>
          <w:u w:val="none"/>
        </w:rPr>
      </w:pPr>
      <w:r>
        <w:rPr>
          <w:b/>
          <w:bCs/>
          <w:szCs w:val="24"/>
          <w:u w:val="none"/>
        </w:rPr>
        <w:t>12</w:t>
      </w:r>
      <w:r w:rsidR="00455AC7" w:rsidRPr="002D35D5">
        <w:rPr>
          <w:b/>
          <w:bCs/>
          <w:szCs w:val="24"/>
          <w:u w:val="none"/>
        </w:rPr>
        <w:t>.</w:t>
      </w:r>
      <w:r w:rsidR="00455AC7" w:rsidRPr="002D35D5">
        <w:rPr>
          <w:b/>
          <w:bCs/>
          <w:szCs w:val="24"/>
          <w:u w:val="none"/>
        </w:rPr>
        <w:tab/>
      </w:r>
      <w:r w:rsidR="00A44136" w:rsidRPr="002D35D5">
        <w:rPr>
          <w:b/>
          <w:bCs/>
          <w:szCs w:val="24"/>
          <w:u w:val="none"/>
        </w:rPr>
        <w:t>Support and Maintenance for i</w:t>
      </w:r>
      <w:r>
        <w:rPr>
          <w:b/>
          <w:bCs/>
          <w:szCs w:val="24"/>
          <w:u w:val="none"/>
        </w:rPr>
        <w:t>PNC and iDisclosure</w:t>
      </w:r>
      <w:r w:rsidR="00A44136" w:rsidRPr="002D35D5">
        <w:rPr>
          <w:b/>
          <w:bCs/>
          <w:szCs w:val="24"/>
          <w:u w:val="none"/>
        </w:rPr>
        <w:t xml:space="preserve"> for ICT at</w:t>
      </w:r>
      <w:r>
        <w:rPr>
          <w:b/>
          <w:bCs/>
          <w:szCs w:val="24"/>
          <w:u w:val="none"/>
        </w:rPr>
        <w:t xml:space="preserve"> a cost of £21,578.76 from Intergraph</w:t>
      </w:r>
      <w:r w:rsidR="00036C10" w:rsidRPr="002D35D5">
        <w:rPr>
          <w:b/>
          <w:bCs/>
          <w:szCs w:val="24"/>
          <w:u w:val="none"/>
        </w:rPr>
        <w:t>.</w:t>
      </w:r>
    </w:p>
    <w:p w:rsidR="00BB5E50" w:rsidRPr="002D35D5" w:rsidRDefault="00BB5E50" w:rsidP="00BB5E50">
      <w:pPr>
        <w:pStyle w:val="BodyText2"/>
        <w:jc w:val="both"/>
        <w:rPr>
          <w:b/>
          <w:bCs/>
          <w:szCs w:val="24"/>
        </w:rPr>
      </w:pPr>
    </w:p>
    <w:p w:rsidR="00BB5E50" w:rsidRDefault="00F95CF9" w:rsidP="00BB5E50">
      <w:pPr>
        <w:pStyle w:val="BodyText2"/>
        <w:ind w:left="709" w:hanging="709"/>
        <w:jc w:val="both"/>
        <w:rPr>
          <w:szCs w:val="24"/>
          <w:u w:val="none"/>
        </w:rPr>
      </w:pPr>
      <w:r>
        <w:rPr>
          <w:szCs w:val="24"/>
          <w:u w:val="none"/>
        </w:rPr>
        <w:t>12</w:t>
      </w:r>
      <w:r w:rsidR="00BB5E50" w:rsidRPr="002D35D5">
        <w:rPr>
          <w:szCs w:val="24"/>
          <w:u w:val="none"/>
        </w:rPr>
        <w:t>.1</w:t>
      </w:r>
      <w:r w:rsidR="00BB5E50" w:rsidRPr="002D35D5">
        <w:rPr>
          <w:szCs w:val="24"/>
          <w:u w:val="none"/>
        </w:rPr>
        <w:tab/>
      </w:r>
      <w:r>
        <w:rPr>
          <w:szCs w:val="24"/>
          <w:u w:val="none"/>
        </w:rPr>
        <w:t xml:space="preserve">The Force currently deploys </w:t>
      </w:r>
      <w:r w:rsidRPr="002D35D5">
        <w:rPr>
          <w:szCs w:val="24"/>
          <w:u w:val="none"/>
        </w:rPr>
        <w:t>products procured from Intergraph. These include i/Disclosure, i/PNC. These systems are supported by Intergraph</w:t>
      </w:r>
      <w:r>
        <w:rPr>
          <w:szCs w:val="24"/>
          <w:u w:val="none"/>
        </w:rPr>
        <w:t xml:space="preserve">. iPNC and iDisclosure are widely used to view and update and manage disclosure of operational police information. </w:t>
      </w:r>
    </w:p>
    <w:p w:rsidR="00F95CF9" w:rsidRDefault="00F95CF9" w:rsidP="00BB5E50">
      <w:pPr>
        <w:pStyle w:val="BodyText2"/>
        <w:ind w:left="709" w:hanging="709"/>
        <w:jc w:val="both"/>
        <w:rPr>
          <w:szCs w:val="24"/>
          <w:u w:val="none"/>
        </w:rPr>
      </w:pPr>
    </w:p>
    <w:p w:rsidR="00F95CF9" w:rsidRPr="002D35D5" w:rsidRDefault="00F95CF9" w:rsidP="00BB5E50">
      <w:pPr>
        <w:pStyle w:val="BodyText2"/>
        <w:ind w:left="709" w:hanging="709"/>
        <w:jc w:val="both"/>
        <w:rPr>
          <w:szCs w:val="24"/>
          <w:u w:val="none"/>
        </w:rPr>
      </w:pPr>
      <w:r>
        <w:rPr>
          <w:szCs w:val="24"/>
          <w:u w:val="none"/>
        </w:rPr>
        <w:t>12.2</w:t>
      </w:r>
      <w:r>
        <w:rPr>
          <w:szCs w:val="24"/>
          <w:u w:val="none"/>
        </w:rPr>
        <w:tab/>
        <w:t>Both applications are a bespoke piece of software and support is only available from Intergraph who hold the IPR and have sufficient knowledge of the application architecture therefore this is proprietary.</w:t>
      </w:r>
      <w:r w:rsidR="002B2B76">
        <w:rPr>
          <w:szCs w:val="24"/>
          <w:u w:val="none"/>
        </w:rPr>
        <w:t xml:space="preserve"> This support will continue once the applications have been migrated to the MS-SQL database.</w:t>
      </w:r>
    </w:p>
    <w:p w:rsidR="00455AC7" w:rsidRPr="002D35D5" w:rsidRDefault="00455AC7" w:rsidP="00BB5E50">
      <w:pPr>
        <w:pStyle w:val="BodyText2"/>
        <w:ind w:left="709" w:hanging="709"/>
        <w:jc w:val="both"/>
        <w:rPr>
          <w:szCs w:val="24"/>
          <w:u w:val="none"/>
        </w:rPr>
      </w:pPr>
    </w:p>
    <w:p w:rsidR="00A44136" w:rsidRPr="002D35D5" w:rsidRDefault="00A44136" w:rsidP="00BB5E50">
      <w:pPr>
        <w:pStyle w:val="BodyText2"/>
        <w:ind w:left="709" w:hanging="709"/>
        <w:jc w:val="both"/>
        <w:rPr>
          <w:szCs w:val="24"/>
        </w:rPr>
      </w:pPr>
    </w:p>
    <w:p w:rsidR="00A44136" w:rsidRPr="002D35D5" w:rsidRDefault="00F95CF9" w:rsidP="00A44136">
      <w:pPr>
        <w:pStyle w:val="BodyText2"/>
        <w:ind w:left="709" w:hanging="709"/>
        <w:jc w:val="both"/>
        <w:rPr>
          <w:b/>
          <w:szCs w:val="24"/>
          <w:u w:val="none"/>
        </w:rPr>
      </w:pPr>
      <w:r>
        <w:rPr>
          <w:b/>
          <w:szCs w:val="24"/>
          <w:u w:val="none"/>
        </w:rPr>
        <w:t>13</w:t>
      </w:r>
      <w:r w:rsidR="00455AC7" w:rsidRPr="002D35D5">
        <w:rPr>
          <w:b/>
          <w:szCs w:val="24"/>
          <w:u w:val="none"/>
        </w:rPr>
        <w:t>.</w:t>
      </w:r>
      <w:r w:rsidR="00455AC7" w:rsidRPr="002D35D5">
        <w:rPr>
          <w:b/>
          <w:szCs w:val="24"/>
          <w:u w:val="none"/>
        </w:rPr>
        <w:tab/>
      </w:r>
      <w:r>
        <w:rPr>
          <w:b/>
          <w:szCs w:val="24"/>
          <w:u w:val="none"/>
        </w:rPr>
        <w:t xml:space="preserve">Support and Maintenance of PNLD for </w:t>
      </w:r>
      <w:r w:rsidR="007F61ED">
        <w:rPr>
          <w:b/>
          <w:szCs w:val="24"/>
          <w:u w:val="none"/>
        </w:rPr>
        <w:t>ICT at a cost of £13,478.25 from West Yorkshire Police</w:t>
      </w:r>
      <w:r w:rsidR="00A44136" w:rsidRPr="002D35D5">
        <w:rPr>
          <w:b/>
          <w:szCs w:val="24"/>
          <w:u w:val="none"/>
        </w:rPr>
        <w:t>.</w:t>
      </w:r>
    </w:p>
    <w:p w:rsidR="00A44136" w:rsidRPr="002D35D5" w:rsidRDefault="00A44136" w:rsidP="00A44136">
      <w:pPr>
        <w:pStyle w:val="BodyText2"/>
        <w:ind w:left="709" w:hanging="709"/>
        <w:jc w:val="both"/>
        <w:rPr>
          <w:b/>
          <w:szCs w:val="24"/>
          <w:u w:val="none"/>
        </w:rPr>
      </w:pPr>
    </w:p>
    <w:p w:rsidR="007F61ED" w:rsidRDefault="007F61ED" w:rsidP="00A44136">
      <w:pPr>
        <w:pStyle w:val="BodyText2"/>
        <w:ind w:left="709" w:hanging="709"/>
        <w:jc w:val="both"/>
        <w:rPr>
          <w:szCs w:val="24"/>
          <w:u w:val="none"/>
        </w:rPr>
      </w:pPr>
      <w:r>
        <w:rPr>
          <w:szCs w:val="24"/>
          <w:u w:val="none"/>
        </w:rPr>
        <w:t>13</w:t>
      </w:r>
      <w:r w:rsidR="00A44136" w:rsidRPr="002D35D5">
        <w:rPr>
          <w:szCs w:val="24"/>
          <w:u w:val="none"/>
        </w:rPr>
        <w:t>.1</w:t>
      </w:r>
      <w:r w:rsidR="00A44136" w:rsidRPr="002D35D5">
        <w:rPr>
          <w:szCs w:val="24"/>
          <w:u w:val="none"/>
        </w:rPr>
        <w:tab/>
      </w:r>
      <w:r>
        <w:rPr>
          <w:szCs w:val="24"/>
          <w:u w:val="none"/>
        </w:rPr>
        <w:t>The Police National Legal Database (PNLD) is an online knowledge base of legislation, case law, offence wording and police powers. The website is maintained by West Yorkshire Police on behalf of all Police Forces.</w:t>
      </w:r>
    </w:p>
    <w:p w:rsidR="007F61ED" w:rsidRDefault="007F61ED" w:rsidP="00A44136">
      <w:pPr>
        <w:pStyle w:val="BodyText2"/>
        <w:ind w:left="709" w:hanging="709"/>
        <w:jc w:val="both"/>
        <w:rPr>
          <w:szCs w:val="24"/>
          <w:u w:val="none"/>
        </w:rPr>
      </w:pPr>
    </w:p>
    <w:p w:rsidR="00A44136" w:rsidRPr="002D35D5" w:rsidRDefault="007F61ED" w:rsidP="007F61ED">
      <w:pPr>
        <w:pStyle w:val="BodyText2"/>
        <w:ind w:left="709" w:hanging="709"/>
        <w:jc w:val="both"/>
        <w:rPr>
          <w:bCs/>
          <w:szCs w:val="24"/>
          <w:u w:val="none"/>
        </w:rPr>
      </w:pPr>
      <w:r>
        <w:rPr>
          <w:szCs w:val="24"/>
          <w:u w:val="none"/>
        </w:rPr>
        <w:t>13.2</w:t>
      </w:r>
      <w:r>
        <w:rPr>
          <w:szCs w:val="24"/>
          <w:u w:val="none"/>
        </w:rPr>
        <w:tab/>
        <w:t xml:space="preserve">All Forces contribute to the annual support and maintenance </w:t>
      </w:r>
      <w:r w:rsidR="001C7B95">
        <w:rPr>
          <w:szCs w:val="24"/>
          <w:u w:val="none"/>
        </w:rPr>
        <w:t>costs which are</w:t>
      </w:r>
      <w:r>
        <w:rPr>
          <w:szCs w:val="24"/>
          <w:u w:val="none"/>
        </w:rPr>
        <w:t xml:space="preserve"> proprietary as no other Police Force and external agency provide this service and knowledge base.</w:t>
      </w:r>
    </w:p>
    <w:p w:rsidR="002D35D5" w:rsidRPr="002D35D5" w:rsidRDefault="002D35D5" w:rsidP="00A44136">
      <w:pPr>
        <w:pStyle w:val="BodyText2"/>
        <w:ind w:left="709" w:hanging="709"/>
        <w:jc w:val="both"/>
        <w:rPr>
          <w:bCs/>
          <w:szCs w:val="24"/>
          <w:u w:val="none"/>
        </w:rPr>
      </w:pPr>
    </w:p>
    <w:p w:rsidR="007F61ED" w:rsidRPr="002D35D5" w:rsidRDefault="007F61ED" w:rsidP="007F61ED">
      <w:pPr>
        <w:pStyle w:val="BodyText2"/>
        <w:ind w:left="709" w:hanging="709"/>
        <w:jc w:val="both"/>
        <w:rPr>
          <w:b/>
          <w:szCs w:val="24"/>
          <w:u w:val="none"/>
        </w:rPr>
      </w:pPr>
      <w:r>
        <w:rPr>
          <w:b/>
          <w:szCs w:val="24"/>
          <w:u w:val="none"/>
        </w:rPr>
        <w:t>14</w:t>
      </w:r>
      <w:r w:rsidRPr="002D35D5">
        <w:rPr>
          <w:b/>
          <w:szCs w:val="24"/>
          <w:u w:val="none"/>
        </w:rPr>
        <w:t>.</w:t>
      </w:r>
      <w:r w:rsidRPr="002D35D5">
        <w:rPr>
          <w:b/>
          <w:szCs w:val="24"/>
          <w:u w:val="none"/>
        </w:rPr>
        <w:tab/>
      </w:r>
      <w:r>
        <w:rPr>
          <w:b/>
          <w:szCs w:val="24"/>
          <w:u w:val="none"/>
        </w:rPr>
        <w:t>Insurance Cover for the Executive at a cost of £12,057 from CPOSA.</w:t>
      </w:r>
    </w:p>
    <w:p w:rsidR="007F61ED" w:rsidRPr="002D35D5" w:rsidRDefault="007F61ED" w:rsidP="007F61ED">
      <w:pPr>
        <w:pStyle w:val="BodyText2"/>
        <w:ind w:left="709" w:hanging="709"/>
        <w:jc w:val="both"/>
        <w:rPr>
          <w:b/>
          <w:szCs w:val="24"/>
          <w:u w:val="none"/>
        </w:rPr>
      </w:pPr>
    </w:p>
    <w:p w:rsidR="007F61ED" w:rsidRDefault="007F61ED" w:rsidP="007F61ED">
      <w:pPr>
        <w:pStyle w:val="BodyText2"/>
        <w:ind w:left="709" w:hanging="709"/>
        <w:jc w:val="both"/>
        <w:rPr>
          <w:szCs w:val="24"/>
          <w:u w:val="none"/>
        </w:rPr>
      </w:pPr>
      <w:r>
        <w:rPr>
          <w:szCs w:val="24"/>
          <w:u w:val="none"/>
        </w:rPr>
        <w:t>14</w:t>
      </w:r>
      <w:r w:rsidRPr="002D35D5">
        <w:rPr>
          <w:szCs w:val="24"/>
          <w:u w:val="none"/>
        </w:rPr>
        <w:t>.1</w:t>
      </w:r>
      <w:r w:rsidRPr="002D35D5">
        <w:rPr>
          <w:szCs w:val="24"/>
          <w:u w:val="none"/>
        </w:rPr>
        <w:tab/>
      </w:r>
      <w:r>
        <w:rPr>
          <w:szCs w:val="24"/>
          <w:u w:val="none"/>
        </w:rPr>
        <w:t xml:space="preserve">The Chief Police Officers Staff Association (CPOSA) provides insurance cover for officers working at Chief Officer Level. The reactive insurance provides cover for claims raised in relation to operational matters and decisions and misconduct matters. </w:t>
      </w:r>
    </w:p>
    <w:p w:rsidR="007F61ED" w:rsidRDefault="007F61ED" w:rsidP="007F61ED">
      <w:pPr>
        <w:pStyle w:val="BodyText2"/>
        <w:ind w:left="709" w:hanging="709"/>
        <w:jc w:val="both"/>
        <w:rPr>
          <w:szCs w:val="24"/>
          <w:u w:val="none"/>
        </w:rPr>
      </w:pPr>
    </w:p>
    <w:p w:rsidR="007F61ED" w:rsidRDefault="007F61ED" w:rsidP="007F61ED">
      <w:pPr>
        <w:pStyle w:val="BodyText2"/>
        <w:ind w:left="709" w:hanging="709"/>
        <w:jc w:val="both"/>
        <w:rPr>
          <w:szCs w:val="24"/>
          <w:u w:val="none"/>
        </w:rPr>
      </w:pPr>
      <w:r>
        <w:rPr>
          <w:szCs w:val="24"/>
          <w:u w:val="none"/>
        </w:rPr>
        <w:t>14.2</w:t>
      </w:r>
      <w:r>
        <w:rPr>
          <w:szCs w:val="24"/>
          <w:u w:val="none"/>
        </w:rPr>
        <w:tab/>
        <w:t>This is part of a group insurance scheme which is available to all Chief Police Officers and is procured independently through a market process working with the Superintendents association.</w:t>
      </w:r>
    </w:p>
    <w:p w:rsidR="007F61ED" w:rsidRDefault="007F61ED" w:rsidP="007F61ED">
      <w:pPr>
        <w:pStyle w:val="BodyText2"/>
        <w:ind w:left="709" w:hanging="709"/>
        <w:jc w:val="both"/>
        <w:rPr>
          <w:szCs w:val="24"/>
          <w:u w:val="none"/>
        </w:rPr>
      </w:pPr>
    </w:p>
    <w:p w:rsidR="007F61ED" w:rsidRPr="002D35D5" w:rsidRDefault="007F61ED" w:rsidP="007F61ED">
      <w:pPr>
        <w:pStyle w:val="BodyText2"/>
        <w:ind w:left="709" w:hanging="709"/>
        <w:jc w:val="both"/>
        <w:rPr>
          <w:bCs/>
          <w:szCs w:val="24"/>
          <w:u w:val="none"/>
        </w:rPr>
      </w:pPr>
      <w:r>
        <w:rPr>
          <w:szCs w:val="24"/>
          <w:u w:val="none"/>
        </w:rPr>
        <w:t>14.3</w:t>
      </w:r>
      <w:r>
        <w:rPr>
          <w:szCs w:val="24"/>
          <w:u w:val="none"/>
        </w:rPr>
        <w:tab/>
        <w:t>This is proprietary as access to this group insurance can only be gained from CPOSA.</w:t>
      </w:r>
    </w:p>
    <w:p w:rsidR="002D35D5" w:rsidRPr="002D35D5" w:rsidRDefault="002D35D5" w:rsidP="00A44136">
      <w:pPr>
        <w:pStyle w:val="BodyText2"/>
        <w:ind w:left="709" w:hanging="709"/>
        <w:jc w:val="both"/>
        <w:rPr>
          <w:bCs/>
          <w:szCs w:val="24"/>
          <w:u w:val="none"/>
        </w:rPr>
      </w:pPr>
    </w:p>
    <w:p w:rsidR="004F1FE5" w:rsidRPr="002D35D5" w:rsidRDefault="007F61ED" w:rsidP="007F023B">
      <w:pPr>
        <w:pStyle w:val="BodyText2"/>
        <w:ind w:left="709" w:hanging="709"/>
        <w:jc w:val="both"/>
        <w:rPr>
          <w:b/>
          <w:szCs w:val="24"/>
          <w:u w:val="none"/>
        </w:rPr>
      </w:pPr>
      <w:r>
        <w:rPr>
          <w:b/>
          <w:szCs w:val="24"/>
          <w:u w:val="none"/>
        </w:rPr>
        <w:t>15</w:t>
      </w:r>
      <w:r w:rsidR="007F023B" w:rsidRPr="002D35D5">
        <w:rPr>
          <w:b/>
          <w:szCs w:val="24"/>
          <w:u w:val="none"/>
        </w:rPr>
        <w:t>.</w:t>
      </w:r>
      <w:r w:rsidR="007F023B" w:rsidRPr="002D35D5">
        <w:rPr>
          <w:b/>
          <w:szCs w:val="24"/>
          <w:u w:val="none"/>
        </w:rPr>
        <w:tab/>
      </w:r>
      <w:r>
        <w:rPr>
          <w:b/>
          <w:szCs w:val="24"/>
          <w:u w:val="none"/>
        </w:rPr>
        <w:t>Independent Investigation Services for Human Resources at a cost of £7000 plus mileage from NEREO</w:t>
      </w:r>
      <w:r w:rsidR="002D35D5">
        <w:rPr>
          <w:b/>
          <w:szCs w:val="24"/>
          <w:u w:val="none"/>
        </w:rPr>
        <w:t>.</w:t>
      </w:r>
      <w:r w:rsidR="0061798F" w:rsidRPr="002D35D5">
        <w:rPr>
          <w:b/>
          <w:szCs w:val="24"/>
          <w:u w:val="none"/>
        </w:rPr>
        <w:t xml:space="preserve"> </w:t>
      </w:r>
      <w:r w:rsidR="006054EB" w:rsidRPr="002D35D5">
        <w:rPr>
          <w:b/>
          <w:szCs w:val="24"/>
          <w:u w:val="none"/>
        </w:rPr>
        <w:t xml:space="preserve"> </w:t>
      </w:r>
    </w:p>
    <w:p w:rsidR="004F1FE5" w:rsidRPr="002D35D5" w:rsidRDefault="004F1FE5" w:rsidP="007F023B">
      <w:pPr>
        <w:pStyle w:val="BodyText2"/>
        <w:ind w:left="709" w:hanging="709"/>
        <w:jc w:val="both"/>
        <w:rPr>
          <w:b/>
          <w:szCs w:val="24"/>
          <w:u w:val="none"/>
        </w:rPr>
      </w:pPr>
    </w:p>
    <w:p w:rsidR="000A6634" w:rsidRDefault="003035E3" w:rsidP="007F023B">
      <w:pPr>
        <w:pStyle w:val="BodyText2"/>
        <w:ind w:left="709" w:hanging="709"/>
        <w:jc w:val="both"/>
        <w:rPr>
          <w:szCs w:val="24"/>
          <w:u w:val="none"/>
        </w:rPr>
      </w:pPr>
      <w:r>
        <w:rPr>
          <w:szCs w:val="24"/>
          <w:u w:val="none"/>
        </w:rPr>
        <w:t>15</w:t>
      </w:r>
      <w:r w:rsidR="007F023B" w:rsidRPr="002D35D5">
        <w:rPr>
          <w:szCs w:val="24"/>
          <w:u w:val="none"/>
        </w:rPr>
        <w:t>.1</w:t>
      </w:r>
      <w:r w:rsidR="007F023B" w:rsidRPr="002D35D5">
        <w:rPr>
          <w:szCs w:val="24"/>
          <w:u w:val="none"/>
        </w:rPr>
        <w:tab/>
      </w:r>
      <w:r w:rsidR="000A6634">
        <w:rPr>
          <w:szCs w:val="24"/>
          <w:u w:val="none"/>
        </w:rPr>
        <w:t>A grievance has been submitted to the Force which provides no opportunity to appoint an investigating officer from Cleveland Police or an alternative Force.</w:t>
      </w:r>
    </w:p>
    <w:p w:rsidR="000A6634" w:rsidRDefault="000A6634" w:rsidP="007F023B">
      <w:pPr>
        <w:pStyle w:val="BodyText2"/>
        <w:ind w:left="709" w:hanging="709"/>
        <w:jc w:val="both"/>
        <w:rPr>
          <w:szCs w:val="24"/>
          <w:u w:val="none"/>
        </w:rPr>
      </w:pPr>
    </w:p>
    <w:p w:rsidR="000A6634" w:rsidRDefault="000A6634" w:rsidP="007F023B">
      <w:pPr>
        <w:pStyle w:val="BodyText2"/>
        <w:ind w:left="709" w:hanging="709"/>
        <w:jc w:val="both"/>
        <w:rPr>
          <w:szCs w:val="24"/>
          <w:u w:val="none"/>
        </w:rPr>
      </w:pPr>
      <w:r>
        <w:rPr>
          <w:szCs w:val="24"/>
          <w:u w:val="none"/>
        </w:rPr>
        <w:t>15.2</w:t>
      </w:r>
      <w:r>
        <w:rPr>
          <w:szCs w:val="24"/>
          <w:u w:val="none"/>
        </w:rPr>
        <w:tab/>
        <w:t xml:space="preserve">The Head of HR in consultation with the Director of Legal Services made a decision to appoint an external investigating officer. </w:t>
      </w:r>
    </w:p>
    <w:p w:rsidR="000A6634" w:rsidRDefault="000A6634" w:rsidP="007F023B">
      <w:pPr>
        <w:pStyle w:val="BodyText2"/>
        <w:ind w:left="709" w:hanging="709"/>
        <w:jc w:val="both"/>
        <w:rPr>
          <w:szCs w:val="24"/>
          <w:u w:val="none"/>
        </w:rPr>
      </w:pPr>
    </w:p>
    <w:p w:rsidR="000A6634" w:rsidRDefault="000A6634" w:rsidP="007F023B">
      <w:pPr>
        <w:pStyle w:val="BodyText2"/>
        <w:ind w:left="709" w:hanging="709"/>
        <w:jc w:val="both"/>
        <w:rPr>
          <w:szCs w:val="24"/>
          <w:u w:val="none"/>
        </w:rPr>
      </w:pPr>
      <w:r>
        <w:rPr>
          <w:szCs w:val="24"/>
          <w:u w:val="none"/>
        </w:rPr>
        <w:t>15.3</w:t>
      </w:r>
      <w:r>
        <w:rPr>
          <w:szCs w:val="24"/>
          <w:u w:val="none"/>
        </w:rPr>
        <w:tab/>
        <w:t>T</w:t>
      </w:r>
      <w:r w:rsidR="002B2B76">
        <w:rPr>
          <w:szCs w:val="24"/>
          <w:u w:val="none"/>
        </w:rPr>
        <w:t>he North East Region Employers O</w:t>
      </w:r>
      <w:r>
        <w:rPr>
          <w:szCs w:val="24"/>
          <w:u w:val="none"/>
        </w:rPr>
        <w:t>rganisation (NEREO) are able</w:t>
      </w:r>
      <w:r w:rsidR="002B2B76">
        <w:rPr>
          <w:szCs w:val="24"/>
          <w:u w:val="none"/>
        </w:rPr>
        <w:t xml:space="preserve"> to provide a unique service with</w:t>
      </w:r>
      <w:r>
        <w:rPr>
          <w:szCs w:val="24"/>
          <w:u w:val="none"/>
        </w:rPr>
        <w:t xml:space="preserve"> the skills required for the particular investigation </w:t>
      </w:r>
      <w:r w:rsidR="002B2B76">
        <w:rPr>
          <w:szCs w:val="24"/>
          <w:u w:val="none"/>
        </w:rPr>
        <w:t xml:space="preserve">which </w:t>
      </w:r>
      <w:r>
        <w:rPr>
          <w:szCs w:val="24"/>
          <w:u w:val="none"/>
        </w:rPr>
        <w:t>is limited to them, therefore the service is believed to be proprietary due to the specific skills and restrictions associated with this grievance.</w:t>
      </w:r>
    </w:p>
    <w:p w:rsidR="000A6634" w:rsidRDefault="000A6634" w:rsidP="007F023B">
      <w:pPr>
        <w:pStyle w:val="BodyText2"/>
        <w:ind w:left="709" w:hanging="709"/>
        <w:jc w:val="both"/>
        <w:rPr>
          <w:szCs w:val="24"/>
          <w:u w:val="none"/>
        </w:rPr>
      </w:pPr>
    </w:p>
    <w:p w:rsidR="00BE10E5" w:rsidRPr="002D35D5" w:rsidRDefault="000A6634" w:rsidP="000A6634">
      <w:pPr>
        <w:pStyle w:val="BodyText2"/>
        <w:ind w:left="709" w:hanging="709"/>
        <w:jc w:val="both"/>
        <w:rPr>
          <w:szCs w:val="24"/>
          <w:u w:val="none"/>
        </w:rPr>
      </w:pPr>
      <w:r>
        <w:rPr>
          <w:szCs w:val="24"/>
          <w:u w:val="none"/>
        </w:rPr>
        <w:t>15.4</w:t>
      </w:r>
      <w:r>
        <w:rPr>
          <w:szCs w:val="24"/>
          <w:u w:val="none"/>
        </w:rPr>
        <w:tab/>
      </w:r>
      <w:r>
        <w:rPr>
          <w:noProof/>
          <w:szCs w:val="24"/>
          <w:u w:val="none"/>
        </w:rPr>
        <w:t>Although the cost of the service is below £10,000, as there is already spend with NEREO the total expenditure with this provider is above £10,000.</w:t>
      </w:r>
      <w:r w:rsidR="00BE10E5" w:rsidRPr="002D35D5">
        <w:rPr>
          <w:szCs w:val="24"/>
          <w:u w:val="none"/>
        </w:rPr>
        <w:t xml:space="preserve"> </w:t>
      </w:r>
    </w:p>
    <w:p w:rsidR="004C65A3" w:rsidRDefault="004C65A3" w:rsidP="008E2265">
      <w:pPr>
        <w:jc w:val="both"/>
        <w:rPr>
          <w:rFonts w:ascii="Tahoma" w:hAnsi="Tahoma" w:cs="Tahoma"/>
          <w:b/>
          <w:sz w:val="24"/>
          <w:szCs w:val="24"/>
          <w:u w:val="single"/>
          <w:lang w:eastAsia="en-GB"/>
        </w:rPr>
      </w:pPr>
    </w:p>
    <w:p w:rsidR="005F674C" w:rsidRPr="002D35D5" w:rsidRDefault="005F674C" w:rsidP="008E2265">
      <w:pPr>
        <w:jc w:val="both"/>
        <w:rPr>
          <w:rFonts w:ascii="Tahoma" w:hAnsi="Tahoma" w:cs="Tahoma"/>
          <w:b/>
          <w:sz w:val="24"/>
          <w:szCs w:val="24"/>
          <w:u w:val="single"/>
          <w:lang w:eastAsia="en-GB"/>
        </w:rPr>
      </w:pPr>
    </w:p>
    <w:p w:rsidR="00200B5D" w:rsidRPr="002D35D5" w:rsidRDefault="00200B5D" w:rsidP="00BF244E">
      <w:pPr>
        <w:pStyle w:val="BodyText2"/>
        <w:ind w:left="709" w:hanging="709"/>
        <w:jc w:val="both"/>
        <w:rPr>
          <w:szCs w:val="24"/>
          <w:u w:val="none"/>
        </w:rPr>
      </w:pPr>
    </w:p>
    <w:p w:rsidR="008E2265" w:rsidRPr="002D35D5" w:rsidRDefault="008E2265" w:rsidP="008E2265">
      <w:pPr>
        <w:jc w:val="both"/>
        <w:rPr>
          <w:rFonts w:ascii="Tahoma" w:hAnsi="Tahoma" w:cs="Tahoma"/>
          <w:b/>
          <w:sz w:val="24"/>
          <w:szCs w:val="24"/>
          <w:u w:val="single"/>
          <w:lang w:eastAsia="en-GB"/>
        </w:rPr>
      </w:pPr>
      <w:r w:rsidRPr="002D35D5">
        <w:rPr>
          <w:rFonts w:ascii="Tahoma" w:hAnsi="Tahoma" w:cs="Tahoma"/>
          <w:b/>
          <w:sz w:val="24"/>
          <w:szCs w:val="24"/>
          <w:u w:val="single"/>
          <w:lang w:eastAsia="en-GB"/>
        </w:rPr>
        <w:t>Exceptional Situation – Operational Emergency</w:t>
      </w:r>
    </w:p>
    <w:p w:rsidR="00E82280" w:rsidRPr="002D35D5" w:rsidRDefault="00E82280" w:rsidP="0012515D">
      <w:pPr>
        <w:pStyle w:val="BodyText2"/>
        <w:jc w:val="both"/>
        <w:rPr>
          <w:szCs w:val="24"/>
        </w:rPr>
      </w:pPr>
    </w:p>
    <w:p w:rsidR="005F674C" w:rsidRDefault="005F674C" w:rsidP="005F674C">
      <w:pPr>
        <w:pStyle w:val="BodyText2"/>
        <w:ind w:left="709" w:hanging="709"/>
        <w:jc w:val="both"/>
        <w:rPr>
          <w:b/>
          <w:noProof/>
          <w:szCs w:val="24"/>
          <w:u w:val="none"/>
        </w:rPr>
      </w:pPr>
      <w:r>
        <w:rPr>
          <w:b/>
          <w:noProof/>
          <w:szCs w:val="24"/>
          <w:u w:val="none"/>
        </w:rPr>
        <w:t>1</w:t>
      </w:r>
      <w:r w:rsidR="007F4988">
        <w:rPr>
          <w:b/>
          <w:noProof/>
          <w:szCs w:val="24"/>
          <w:u w:val="none"/>
        </w:rPr>
        <w:t>6</w:t>
      </w:r>
      <w:r>
        <w:rPr>
          <w:b/>
          <w:noProof/>
          <w:szCs w:val="24"/>
          <w:u w:val="none"/>
        </w:rPr>
        <w:t>.</w:t>
      </w:r>
      <w:r>
        <w:rPr>
          <w:b/>
          <w:noProof/>
          <w:szCs w:val="24"/>
          <w:u w:val="none"/>
        </w:rPr>
        <w:tab/>
        <w:t>Contract for Pension Administration Service for the Force at a cost of £95,500 from Keir.</w:t>
      </w:r>
    </w:p>
    <w:p w:rsidR="005F674C" w:rsidRDefault="005F674C" w:rsidP="005F674C">
      <w:pPr>
        <w:pStyle w:val="BodyText2"/>
        <w:ind w:left="709" w:hanging="709"/>
        <w:jc w:val="both"/>
        <w:rPr>
          <w:b/>
          <w:noProof/>
          <w:szCs w:val="24"/>
          <w:u w:val="none"/>
        </w:rPr>
      </w:pPr>
    </w:p>
    <w:p w:rsidR="005F674C" w:rsidRDefault="005F674C" w:rsidP="005F674C">
      <w:pPr>
        <w:pStyle w:val="BodyText2"/>
        <w:ind w:left="709" w:hanging="709"/>
        <w:jc w:val="both"/>
        <w:rPr>
          <w:noProof/>
          <w:szCs w:val="24"/>
          <w:u w:val="none"/>
        </w:rPr>
      </w:pPr>
      <w:r>
        <w:rPr>
          <w:noProof/>
          <w:szCs w:val="24"/>
          <w:u w:val="none"/>
        </w:rPr>
        <w:t>1</w:t>
      </w:r>
      <w:r w:rsidR="007F4988">
        <w:rPr>
          <w:noProof/>
          <w:szCs w:val="24"/>
          <w:u w:val="none"/>
        </w:rPr>
        <w:t>6</w:t>
      </w:r>
      <w:r>
        <w:rPr>
          <w:noProof/>
          <w:szCs w:val="24"/>
          <w:u w:val="none"/>
        </w:rPr>
        <w:t>.1</w:t>
      </w:r>
      <w:r>
        <w:rPr>
          <w:noProof/>
          <w:szCs w:val="24"/>
          <w:u w:val="none"/>
        </w:rPr>
        <w:tab/>
        <w:t>Keir (formally Mouchel) has provided an adminstration service for its Police and Police staff pension scheme since April 2012. The initial contract was put in place via an exemption report to the Police Authority for a 5 year period with an option to extend for 3 years. The final 3 year extension required further approval.</w:t>
      </w:r>
    </w:p>
    <w:p w:rsidR="005F674C" w:rsidRDefault="005F674C" w:rsidP="005F674C">
      <w:pPr>
        <w:pStyle w:val="BodyText2"/>
        <w:ind w:left="709" w:hanging="709"/>
        <w:jc w:val="both"/>
        <w:rPr>
          <w:noProof/>
          <w:szCs w:val="24"/>
          <w:u w:val="none"/>
        </w:rPr>
      </w:pPr>
    </w:p>
    <w:p w:rsidR="006B629F" w:rsidRDefault="005F674C" w:rsidP="005F674C">
      <w:pPr>
        <w:pStyle w:val="BodyText2"/>
        <w:ind w:left="709" w:hanging="709"/>
        <w:jc w:val="both"/>
        <w:rPr>
          <w:noProof/>
          <w:szCs w:val="24"/>
          <w:u w:val="none"/>
        </w:rPr>
      </w:pPr>
      <w:r>
        <w:rPr>
          <w:noProof/>
          <w:szCs w:val="24"/>
          <w:u w:val="none"/>
        </w:rPr>
        <w:t>1</w:t>
      </w:r>
      <w:r w:rsidR="007F4988">
        <w:rPr>
          <w:noProof/>
          <w:szCs w:val="24"/>
          <w:u w:val="none"/>
        </w:rPr>
        <w:t>6</w:t>
      </w:r>
      <w:r>
        <w:rPr>
          <w:noProof/>
          <w:szCs w:val="24"/>
          <w:u w:val="none"/>
        </w:rPr>
        <w:t>.2</w:t>
      </w:r>
      <w:r>
        <w:rPr>
          <w:noProof/>
          <w:szCs w:val="24"/>
          <w:u w:val="none"/>
        </w:rPr>
        <w:tab/>
        <w:t>The basis of the exemption report in 2012 was a saving by directly awarding a contract opposed to utilising the national contract with the same provider as the provider offered a greater discount due to the local connection with Middlebsrough Council.</w:t>
      </w:r>
    </w:p>
    <w:p w:rsidR="006B629F" w:rsidRDefault="006B629F" w:rsidP="005F674C">
      <w:pPr>
        <w:pStyle w:val="BodyText2"/>
        <w:ind w:left="709" w:hanging="709"/>
        <w:jc w:val="both"/>
        <w:rPr>
          <w:noProof/>
          <w:szCs w:val="24"/>
          <w:u w:val="none"/>
        </w:rPr>
      </w:pPr>
    </w:p>
    <w:p w:rsidR="006B629F" w:rsidRDefault="006B629F" w:rsidP="005F674C">
      <w:pPr>
        <w:pStyle w:val="BodyText2"/>
        <w:ind w:left="709" w:hanging="709"/>
        <w:jc w:val="both"/>
        <w:rPr>
          <w:noProof/>
          <w:szCs w:val="24"/>
          <w:u w:val="none"/>
        </w:rPr>
      </w:pPr>
      <w:r>
        <w:rPr>
          <w:noProof/>
          <w:szCs w:val="24"/>
          <w:u w:val="none"/>
        </w:rPr>
        <w:t>1</w:t>
      </w:r>
      <w:r w:rsidR="007F4988">
        <w:rPr>
          <w:noProof/>
          <w:szCs w:val="24"/>
          <w:u w:val="none"/>
        </w:rPr>
        <w:t>6</w:t>
      </w:r>
      <w:r>
        <w:rPr>
          <w:noProof/>
          <w:szCs w:val="24"/>
          <w:u w:val="none"/>
        </w:rPr>
        <w:t>.3</w:t>
      </w:r>
      <w:r>
        <w:rPr>
          <w:noProof/>
          <w:szCs w:val="24"/>
          <w:u w:val="none"/>
        </w:rPr>
        <w:tab/>
        <w:t xml:space="preserve">A directly negotiated quotation was received from Keir for the 3 year extension, however on submission to the Chief Executive and Monitoring Officer for approval, the Chief Executive and Monitoiring Officer took the view that none of the exemption rationale provided </w:t>
      </w:r>
      <w:r w:rsidR="00BC3649">
        <w:rPr>
          <w:noProof/>
          <w:szCs w:val="24"/>
          <w:u w:val="none"/>
        </w:rPr>
        <w:t>was appolicable for this</w:t>
      </w:r>
      <w:r>
        <w:rPr>
          <w:noProof/>
          <w:szCs w:val="24"/>
          <w:u w:val="none"/>
        </w:rPr>
        <w:t xml:space="preserve"> course of action.</w:t>
      </w:r>
    </w:p>
    <w:p w:rsidR="006B629F" w:rsidRDefault="006B629F" w:rsidP="005F674C">
      <w:pPr>
        <w:pStyle w:val="BodyText2"/>
        <w:ind w:left="709" w:hanging="709"/>
        <w:jc w:val="both"/>
        <w:rPr>
          <w:noProof/>
          <w:szCs w:val="24"/>
          <w:u w:val="none"/>
        </w:rPr>
      </w:pPr>
    </w:p>
    <w:p w:rsidR="001C7B95" w:rsidRDefault="006B629F" w:rsidP="005F674C">
      <w:pPr>
        <w:pStyle w:val="BodyText2"/>
        <w:ind w:left="709" w:hanging="709"/>
        <w:jc w:val="both"/>
        <w:rPr>
          <w:noProof/>
          <w:szCs w:val="24"/>
          <w:u w:val="none"/>
        </w:rPr>
      </w:pPr>
      <w:r>
        <w:rPr>
          <w:noProof/>
          <w:szCs w:val="24"/>
          <w:u w:val="none"/>
        </w:rPr>
        <w:t>1</w:t>
      </w:r>
      <w:r w:rsidR="007F4988">
        <w:rPr>
          <w:noProof/>
          <w:szCs w:val="24"/>
          <w:u w:val="none"/>
        </w:rPr>
        <w:t>6</w:t>
      </w:r>
      <w:r>
        <w:rPr>
          <w:noProof/>
          <w:szCs w:val="24"/>
          <w:u w:val="none"/>
        </w:rPr>
        <w:t>.4</w:t>
      </w:r>
      <w:r>
        <w:rPr>
          <w:noProof/>
          <w:szCs w:val="24"/>
          <w:u w:val="none"/>
        </w:rPr>
        <w:tab/>
        <w:t>Following on from the above deci</w:t>
      </w:r>
      <w:r w:rsidR="001C7B95">
        <w:rPr>
          <w:noProof/>
          <w:szCs w:val="24"/>
          <w:u w:val="none"/>
        </w:rPr>
        <w:t>sion the preferred route to mark</w:t>
      </w:r>
      <w:r>
        <w:rPr>
          <w:noProof/>
          <w:szCs w:val="24"/>
          <w:u w:val="none"/>
        </w:rPr>
        <w:t>et was to award this contract under the governance of the East Midlands Framework and Keir agreed</w:t>
      </w:r>
      <w:r w:rsidR="001C7B95">
        <w:rPr>
          <w:noProof/>
          <w:szCs w:val="24"/>
          <w:u w:val="none"/>
        </w:rPr>
        <w:t xml:space="preserve"> to provide the service under this governance at the previously agreed lower cost, unfortrunatley on further investigation the farmework has 3 providers and a further competition exercise is required.</w:t>
      </w:r>
    </w:p>
    <w:p w:rsidR="001C7B95" w:rsidRDefault="001C7B95" w:rsidP="005F674C">
      <w:pPr>
        <w:pStyle w:val="BodyText2"/>
        <w:ind w:left="709" w:hanging="709"/>
        <w:jc w:val="both"/>
        <w:rPr>
          <w:noProof/>
          <w:szCs w:val="24"/>
          <w:u w:val="none"/>
        </w:rPr>
      </w:pPr>
    </w:p>
    <w:p w:rsidR="005F674C" w:rsidRDefault="001C7B95" w:rsidP="001C7B95">
      <w:pPr>
        <w:pStyle w:val="BodyText2"/>
        <w:ind w:left="709" w:hanging="709"/>
        <w:jc w:val="both"/>
        <w:rPr>
          <w:b/>
          <w:szCs w:val="24"/>
          <w:lang w:eastAsia="en-GB"/>
        </w:rPr>
      </w:pPr>
      <w:r>
        <w:rPr>
          <w:noProof/>
          <w:szCs w:val="24"/>
          <w:u w:val="none"/>
        </w:rPr>
        <w:t>1</w:t>
      </w:r>
      <w:r w:rsidR="007F4988">
        <w:rPr>
          <w:noProof/>
          <w:szCs w:val="24"/>
          <w:u w:val="none"/>
        </w:rPr>
        <w:t>6</w:t>
      </w:r>
      <w:r>
        <w:rPr>
          <w:noProof/>
          <w:szCs w:val="24"/>
          <w:u w:val="none"/>
        </w:rPr>
        <w:t>.5</w:t>
      </w:r>
      <w:r>
        <w:rPr>
          <w:noProof/>
          <w:szCs w:val="24"/>
          <w:u w:val="none"/>
        </w:rPr>
        <w:tab/>
        <w:t>Due to the critical nature of the service it was agreed that as an operational emergency an exemption would be granted for a 12 month extension whilst a further competition exercise was conducted. This would allow for sufficinet time to transition if another provider was scuccessful without detrimenting the service provision. This procurement is currently underway.</w:t>
      </w:r>
      <w:r>
        <w:rPr>
          <w:b/>
          <w:szCs w:val="24"/>
          <w:lang w:eastAsia="en-GB"/>
        </w:rPr>
        <w:t xml:space="preserve"> </w:t>
      </w:r>
    </w:p>
    <w:p w:rsidR="00F976EB" w:rsidRPr="002D35D5" w:rsidRDefault="00F976EB" w:rsidP="0012515D">
      <w:pPr>
        <w:pStyle w:val="BodyText2"/>
        <w:jc w:val="both"/>
        <w:rPr>
          <w:rFonts w:ascii="Arial" w:hAnsi="Arial" w:cs="Arial"/>
          <w:color w:val="FF0000"/>
          <w:szCs w:val="24"/>
          <w:u w:val="none"/>
        </w:rPr>
      </w:pPr>
    </w:p>
    <w:sectPr w:rsidR="00F976EB" w:rsidRPr="002D35D5" w:rsidSect="00535E44">
      <w:headerReference w:type="default" r:id="rId13"/>
      <w:pgSz w:w="11909" w:h="16834" w:code="9"/>
      <w:pgMar w:top="1134" w:right="1134" w:bottom="1134" w:left="1134" w:header="709" w:footer="709" w:gutter="0"/>
      <w:paperSrc w:first="15" w:other="15"/>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C10" w:rsidRDefault="00036C10">
      <w:r>
        <w:separator/>
      </w:r>
    </w:p>
  </w:endnote>
  <w:endnote w:type="continuationSeparator" w:id="0">
    <w:p w:rsidR="00036C10" w:rsidRDefault="00036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C10" w:rsidRDefault="00036C10" w:rsidP="00E80C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6C10" w:rsidRDefault="00036C10" w:rsidP="00674FD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C10" w:rsidRPr="00674FD9" w:rsidRDefault="00036C10" w:rsidP="00E80C54">
    <w:pPr>
      <w:pStyle w:val="Footer"/>
      <w:framePr w:wrap="around" w:vAnchor="text" w:hAnchor="margin" w:xAlign="right" w:y="1"/>
      <w:rPr>
        <w:rStyle w:val="PageNumber"/>
        <w:rFonts w:ascii="Arial" w:hAnsi="Arial" w:cs="Arial"/>
      </w:rPr>
    </w:pPr>
    <w:r w:rsidRPr="00674FD9">
      <w:rPr>
        <w:rStyle w:val="PageNumber"/>
        <w:rFonts w:ascii="Arial" w:hAnsi="Arial" w:cs="Arial"/>
      </w:rPr>
      <w:fldChar w:fldCharType="begin"/>
    </w:r>
    <w:r w:rsidRPr="00674FD9">
      <w:rPr>
        <w:rStyle w:val="PageNumber"/>
        <w:rFonts w:ascii="Arial" w:hAnsi="Arial" w:cs="Arial"/>
      </w:rPr>
      <w:instrText xml:space="preserve">PAGE  </w:instrText>
    </w:r>
    <w:r w:rsidRPr="00674FD9">
      <w:rPr>
        <w:rStyle w:val="PageNumber"/>
        <w:rFonts w:ascii="Arial" w:hAnsi="Arial" w:cs="Arial"/>
      </w:rPr>
      <w:fldChar w:fldCharType="separate"/>
    </w:r>
    <w:r w:rsidR="00B1019C">
      <w:rPr>
        <w:rStyle w:val="PageNumber"/>
        <w:rFonts w:ascii="Arial" w:hAnsi="Arial" w:cs="Arial"/>
        <w:noProof/>
      </w:rPr>
      <w:t>1</w:t>
    </w:r>
    <w:r w:rsidRPr="00674FD9">
      <w:rPr>
        <w:rStyle w:val="PageNumber"/>
        <w:rFonts w:ascii="Arial" w:hAnsi="Arial" w:cs="Arial"/>
      </w:rPr>
      <w:fldChar w:fldCharType="end"/>
    </w:r>
  </w:p>
  <w:p w:rsidR="00036C10" w:rsidRDefault="00036C10" w:rsidP="00B11402">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C10" w:rsidRDefault="00036C10">
      <w:r>
        <w:separator/>
      </w:r>
    </w:p>
  </w:footnote>
  <w:footnote w:type="continuationSeparator" w:id="0">
    <w:p w:rsidR="00036C10" w:rsidRDefault="00036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9857"/>
    </w:tblGrid>
    <w:tr w:rsidR="00036C10" w:rsidRPr="0043285E" w:rsidTr="0043285E">
      <w:tc>
        <w:tcPr>
          <w:tcW w:w="9857" w:type="dxa"/>
          <w:shd w:val="clear" w:color="auto" w:fill="auto"/>
        </w:tcPr>
        <w:p w:rsidR="00036C10" w:rsidRPr="0043285E" w:rsidRDefault="00036C10" w:rsidP="0043285E">
          <w:pPr>
            <w:pStyle w:val="Header"/>
            <w:jc w:val="right"/>
            <w:rPr>
              <w:rFonts w:ascii="Tahoma" w:hAnsi="Tahoma" w:cs="Tahoma"/>
            </w:rPr>
          </w:pPr>
          <w:r>
            <w:rPr>
              <w:rFonts w:ascii="Tahoma" w:hAnsi="Tahoma" w:cs="Tahoma"/>
              <w:noProof/>
              <w:lang w:eastAsia="en-GB"/>
            </w:rPr>
            <w:drawing>
              <wp:inline distT="0" distB="0" distL="0" distR="0" wp14:anchorId="4832135F" wp14:editId="441DF39C">
                <wp:extent cx="2571750" cy="1085850"/>
                <wp:effectExtent l="0" t="0" r="0" b="0"/>
                <wp:docPr id="3" name="Picture 3" descr="CP logo - landscape no p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 logo - landscape no p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1750" cy="1085850"/>
                        </a:xfrm>
                        <a:prstGeom prst="rect">
                          <a:avLst/>
                        </a:prstGeom>
                        <a:noFill/>
                        <a:ln>
                          <a:noFill/>
                        </a:ln>
                      </pic:spPr>
                    </pic:pic>
                  </a:graphicData>
                </a:graphic>
              </wp:inline>
            </w:drawing>
          </w:r>
        </w:p>
      </w:tc>
    </w:tr>
  </w:tbl>
  <w:p w:rsidR="00036C10" w:rsidRPr="00CA19AA" w:rsidRDefault="00036C10" w:rsidP="00674F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C10" w:rsidRDefault="00036C10" w:rsidP="00831597">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9857"/>
    </w:tblGrid>
    <w:tr w:rsidR="00036C10" w:rsidRPr="001E5977" w:rsidTr="001E5977">
      <w:tc>
        <w:tcPr>
          <w:tcW w:w="9857" w:type="dxa"/>
          <w:shd w:val="clear" w:color="auto" w:fill="auto"/>
        </w:tcPr>
        <w:p w:rsidR="00036C10" w:rsidRPr="001E5977" w:rsidRDefault="00036C10" w:rsidP="001E5977">
          <w:pPr>
            <w:pStyle w:val="Header"/>
            <w:jc w:val="right"/>
            <w:rPr>
              <w:rFonts w:ascii="Tahoma" w:hAnsi="Tahoma" w:cs="Tahoma"/>
              <w:b/>
              <w:bCs/>
              <w:sz w:val="24"/>
              <w:szCs w:val="24"/>
            </w:rPr>
          </w:pPr>
          <w:r w:rsidRPr="001E5977">
            <w:rPr>
              <w:rFonts w:ascii="Tahoma" w:hAnsi="Tahoma" w:cs="Tahoma"/>
              <w:b/>
              <w:bCs/>
              <w:sz w:val="24"/>
              <w:szCs w:val="24"/>
            </w:rPr>
            <w:t>Appendix 1</w:t>
          </w:r>
        </w:p>
      </w:tc>
    </w:tr>
  </w:tbl>
  <w:p w:rsidR="00036C10" w:rsidRDefault="00036C10" w:rsidP="0083159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C84"/>
    <w:multiLevelType w:val="multilevel"/>
    <w:tmpl w:val="4ED0FA3C"/>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nsid w:val="06465B57"/>
    <w:multiLevelType w:val="multilevel"/>
    <w:tmpl w:val="0B147E8A"/>
    <w:lvl w:ilvl="0">
      <w:start w:val="1"/>
      <w:numFmt w:val="decimal"/>
      <w:lvlText w:val="%1."/>
      <w:lvlJc w:val="left"/>
      <w:pPr>
        <w:ind w:left="720" w:hanging="360"/>
      </w:pPr>
      <w:rPr>
        <w:rFonts w:hint="default"/>
        <w:b/>
        <w:u w:val="none"/>
      </w:r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800" w:hanging="144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520" w:hanging="216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2">
    <w:nsid w:val="0827653E"/>
    <w:multiLevelType w:val="multilevel"/>
    <w:tmpl w:val="AE1E1F5E"/>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nsid w:val="0CF41352"/>
    <w:multiLevelType w:val="multilevel"/>
    <w:tmpl w:val="E20801C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FE32CCE"/>
    <w:multiLevelType w:val="multilevel"/>
    <w:tmpl w:val="39062B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13C5F50"/>
    <w:multiLevelType w:val="multilevel"/>
    <w:tmpl w:val="B5A288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nsid w:val="123775B8"/>
    <w:multiLevelType w:val="hybridMultilevel"/>
    <w:tmpl w:val="44E2FF38"/>
    <w:lvl w:ilvl="0" w:tplc="3E84D872">
      <w:start w:val="1"/>
      <w:numFmt w:val="decimal"/>
      <w:lvlText w:val="%1."/>
      <w:lvlJc w:val="left"/>
      <w:pPr>
        <w:ind w:left="360" w:hanging="360"/>
      </w:pPr>
      <w:rPr>
        <w:rFonts w:ascii="Tahoma" w:hAnsi="Tahoma" w:cs="Tahoma"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1536683B"/>
    <w:multiLevelType w:val="multilevel"/>
    <w:tmpl w:val="E75C7C4A"/>
    <w:lvl w:ilvl="0">
      <w:start w:val="11"/>
      <w:numFmt w:val="decimal"/>
      <w:lvlText w:val="%1"/>
      <w:lvlJc w:val="left"/>
      <w:pPr>
        <w:tabs>
          <w:tab w:val="num" w:pos="465"/>
        </w:tabs>
        <w:ind w:left="465" w:hanging="46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5A75E51"/>
    <w:multiLevelType w:val="multilevel"/>
    <w:tmpl w:val="F9F6E134"/>
    <w:lvl w:ilvl="0">
      <w:start w:val="5"/>
      <w:numFmt w:val="decimal"/>
      <w:lvlText w:val="%1"/>
      <w:lvlJc w:val="left"/>
      <w:pPr>
        <w:tabs>
          <w:tab w:val="num" w:pos="360"/>
        </w:tabs>
        <w:ind w:left="360" w:hanging="36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76D66C0"/>
    <w:multiLevelType w:val="multilevel"/>
    <w:tmpl w:val="48ECDD4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7844CC7"/>
    <w:multiLevelType w:val="multilevel"/>
    <w:tmpl w:val="83D29A0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7B95786"/>
    <w:multiLevelType w:val="multilevel"/>
    <w:tmpl w:val="94E47C0A"/>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1E723F93"/>
    <w:multiLevelType w:val="multilevel"/>
    <w:tmpl w:val="44ACF8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1F1471B7"/>
    <w:multiLevelType w:val="multilevel"/>
    <w:tmpl w:val="9070A63A"/>
    <w:lvl w:ilvl="0">
      <w:start w:val="4"/>
      <w:numFmt w:val="decimal"/>
      <w:lvlText w:val="%1"/>
      <w:lvlJc w:val="left"/>
      <w:pPr>
        <w:tabs>
          <w:tab w:val="num" w:pos="720"/>
        </w:tabs>
        <w:ind w:left="720" w:hanging="720"/>
      </w:pPr>
      <w:rPr>
        <w:rFonts w:hint="default"/>
        <w:b w:val="0"/>
      </w:rPr>
    </w:lvl>
    <w:lvl w:ilvl="1">
      <w:start w:val="2"/>
      <w:numFmt w:val="decimal"/>
      <w:lvlText w:val="%1.%2"/>
      <w:lvlJc w:val="left"/>
      <w:pPr>
        <w:tabs>
          <w:tab w:val="num" w:pos="720"/>
        </w:tabs>
        <w:ind w:left="720" w:hanging="720"/>
      </w:pPr>
      <w:rPr>
        <w:rFonts w:hint="default"/>
        <w:b w:val="0"/>
      </w:rPr>
    </w:lvl>
    <w:lvl w:ilvl="2">
      <w:start w:val="1"/>
      <w:numFmt w:val="decimal"/>
      <w:lvlText w:val="%1.%2.%3"/>
      <w:lvlJc w:val="left"/>
      <w:pPr>
        <w:tabs>
          <w:tab w:val="num" w:pos="1080"/>
        </w:tabs>
        <w:ind w:left="1080" w:hanging="108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b w:val="0"/>
      </w:rPr>
    </w:lvl>
    <w:lvl w:ilvl="5">
      <w:start w:val="1"/>
      <w:numFmt w:val="decimal"/>
      <w:lvlText w:val="%1.%2.%3.%4.%5.%6"/>
      <w:lvlJc w:val="left"/>
      <w:pPr>
        <w:tabs>
          <w:tab w:val="num" w:pos="1800"/>
        </w:tabs>
        <w:ind w:left="1800" w:hanging="1800"/>
      </w:pPr>
      <w:rPr>
        <w:rFonts w:hint="default"/>
        <w:b w:val="0"/>
      </w:rPr>
    </w:lvl>
    <w:lvl w:ilvl="6">
      <w:start w:val="1"/>
      <w:numFmt w:val="decimal"/>
      <w:lvlText w:val="%1.%2.%3.%4.%5.%6.%7"/>
      <w:lvlJc w:val="left"/>
      <w:pPr>
        <w:tabs>
          <w:tab w:val="num" w:pos="2160"/>
        </w:tabs>
        <w:ind w:left="2160" w:hanging="2160"/>
      </w:pPr>
      <w:rPr>
        <w:rFonts w:hint="default"/>
        <w:b w:val="0"/>
      </w:rPr>
    </w:lvl>
    <w:lvl w:ilvl="7">
      <w:start w:val="1"/>
      <w:numFmt w:val="decimal"/>
      <w:lvlText w:val="%1.%2.%3.%4.%5.%6.%7.%8"/>
      <w:lvlJc w:val="left"/>
      <w:pPr>
        <w:tabs>
          <w:tab w:val="num" w:pos="2160"/>
        </w:tabs>
        <w:ind w:left="2160" w:hanging="2160"/>
      </w:pPr>
      <w:rPr>
        <w:rFonts w:hint="default"/>
        <w:b w:val="0"/>
      </w:rPr>
    </w:lvl>
    <w:lvl w:ilvl="8">
      <w:start w:val="1"/>
      <w:numFmt w:val="decimal"/>
      <w:lvlText w:val="%1.%2.%3.%4.%5.%6.%7.%8.%9"/>
      <w:lvlJc w:val="left"/>
      <w:pPr>
        <w:tabs>
          <w:tab w:val="num" w:pos="2520"/>
        </w:tabs>
        <w:ind w:left="2520" w:hanging="2520"/>
      </w:pPr>
      <w:rPr>
        <w:rFonts w:hint="default"/>
        <w:b w:val="0"/>
      </w:rPr>
    </w:lvl>
  </w:abstractNum>
  <w:abstractNum w:abstractNumId="14">
    <w:nsid w:val="20A8731D"/>
    <w:multiLevelType w:val="multilevel"/>
    <w:tmpl w:val="97A2D05E"/>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nsid w:val="2198745E"/>
    <w:multiLevelType w:val="multilevel"/>
    <w:tmpl w:val="25EEA69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nsid w:val="21D4750C"/>
    <w:multiLevelType w:val="multilevel"/>
    <w:tmpl w:val="3E744F0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5F84ABF"/>
    <w:multiLevelType w:val="multilevel"/>
    <w:tmpl w:val="D9AE66E8"/>
    <w:lvl w:ilvl="0">
      <w:start w:val="4"/>
      <w:numFmt w:val="decimal"/>
      <w:lvlText w:val="%1"/>
      <w:lvlJc w:val="left"/>
      <w:pPr>
        <w:tabs>
          <w:tab w:val="num" w:pos="375"/>
        </w:tabs>
        <w:ind w:left="375" w:hanging="375"/>
      </w:pPr>
      <w:rPr>
        <w:rFonts w:hint="default"/>
        <w:b/>
        <w:color w:val="auto"/>
      </w:rPr>
    </w:lvl>
    <w:lvl w:ilvl="1">
      <w:start w:val="1"/>
      <w:numFmt w:val="decimal"/>
      <w:lvlText w:val="3.%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1080"/>
        </w:tabs>
        <w:ind w:left="1080" w:hanging="1080"/>
      </w:pPr>
      <w:rPr>
        <w:rFonts w:hint="default"/>
        <w:b/>
        <w:color w:val="auto"/>
      </w:rPr>
    </w:lvl>
    <w:lvl w:ilvl="4">
      <w:start w:val="1"/>
      <w:numFmt w:val="decimal"/>
      <w:lvlText w:val="%1.%2.%3.%4.%5"/>
      <w:lvlJc w:val="left"/>
      <w:pPr>
        <w:tabs>
          <w:tab w:val="num" w:pos="1440"/>
        </w:tabs>
        <w:ind w:left="1440" w:hanging="1440"/>
      </w:pPr>
      <w:rPr>
        <w:rFonts w:hint="default"/>
        <w:b/>
        <w:color w:val="auto"/>
      </w:rPr>
    </w:lvl>
    <w:lvl w:ilvl="5">
      <w:start w:val="1"/>
      <w:numFmt w:val="decimal"/>
      <w:lvlText w:val="%1.%2.%3.%4.%5.%6"/>
      <w:lvlJc w:val="left"/>
      <w:pPr>
        <w:tabs>
          <w:tab w:val="num" w:pos="1440"/>
        </w:tabs>
        <w:ind w:left="1440" w:hanging="1440"/>
      </w:pPr>
      <w:rPr>
        <w:rFonts w:hint="default"/>
        <w:b/>
        <w:color w:val="auto"/>
      </w:rPr>
    </w:lvl>
    <w:lvl w:ilvl="6">
      <w:start w:val="1"/>
      <w:numFmt w:val="decimal"/>
      <w:lvlText w:val="%1.%2.%3.%4.%5.%6.%7"/>
      <w:lvlJc w:val="left"/>
      <w:pPr>
        <w:tabs>
          <w:tab w:val="num" w:pos="1800"/>
        </w:tabs>
        <w:ind w:left="1800" w:hanging="1800"/>
      </w:pPr>
      <w:rPr>
        <w:rFonts w:hint="default"/>
        <w:b/>
        <w:color w:val="auto"/>
      </w:rPr>
    </w:lvl>
    <w:lvl w:ilvl="7">
      <w:start w:val="1"/>
      <w:numFmt w:val="decimal"/>
      <w:lvlText w:val="%1.%2.%3.%4.%5.%6.%7.%8"/>
      <w:lvlJc w:val="left"/>
      <w:pPr>
        <w:tabs>
          <w:tab w:val="num" w:pos="2160"/>
        </w:tabs>
        <w:ind w:left="2160" w:hanging="2160"/>
      </w:pPr>
      <w:rPr>
        <w:rFonts w:hint="default"/>
        <w:b/>
        <w:color w:val="auto"/>
      </w:rPr>
    </w:lvl>
    <w:lvl w:ilvl="8">
      <w:start w:val="1"/>
      <w:numFmt w:val="decimal"/>
      <w:lvlText w:val="%1.%2.%3.%4.%5.%6.%7.%8.%9"/>
      <w:lvlJc w:val="left"/>
      <w:pPr>
        <w:tabs>
          <w:tab w:val="num" w:pos="2160"/>
        </w:tabs>
        <w:ind w:left="2160" w:hanging="2160"/>
      </w:pPr>
      <w:rPr>
        <w:rFonts w:hint="default"/>
        <w:b/>
        <w:color w:val="auto"/>
      </w:rPr>
    </w:lvl>
  </w:abstractNum>
  <w:abstractNum w:abstractNumId="18">
    <w:nsid w:val="2E151E08"/>
    <w:multiLevelType w:val="hybridMultilevel"/>
    <w:tmpl w:val="CCDCC008"/>
    <w:lvl w:ilvl="0" w:tplc="BBD2F4B0">
      <w:start w:val="17"/>
      <w:numFmt w:val="decimal"/>
      <w:lvlText w:val="%1."/>
      <w:lvlJc w:val="left"/>
      <w:pPr>
        <w:ind w:left="720" w:hanging="360"/>
      </w:pPr>
      <w:rPr>
        <w:rFonts w:ascii="Arial" w:hAnsi="Arial" w:cs="Arial" w:hint="default"/>
        <w:b w:val="0"/>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9D67554"/>
    <w:multiLevelType w:val="multilevel"/>
    <w:tmpl w:val="CC30CDB8"/>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E2B4AF1"/>
    <w:multiLevelType w:val="hybridMultilevel"/>
    <w:tmpl w:val="90F699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E574E0A"/>
    <w:multiLevelType w:val="hybridMultilevel"/>
    <w:tmpl w:val="5B66AE5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F543D83"/>
    <w:multiLevelType w:val="hybridMultilevel"/>
    <w:tmpl w:val="CDAE25D4"/>
    <w:lvl w:ilvl="0" w:tplc="F58CB442">
      <w:start w:val="17"/>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2D35AC9"/>
    <w:multiLevelType w:val="multilevel"/>
    <w:tmpl w:val="FC201914"/>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Tahoma" w:hAnsi="Tahoma" w:cs="Tahoma"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nsid w:val="46C817DD"/>
    <w:multiLevelType w:val="multilevel"/>
    <w:tmpl w:val="554CC876"/>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nsid w:val="47136715"/>
    <w:multiLevelType w:val="multilevel"/>
    <w:tmpl w:val="80DE37C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6">
    <w:nsid w:val="486919CF"/>
    <w:multiLevelType w:val="hybridMultilevel"/>
    <w:tmpl w:val="B84AA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D993896"/>
    <w:multiLevelType w:val="multilevel"/>
    <w:tmpl w:val="0BA8860A"/>
    <w:lvl w:ilvl="0">
      <w:start w:val="1"/>
      <w:numFmt w:val="decimal"/>
      <w:lvlText w:val="%1"/>
      <w:lvlJc w:val="left"/>
      <w:pPr>
        <w:ind w:left="937" w:hanging="795"/>
      </w:pPr>
      <w:rPr>
        <w:rFonts w:hint="default"/>
      </w:rPr>
    </w:lvl>
    <w:lvl w:ilvl="1">
      <w:start w:val="1"/>
      <w:numFmt w:val="decimal"/>
      <w:lvlText w:val="%1.%2"/>
      <w:lvlJc w:val="left"/>
      <w:pPr>
        <w:ind w:left="937" w:hanging="795"/>
      </w:pPr>
      <w:rPr>
        <w:rFonts w:hint="default"/>
      </w:rPr>
    </w:lvl>
    <w:lvl w:ilvl="2">
      <w:start w:val="1"/>
      <w:numFmt w:val="decimal"/>
      <w:lvlText w:val="%1.%2.%3"/>
      <w:lvlJc w:val="left"/>
      <w:pPr>
        <w:ind w:left="937" w:hanging="795"/>
      </w:pPr>
      <w:rPr>
        <w:rFonts w:hint="default"/>
      </w:rPr>
    </w:lvl>
    <w:lvl w:ilvl="3">
      <w:start w:val="1"/>
      <w:numFmt w:val="decimal"/>
      <w:lvlText w:val="%1.%2.%3.%4"/>
      <w:lvlJc w:val="left"/>
      <w:pPr>
        <w:ind w:left="1222" w:hanging="108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582" w:hanging="144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942" w:hanging="1800"/>
      </w:pPr>
      <w:rPr>
        <w:rFonts w:hint="default"/>
      </w:rPr>
    </w:lvl>
    <w:lvl w:ilvl="8">
      <w:start w:val="1"/>
      <w:numFmt w:val="decimal"/>
      <w:lvlText w:val="%1.%2.%3.%4.%5.%6.%7.%8.%9"/>
      <w:lvlJc w:val="left"/>
      <w:pPr>
        <w:ind w:left="1942" w:hanging="1800"/>
      </w:pPr>
      <w:rPr>
        <w:rFonts w:hint="default"/>
      </w:rPr>
    </w:lvl>
  </w:abstractNum>
  <w:abstractNum w:abstractNumId="28">
    <w:nsid w:val="4DD76A6B"/>
    <w:multiLevelType w:val="multilevel"/>
    <w:tmpl w:val="BBD8E7E0"/>
    <w:lvl w:ilvl="0">
      <w:start w:val="1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4EC47367"/>
    <w:multiLevelType w:val="multilevel"/>
    <w:tmpl w:val="12127AD8"/>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nsid w:val="52706944"/>
    <w:multiLevelType w:val="multilevel"/>
    <w:tmpl w:val="4622E53A"/>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58DA6675"/>
    <w:multiLevelType w:val="multilevel"/>
    <w:tmpl w:val="A290EE8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nsid w:val="5BD70EC7"/>
    <w:multiLevelType w:val="multilevel"/>
    <w:tmpl w:val="36C2324A"/>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5C6C58B9"/>
    <w:multiLevelType w:val="hybridMultilevel"/>
    <w:tmpl w:val="067C17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0707C52"/>
    <w:multiLevelType w:val="hybridMultilevel"/>
    <w:tmpl w:val="8CDEAED2"/>
    <w:lvl w:ilvl="0" w:tplc="F2BCA1B8">
      <w:start w:val="3"/>
      <w:numFmt w:val="none"/>
      <w:lvlText w:val="2."/>
      <w:lvlJc w:val="left"/>
      <w:pPr>
        <w:tabs>
          <w:tab w:val="num" w:pos="720"/>
        </w:tabs>
        <w:ind w:left="720" w:hanging="360"/>
      </w:pPr>
      <w:rPr>
        <w:rFonts w:hint="default"/>
        <w:b/>
      </w:rPr>
    </w:lvl>
    <w:lvl w:ilvl="1" w:tplc="08090019">
      <w:start w:val="1"/>
      <w:numFmt w:val="lowerLetter"/>
      <w:lvlText w:val="%2."/>
      <w:lvlJc w:val="left"/>
      <w:pPr>
        <w:tabs>
          <w:tab w:val="num" w:pos="1440"/>
        </w:tabs>
        <w:ind w:left="1440" w:hanging="360"/>
      </w:pPr>
    </w:lvl>
    <w:lvl w:ilvl="2" w:tplc="508A13AC">
      <w:start w:val="3"/>
      <w:numFmt w:val="decimal"/>
      <w:lvlText w:val="%3."/>
      <w:lvlJc w:val="left"/>
      <w:pPr>
        <w:tabs>
          <w:tab w:val="num" w:pos="2340"/>
        </w:tabs>
        <w:ind w:left="2340" w:hanging="360"/>
      </w:pPr>
      <w:rPr>
        <w:rFonts w:hint="default"/>
        <w:b/>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64671E4F"/>
    <w:multiLevelType w:val="multilevel"/>
    <w:tmpl w:val="06F0795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66F63E83"/>
    <w:multiLevelType w:val="multilevel"/>
    <w:tmpl w:val="F2B81B24"/>
    <w:lvl w:ilvl="0">
      <w:start w:val="13"/>
      <w:numFmt w:val="decimal"/>
      <w:lvlText w:val="%1"/>
      <w:lvlJc w:val="left"/>
      <w:pPr>
        <w:tabs>
          <w:tab w:val="num" w:pos="465"/>
        </w:tabs>
        <w:ind w:left="465" w:hanging="46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9942DF3"/>
    <w:multiLevelType w:val="hybridMultilevel"/>
    <w:tmpl w:val="A1BAC41C"/>
    <w:lvl w:ilvl="0" w:tplc="7C460240">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0F10F47"/>
    <w:multiLevelType w:val="hybridMultilevel"/>
    <w:tmpl w:val="AEAEB762"/>
    <w:lvl w:ilvl="0" w:tplc="F34651A2">
      <w:start w:val="2"/>
      <w:numFmt w:val="decimal"/>
      <w:lvlText w:val="%1."/>
      <w:lvlJc w:val="left"/>
      <w:pPr>
        <w:tabs>
          <w:tab w:val="num" w:pos="360"/>
        </w:tabs>
        <w:ind w:left="360" w:hanging="360"/>
      </w:pPr>
      <w:rPr>
        <w:rFonts w:hint="default"/>
        <w:b/>
      </w:rPr>
    </w:lvl>
    <w:lvl w:ilvl="1" w:tplc="3DA8DDDE">
      <w:numFmt w:val="none"/>
      <w:lvlText w:val=""/>
      <w:lvlJc w:val="left"/>
      <w:pPr>
        <w:tabs>
          <w:tab w:val="num" w:pos="360"/>
        </w:tabs>
      </w:pPr>
    </w:lvl>
    <w:lvl w:ilvl="2" w:tplc="4B902B86">
      <w:numFmt w:val="none"/>
      <w:lvlText w:val=""/>
      <w:lvlJc w:val="left"/>
      <w:pPr>
        <w:tabs>
          <w:tab w:val="num" w:pos="360"/>
        </w:tabs>
      </w:pPr>
    </w:lvl>
    <w:lvl w:ilvl="3" w:tplc="37DECECA">
      <w:numFmt w:val="none"/>
      <w:lvlText w:val=""/>
      <w:lvlJc w:val="left"/>
      <w:pPr>
        <w:tabs>
          <w:tab w:val="num" w:pos="360"/>
        </w:tabs>
      </w:pPr>
    </w:lvl>
    <w:lvl w:ilvl="4" w:tplc="976C6FF8">
      <w:numFmt w:val="none"/>
      <w:lvlText w:val=""/>
      <w:lvlJc w:val="left"/>
      <w:pPr>
        <w:tabs>
          <w:tab w:val="num" w:pos="360"/>
        </w:tabs>
      </w:pPr>
    </w:lvl>
    <w:lvl w:ilvl="5" w:tplc="F10AA89E">
      <w:numFmt w:val="none"/>
      <w:lvlText w:val=""/>
      <w:lvlJc w:val="left"/>
      <w:pPr>
        <w:tabs>
          <w:tab w:val="num" w:pos="360"/>
        </w:tabs>
      </w:pPr>
    </w:lvl>
    <w:lvl w:ilvl="6" w:tplc="5C0A51CC">
      <w:numFmt w:val="none"/>
      <w:lvlText w:val=""/>
      <w:lvlJc w:val="left"/>
      <w:pPr>
        <w:tabs>
          <w:tab w:val="num" w:pos="360"/>
        </w:tabs>
      </w:pPr>
    </w:lvl>
    <w:lvl w:ilvl="7" w:tplc="9A66DBA8">
      <w:numFmt w:val="none"/>
      <w:lvlText w:val=""/>
      <w:lvlJc w:val="left"/>
      <w:pPr>
        <w:tabs>
          <w:tab w:val="num" w:pos="360"/>
        </w:tabs>
      </w:pPr>
    </w:lvl>
    <w:lvl w:ilvl="8" w:tplc="6ED8E3E0">
      <w:numFmt w:val="none"/>
      <w:lvlText w:val=""/>
      <w:lvlJc w:val="left"/>
      <w:pPr>
        <w:tabs>
          <w:tab w:val="num" w:pos="360"/>
        </w:tabs>
      </w:pPr>
    </w:lvl>
  </w:abstractNum>
  <w:abstractNum w:abstractNumId="39">
    <w:nsid w:val="73002349"/>
    <w:multiLevelType w:val="multilevel"/>
    <w:tmpl w:val="CB4258B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734B4F4C"/>
    <w:multiLevelType w:val="multilevel"/>
    <w:tmpl w:val="D4D8FA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506386F"/>
    <w:multiLevelType w:val="multilevel"/>
    <w:tmpl w:val="9F7E41BE"/>
    <w:lvl w:ilvl="0">
      <w:start w:val="3"/>
      <w:numFmt w:val="decimal"/>
      <w:lvlText w:val="%1"/>
      <w:lvlJc w:val="left"/>
      <w:pPr>
        <w:tabs>
          <w:tab w:val="num" w:pos="360"/>
        </w:tabs>
        <w:ind w:left="360" w:hanging="360"/>
      </w:pPr>
      <w:rPr>
        <w:rFonts w:hint="default"/>
        <w:color w:val="auto"/>
      </w:rPr>
    </w:lvl>
    <w:lvl w:ilvl="1">
      <w:start w:val="1"/>
      <w:numFmt w:val="decimal"/>
      <w:lvlText w:val="2.%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440"/>
        </w:tabs>
        <w:ind w:left="1440" w:hanging="144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2160"/>
        </w:tabs>
        <w:ind w:left="2160" w:hanging="216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42">
    <w:nsid w:val="77571743"/>
    <w:multiLevelType w:val="multilevel"/>
    <w:tmpl w:val="172404EA"/>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nsid w:val="77EB345A"/>
    <w:multiLevelType w:val="multilevel"/>
    <w:tmpl w:val="2A4061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5E7073"/>
    <w:multiLevelType w:val="hybridMultilevel"/>
    <w:tmpl w:val="B16C27E8"/>
    <w:lvl w:ilvl="0" w:tplc="566CF084">
      <w:start w:val="11"/>
      <w:numFmt w:val="decimal"/>
      <w:lvlText w:val="%1."/>
      <w:lvlJc w:val="left"/>
      <w:pPr>
        <w:tabs>
          <w:tab w:val="num" w:pos="735"/>
        </w:tabs>
        <w:ind w:left="735" w:hanging="375"/>
      </w:pPr>
      <w:rPr>
        <w:rFonts w:hint="default"/>
        <w:b/>
      </w:rPr>
    </w:lvl>
    <w:lvl w:ilvl="1" w:tplc="63D67328">
      <w:numFmt w:val="none"/>
      <w:lvlText w:val=""/>
      <w:lvlJc w:val="left"/>
      <w:pPr>
        <w:tabs>
          <w:tab w:val="num" w:pos="360"/>
        </w:tabs>
      </w:pPr>
    </w:lvl>
    <w:lvl w:ilvl="2" w:tplc="356823CA">
      <w:numFmt w:val="none"/>
      <w:lvlText w:val=""/>
      <w:lvlJc w:val="left"/>
      <w:pPr>
        <w:tabs>
          <w:tab w:val="num" w:pos="360"/>
        </w:tabs>
      </w:pPr>
    </w:lvl>
    <w:lvl w:ilvl="3" w:tplc="44AE2A36">
      <w:numFmt w:val="none"/>
      <w:lvlText w:val=""/>
      <w:lvlJc w:val="left"/>
      <w:pPr>
        <w:tabs>
          <w:tab w:val="num" w:pos="360"/>
        </w:tabs>
      </w:pPr>
    </w:lvl>
    <w:lvl w:ilvl="4" w:tplc="AD3A2BE0">
      <w:numFmt w:val="none"/>
      <w:lvlText w:val=""/>
      <w:lvlJc w:val="left"/>
      <w:pPr>
        <w:tabs>
          <w:tab w:val="num" w:pos="360"/>
        </w:tabs>
      </w:pPr>
    </w:lvl>
    <w:lvl w:ilvl="5" w:tplc="8B5A6868">
      <w:numFmt w:val="none"/>
      <w:lvlText w:val=""/>
      <w:lvlJc w:val="left"/>
      <w:pPr>
        <w:tabs>
          <w:tab w:val="num" w:pos="360"/>
        </w:tabs>
      </w:pPr>
    </w:lvl>
    <w:lvl w:ilvl="6" w:tplc="D220D262">
      <w:numFmt w:val="none"/>
      <w:lvlText w:val=""/>
      <w:lvlJc w:val="left"/>
      <w:pPr>
        <w:tabs>
          <w:tab w:val="num" w:pos="360"/>
        </w:tabs>
      </w:pPr>
    </w:lvl>
    <w:lvl w:ilvl="7" w:tplc="9F3E84B6">
      <w:numFmt w:val="none"/>
      <w:lvlText w:val=""/>
      <w:lvlJc w:val="left"/>
      <w:pPr>
        <w:tabs>
          <w:tab w:val="num" w:pos="360"/>
        </w:tabs>
      </w:pPr>
    </w:lvl>
    <w:lvl w:ilvl="8" w:tplc="A8E00E7C">
      <w:numFmt w:val="none"/>
      <w:lvlText w:val=""/>
      <w:lvlJc w:val="left"/>
      <w:pPr>
        <w:tabs>
          <w:tab w:val="num" w:pos="360"/>
        </w:tabs>
      </w:pPr>
    </w:lvl>
  </w:abstractNum>
  <w:abstractNum w:abstractNumId="45">
    <w:nsid w:val="7A5E34B1"/>
    <w:multiLevelType w:val="multilevel"/>
    <w:tmpl w:val="71B46C44"/>
    <w:lvl w:ilvl="0">
      <w:start w:val="10"/>
      <w:numFmt w:val="decimal"/>
      <w:lvlText w:val="%1"/>
      <w:lvlJc w:val="left"/>
      <w:pPr>
        <w:tabs>
          <w:tab w:val="num" w:pos="465"/>
        </w:tabs>
        <w:ind w:left="465" w:hanging="46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A7831CA"/>
    <w:multiLevelType w:val="multilevel"/>
    <w:tmpl w:val="9E08229E"/>
    <w:lvl w:ilvl="0">
      <w:start w:val="7"/>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nsid w:val="7C1212F1"/>
    <w:multiLevelType w:val="hybridMultilevel"/>
    <w:tmpl w:val="35464A52"/>
    <w:lvl w:ilvl="0" w:tplc="0C2073A6">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DA16D07"/>
    <w:multiLevelType w:val="hybridMultilevel"/>
    <w:tmpl w:val="1332DB4C"/>
    <w:lvl w:ilvl="0" w:tplc="A142DB9C">
      <w:start w:val="7"/>
      <w:numFmt w:val="decimal"/>
      <w:lvlText w:val="%1."/>
      <w:lvlJc w:val="left"/>
      <w:pPr>
        <w:tabs>
          <w:tab w:val="num" w:pos="720"/>
        </w:tabs>
        <w:ind w:left="720" w:hanging="360"/>
      </w:pPr>
      <w:rPr>
        <w:rFonts w:hint="default"/>
      </w:rPr>
    </w:lvl>
    <w:lvl w:ilvl="1" w:tplc="B2CE0C5E">
      <w:numFmt w:val="none"/>
      <w:lvlText w:val=""/>
      <w:lvlJc w:val="left"/>
      <w:pPr>
        <w:tabs>
          <w:tab w:val="num" w:pos="360"/>
        </w:tabs>
      </w:pPr>
    </w:lvl>
    <w:lvl w:ilvl="2" w:tplc="E7DA3348">
      <w:numFmt w:val="none"/>
      <w:lvlText w:val=""/>
      <w:lvlJc w:val="left"/>
      <w:pPr>
        <w:tabs>
          <w:tab w:val="num" w:pos="360"/>
        </w:tabs>
      </w:pPr>
    </w:lvl>
    <w:lvl w:ilvl="3" w:tplc="DB20D63E">
      <w:numFmt w:val="none"/>
      <w:lvlText w:val=""/>
      <w:lvlJc w:val="left"/>
      <w:pPr>
        <w:tabs>
          <w:tab w:val="num" w:pos="360"/>
        </w:tabs>
      </w:pPr>
    </w:lvl>
    <w:lvl w:ilvl="4" w:tplc="9DB23418">
      <w:numFmt w:val="none"/>
      <w:lvlText w:val=""/>
      <w:lvlJc w:val="left"/>
      <w:pPr>
        <w:tabs>
          <w:tab w:val="num" w:pos="360"/>
        </w:tabs>
      </w:pPr>
    </w:lvl>
    <w:lvl w:ilvl="5" w:tplc="F3F2517A">
      <w:numFmt w:val="none"/>
      <w:lvlText w:val=""/>
      <w:lvlJc w:val="left"/>
      <w:pPr>
        <w:tabs>
          <w:tab w:val="num" w:pos="360"/>
        </w:tabs>
      </w:pPr>
    </w:lvl>
    <w:lvl w:ilvl="6" w:tplc="3F20392C">
      <w:numFmt w:val="none"/>
      <w:lvlText w:val=""/>
      <w:lvlJc w:val="left"/>
      <w:pPr>
        <w:tabs>
          <w:tab w:val="num" w:pos="360"/>
        </w:tabs>
      </w:pPr>
    </w:lvl>
    <w:lvl w:ilvl="7" w:tplc="B4E664CE">
      <w:numFmt w:val="none"/>
      <w:lvlText w:val=""/>
      <w:lvlJc w:val="left"/>
      <w:pPr>
        <w:tabs>
          <w:tab w:val="num" w:pos="360"/>
        </w:tabs>
      </w:pPr>
    </w:lvl>
    <w:lvl w:ilvl="8" w:tplc="A604719C">
      <w:numFmt w:val="none"/>
      <w:lvlText w:val=""/>
      <w:lvlJc w:val="left"/>
      <w:pPr>
        <w:tabs>
          <w:tab w:val="num" w:pos="360"/>
        </w:tabs>
      </w:pPr>
    </w:lvl>
  </w:abstractNum>
  <w:num w:numId="1">
    <w:abstractNumId w:val="13"/>
  </w:num>
  <w:num w:numId="2">
    <w:abstractNumId w:val="40"/>
  </w:num>
  <w:num w:numId="3">
    <w:abstractNumId w:val="9"/>
  </w:num>
  <w:num w:numId="4">
    <w:abstractNumId w:val="38"/>
  </w:num>
  <w:num w:numId="5">
    <w:abstractNumId w:val="12"/>
  </w:num>
  <w:num w:numId="6">
    <w:abstractNumId w:val="41"/>
  </w:num>
  <w:num w:numId="7">
    <w:abstractNumId w:val="34"/>
  </w:num>
  <w:num w:numId="8">
    <w:abstractNumId w:val="17"/>
  </w:num>
  <w:num w:numId="9">
    <w:abstractNumId w:val="8"/>
  </w:num>
  <w:num w:numId="10">
    <w:abstractNumId w:val="19"/>
  </w:num>
  <w:num w:numId="11">
    <w:abstractNumId w:val="10"/>
  </w:num>
  <w:num w:numId="12">
    <w:abstractNumId w:val="4"/>
  </w:num>
  <w:num w:numId="13">
    <w:abstractNumId w:val="48"/>
  </w:num>
  <w:num w:numId="14">
    <w:abstractNumId w:val="45"/>
  </w:num>
  <w:num w:numId="15">
    <w:abstractNumId w:val="44"/>
  </w:num>
  <w:num w:numId="16">
    <w:abstractNumId w:val="43"/>
  </w:num>
  <w:num w:numId="17">
    <w:abstractNumId w:val="35"/>
  </w:num>
  <w:num w:numId="18">
    <w:abstractNumId w:val="7"/>
  </w:num>
  <w:num w:numId="19">
    <w:abstractNumId w:val="3"/>
  </w:num>
  <w:num w:numId="20">
    <w:abstractNumId w:val="32"/>
  </w:num>
  <w:num w:numId="21">
    <w:abstractNumId w:val="16"/>
  </w:num>
  <w:num w:numId="22">
    <w:abstractNumId w:val="28"/>
  </w:num>
  <w:num w:numId="23">
    <w:abstractNumId w:val="36"/>
  </w:num>
  <w:num w:numId="24">
    <w:abstractNumId w:val="5"/>
  </w:num>
  <w:num w:numId="25">
    <w:abstractNumId w:val="25"/>
  </w:num>
  <w:num w:numId="26">
    <w:abstractNumId w:val="27"/>
  </w:num>
  <w:num w:numId="27">
    <w:abstractNumId w:val="6"/>
  </w:num>
  <w:num w:numId="28">
    <w:abstractNumId w:val="23"/>
  </w:num>
  <w:num w:numId="29">
    <w:abstractNumId w:val="21"/>
  </w:num>
  <w:num w:numId="30">
    <w:abstractNumId w:val="15"/>
  </w:num>
  <w:num w:numId="31">
    <w:abstractNumId w:val="46"/>
  </w:num>
  <w:num w:numId="32">
    <w:abstractNumId w:val="42"/>
  </w:num>
  <w:num w:numId="33">
    <w:abstractNumId w:val="14"/>
  </w:num>
  <w:num w:numId="34">
    <w:abstractNumId w:val="30"/>
  </w:num>
  <w:num w:numId="35">
    <w:abstractNumId w:val="47"/>
  </w:num>
  <w:num w:numId="36">
    <w:abstractNumId w:val="37"/>
  </w:num>
  <w:num w:numId="37">
    <w:abstractNumId w:val="1"/>
  </w:num>
  <w:num w:numId="38">
    <w:abstractNumId w:val="2"/>
  </w:num>
  <w:num w:numId="39">
    <w:abstractNumId w:val="31"/>
  </w:num>
  <w:num w:numId="40">
    <w:abstractNumId w:val="24"/>
  </w:num>
  <w:num w:numId="41">
    <w:abstractNumId w:val="39"/>
  </w:num>
  <w:num w:numId="42">
    <w:abstractNumId w:val="29"/>
  </w:num>
  <w:num w:numId="43">
    <w:abstractNumId w:val="11"/>
  </w:num>
  <w:num w:numId="44">
    <w:abstractNumId w:val="0"/>
  </w:num>
  <w:num w:numId="45">
    <w:abstractNumId w:val="20"/>
  </w:num>
  <w:num w:numId="46">
    <w:abstractNumId w:val="22"/>
  </w:num>
  <w:num w:numId="47">
    <w:abstractNumId w:val="26"/>
  </w:num>
  <w:num w:numId="48">
    <w:abstractNumId w:val="18"/>
  </w:num>
  <w:num w:numId="49">
    <w:abstractNumId w:val="3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21/09/2017 14:32"/>
  </w:docVars>
  <w:rsids>
    <w:rsidRoot w:val="003E5727"/>
    <w:rsid w:val="00000409"/>
    <w:rsid w:val="00003D22"/>
    <w:rsid w:val="00006247"/>
    <w:rsid w:val="0001001C"/>
    <w:rsid w:val="0001170D"/>
    <w:rsid w:val="00020482"/>
    <w:rsid w:val="0002095C"/>
    <w:rsid w:val="0002187D"/>
    <w:rsid w:val="000254C0"/>
    <w:rsid w:val="0002572B"/>
    <w:rsid w:val="00026C92"/>
    <w:rsid w:val="00027A0E"/>
    <w:rsid w:val="00030D41"/>
    <w:rsid w:val="00035B1A"/>
    <w:rsid w:val="00036C10"/>
    <w:rsid w:val="00040BCC"/>
    <w:rsid w:val="00041371"/>
    <w:rsid w:val="000504EE"/>
    <w:rsid w:val="00054AD3"/>
    <w:rsid w:val="0006183E"/>
    <w:rsid w:val="000623C7"/>
    <w:rsid w:val="000637D2"/>
    <w:rsid w:val="00063A5B"/>
    <w:rsid w:val="000655C9"/>
    <w:rsid w:val="000659F8"/>
    <w:rsid w:val="000729D5"/>
    <w:rsid w:val="00073D7E"/>
    <w:rsid w:val="000748C5"/>
    <w:rsid w:val="00074D8C"/>
    <w:rsid w:val="000755F8"/>
    <w:rsid w:val="00076E0B"/>
    <w:rsid w:val="00077457"/>
    <w:rsid w:val="00077B9E"/>
    <w:rsid w:val="000837EE"/>
    <w:rsid w:val="000854A4"/>
    <w:rsid w:val="00087D3E"/>
    <w:rsid w:val="00090C7B"/>
    <w:rsid w:val="00091924"/>
    <w:rsid w:val="00091B5C"/>
    <w:rsid w:val="0009617D"/>
    <w:rsid w:val="00096816"/>
    <w:rsid w:val="00097152"/>
    <w:rsid w:val="00097889"/>
    <w:rsid w:val="000A4018"/>
    <w:rsid w:val="000A53F6"/>
    <w:rsid w:val="000A6634"/>
    <w:rsid w:val="000A79B8"/>
    <w:rsid w:val="000A7C4B"/>
    <w:rsid w:val="000B06B9"/>
    <w:rsid w:val="000B257B"/>
    <w:rsid w:val="000B41DA"/>
    <w:rsid w:val="000B47E5"/>
    <w:rsid w:val="000B4898"/>
    <w:rsid w:val="000B63A8"/>
    <w:rsid w:val="000B75B6"/>
    <w:rsid w:val="000C0076"/>
    <w:rsid w:val="000C0B24"/>
    <w:rsid w:val="000D3032"/>
    <w:rsid w:val="000D6EC7"/>
    <w:rsid w:val="000E082F"/>
    <w:rsid w:val="000E0B59"/>
    <w:rsid w:val="000E367D"/>
    <w:rsid w:val="000E5644"/>
    <w:rsid w:val="000E7A8B"/>
    <w:rsid w:val="000F0F53"/>
    <w:rsid w:val="000F6E14"/>
    <w:rsid w:val="000F7DFE"/>
    <w:rsid w:val="00100569"/>
    <w:rsid w:val="001034BE"/>
    <w:rsid w:val="00103580"/>
    <w:rsid w:val="0011048D"/>
    <w:rsid w:val="001118B4"/>
    <w:rsid w:val="0011265F"/>
    <w:rsid w:val="001135E8"/>
    <w:rsid w:val="00117429"/>
    <w:rsid w:val="001242CF"/>
    <w:rsid w:val="00124AFC"/>
    <w:rsid w:val="00124E72"/>
    <w:rsid w:val="0012515D"/>
    <w:rsid w:val="00125F49"/>
    <w:rsid w:val="00126FD0"/>
    <w:rsid w:val="00133FD9"/>
    <w:rsid w:val="00136529"/>
    <w:rsid w:val="001405A8"/>
    <w:rsid w:val="00140B8E"/>
    <w:rsid w:val="0014296D"/>
    <w:rsid w:val="001434B7"/>
    <w:rsid w:val="00143801"/>
    <w:rsid w:val="00144A75"/>
    <w:rsid w:val="0014561B"/>
    <w:rsid w:val="00153617"/>
    <w:rsid w:val="00153AA1"/>
    <w:rsid w:val="00160BEB"/>
    <w:rsid w:val="0016135D"/>
    <w:rsid w:val="00167258"/>
    <w:rsid w:val="00171FED"/>
    <w:rsid w:val="00174418"/>
    <w:rsid w:val="001807F6"/>
    <w:rsid w:val="00181EB8"/>
    <w:rsid w:val="00183616"/>
    <w:rsid w:val="001839D0"/>
    <w:rsid w:val="0018609B"/>
    <w:rsid w:val="00191057"/>
    <w:rsid w:val="00191EEA"/>
    <w:rsid w:val="00194525"/>
    <w:rsid w:val="001945AA"/>
    <w:rsid w:val="001970D9"/>
    <w:rsid w:val="001A35A9"/>
    <w:rsid w:val="001A5445"/>
    <w:rsid w:val="001A63FF"/>
    <w:rsid w:val="001A65DD"/>
    <w:rsid w:val="001B0060"/>
    <w:rsid w:val="001B06C1"/>
    <w:rsid w:val="001B0B11"/>
    <w:rsid w:val="001B4B6A"/>
    <w:rsid w:val="001B7C02"/>
    <w:rsid w:val="001C031E"/>
    <w:rsid w:val="001C0F1A"/>
    <w:rsid w:val="001C22E4"/>
    <w:rsid w:val="001C24F3"/>
    <w:rsid w:val="001C26DC"/>
    <w:rsid w:val="001C6032"/>
    <w:rsid w:val="001C7B93"/>
    <w:rsid w:val="001C7B95"/>
    <w:rsid w:val="001D0F37"/>
    <w:rsid w:val="001D1B51"/>
    <w:rsid w:val="001D314C"/>
    <w:rsid w:val="001D4964"/>
    <w:rsid w:val="001E367D"/>
    <w:rsid w:val="001E38C8"/>
    <w:rsid w:val="001E3F51"/>
    <w:rsid w:val="001E51E4"/>
    <w:rsid w:val="001E5642"/>
    <w:rsid w:val="001E595B"/>
    <w:rsid w:val="001E5977"/>
    <w:rsid w:val="001E6D07"/>
    <w:rsid w:val="001F7D30"/>
    <w:rsid w:val="00200B5D"/>
    <w:rsid w:val="00202DDD"/>
    <w:rsid w:val="002032EC"/>
    <w:rsid w:val="00203D63"/>
    <w:rsid w:val="002049AD"/>
    <w:rsid w:val="0020597D"/>
    <w:rsid w:val="00206063"/>
    <w:rsid w:val="00210E22"/>
    <w:rsid w:val="002113F5"/>
    <w:rsid w:val="00215A0B"/>
    <w:rsid w:val="00215F9C"/>
    <w:rsid w:val="00217952"/>
    <w:rsid w:val="002205F1"/>
    <w:rsid w:val="002209A7"/>
    <w:rsid w:val="002236F2"/>
    <w:rsid w:val="0022563F"/>
    <w:rsid w:val="00225C9A"/>
    <w:rsid w:val="00226AE4"/>
    <w:rsid w:val="00227BB5"/>
    <w:rsid w:val="00227F46"/>
    <w:rsid w:val="0023259C"/>
    <w:rsid w:val="002325C0"/>
    <w:rsid w:val="0023506C"/>
    <w:rsid w:val="00236CD1"/>
    <w:rsid w:val="0024275E"/>
    <w:rsid w:val="002454C7"/>
    <w:rsid w:val="002502CA"/>
    <w:rsid w:val="002545AE"/>
    <w:rsid w:val="002575CC"/>
    <w:rsid w:val="00260347"/>
    <w:rsid w:val="00262BCE"/>
    <w:rsid w:val="00262FF3"/>
    <w:rsid w:val="002642DF"/>
    <w:rsid w:val="002709D0"/>
    <w:rsid w:val="00271655"/>
    <w:rsid w:val="00274FF1"/>
    <w:rsid w:val="00275A02"/>
    <w:rsid w:val="0028026B"/>
    <w:rsid w:val="0028080E"/>
    <w:rsid w:val="00281B97"/>
    <w:rsid w:val="002823EE"/>
    <w:rsid w:val="00284562"/>
    <w:rsid w:val="00284A35"/>
    <w:rsid w:val="00284CE7"/>
    <w:rsid w:val="00287CB6"/>
    <w:rsid w:val="0029311A"/>
    <w:rsid w:val="00295049"/>
    <w:rsid w:val="00297F67"/>
    <w:rsid w:val="002A0000"/>
    <w:rsid w:val="002A0B4F"/>
    <w:rsid w:val="002A1152"/>
    <w:rsid w:val="002A52ED"/>
    <w:rsid w:val="002A6A20"/>
    <w:rsid w:val="002B2B76"/>
    <w:rsid w:val="002B7678"/>
    <w:rsid w:val="002C1C97"/>
    <w:rsid w:val="002C738B"/>
    <w:rsid w:val="002D168D"/>
    <w:rsid w:val="002D2318"/>
    <w:rsid w:val="002D35D5"/>
    <w:rsid w:val="002D3D7C"/>
    <w:rsid w:val="002D52FF"/>
    <w:rsid w:val="002D777F"/>
    <w:rsid w:val="002D7C76"/>
    <w:rsid w:val="002E0683"/>
    <w:rsid w:val="002E080C"/>
    <w:rsid w:val="002E0FAE"/>
    <w:rsid w:val="002E1492"/>
    <w:rsid w:val="002E1CA4"/>
    <w:rsid w:val="002E4136"/>
    <w:rsid w:val="002F1EED"/>
    <w:rsid w:val="002F44A7"/>
    <w:rsid w:val="002F611C"/>
    <w:rsid w:val="002F7064"/>
    <w:rsid w:val="00301DAB"/>
    <w:rsid w:val="00302F33"/>
    <w:rsid w:val="003035E3"/>
    <w:rsid w:val="003058D6"/>
    <w:rsid w:val="003111FD"/>
    <w:rsid w:val="0031437D"/>
    <w:rsid w:val="00320F94"/>
    <w:rsid w:val="00324C4B"/>
    <w:rsid w:val="00325F94"/>
    <w:rsid w:val="0032796F"/>
    <w:rsid w:val="0033176A"/>
    <w:rsid w:val="003319D3"/>
    <w:rsid w:val="00332D19"/>
    <w:rsid w:val="00332DCD"/>
    <w:rsid w:val="00333239"/>
    <w:rsid w:val="0033671D"/>
    <w:rsid w:val="00337161"/>
    <w:rsid w:val="00340652"/>
    <w:rsid w:val="003426F4"/>
    <w:rsid w:val="00343C43"/>
    <w:rsid w:val="00345361"/>
    <w:rsid w:val="00345D18"/>
    <w:rsid w:val="00345EA6"/>
    <w:rsid w:val="00347D51"/>
    <w:rsid w:val="0035030F"/>
    <w:rsid w:val="00356586"/>
    <w:rsid w:val="003610CC"/>
    <w:rsid w:val="0036192D"/>
    <w:rsid w:val="0036259C"/>
    <w:rsid w:val="003676E6"/>
    <w:rsid w:val="003713AA"/>
    <w:rsid w:val="00371BCC"/>
    <w:rsid w:val="00371F73"/>
    <w:rsid w:val="00372A4D"/>
    <w:rsid w:val="00375854"/>
    <w:rsid w:val="003763DB"/>
    <w:rsid w:val="00376DC7"/>
    <w:rsid w:val="00377B3B"/>
    <w:rsid w:val="00380C3D"/>
    <w:rsid w:val="003861BE"/>
    <w:rsid w:val="0038730B"/>
    <w:rsid w:val="00390054"/>
    <w:rsid w:val="00390CB1"/>
    <w:rsid w:val="0039313C"/>
    <w:rsid w:val="00395EE9"/>
    <w:rsid w:val="003A1EF2"/>
    <w:rsid w:val="003A4E1D"/>
    <w:rsid w:val="003B1405"/>
    <w:rsid w:val="003B2563"/>
    <w:rsid w:val="003B55DF"/>
    <w:rsid w:val="003B6E36"/>
    <w:rsid w:val="003C2371"/>
    <w:rsid w:val="003D0CE2"/>
    <w:rsid w:val="003D2E8A"/>
    <w:rsid w:val="003D3F54"/>
    <w:rsid w:val="003D4274"/>
    <w:rsid w:val="003D6B75"/>
    <w:rsid w:val="003E0AC5"/>
    <w:rsid w:val="003E5727"/>
    <w:rsid w:val="003F06FD"/>
    <w:rsid w:val="003F26F9"/>
    <w:rsid w:val="003F4DD8"/>
    <w:rsid w:val="003F5924"/>
    <w:rsid w:val="003F599A"/>
    <w:rsid w:val="003F63CD"/>
    <w:rsid w:val="003F6BB5"/>
    <w:rsid w:val="00400A1A"/>
    <w:rsid w:val="0040224F"/>
    <w:rsid w:val="00402376"/>
    <w:rsid w:val="00402660"/>
    <w:rsid w:val="004036A3"/>
    <w:rsid w:val="00404DAF"/>
    <w:rsid w:val="00406598"/>
    <w:rsid w:val="00411C34"/>
    <w:rsid w:val="004124B4"/>
    <w:rsid w:val="0042217F"/>
    <w:rsid w:val="00422502"/>
    <w:rsid w:val="00424F5E"/>
    <w:rsid w:val="00427C93"/>
    <w:rsid w:val="00432400"/>
    <w:rsid w:val="0043285E"/>
    <w:rsid w:val="00433933"/>
    <w:rsid w:val="004357F8"/>
    <w:rsid w:val="00436B31"/>
    <w:rsid w:val="00440711"/>
    <w:rsid w:val="00442641"/>
    <w:rsid w:val="00442C1B"/>
    <w:rsid w:val="0044374D"/>
    <w:rsid w:val="00444AD9"/>
    <w:rsid w:val="00445097"/>
    <w:rsid w:val="004455F8"/>
    <w:rsid w:val="004466C1"/>
    <w:rsid w:val="004479C0"/>
    <w:rsid w:val="004519A7"/>
    <w:rsid w:val="00453A7E"/>
    <w:rsid w:val="00455AC7"/>
    <w:rsid w:val="0045626A"/>
    <w:rsid w:val="004609B8"/>
    <w:rsid w:val="00460E38"/>
    <w:rsid w:val="0046107B"/>
    <w:rsid w:val="00470B38"/>
    <w:rsid w:val="00471AF4"/>
    <w:rsid w:val="00473E3A"/>
    <w:rsid w:val="00474511"/>
    <w:rsid w:val="00476896"/>
    <w:rsid w:val="00476F66"/>
    <w:rsid w:val="00480410"/>
    <w:rsid w:val="004810D4"/>
    <w:rsid w:val="004839F5"/>
    <w:rsid w:val="004840B9"/>
    <w:rsid w:val="00484796"/>
    <w:rsid w:val="00484AA3"/>
    <w:rsid w:val="0049155A"/>
    <w:rsid w:val="00493772"/>
    <w:rsid w:val="00495D7C"/>
    <w:rsid w:val="00496D87"/>
    <w:rsid w:val="00497F0E"/>
    <w:rsid w:val="004A0E6E"/>
    <w:rsid w:val="004A1B63"/>
    <w:rsid w:val="004A1D95"/>
    <w:rsid w:val="004A1DC4"/>
    <w:rsid w:val="004A6AE1"/>
    <w:rsid w:val="004B04BB"/>
    <w:rsid w:val="004B1858"/>
    <w:rsid w:val="004B2641"/>
    <w:rsid w:val="004B4E83"/>
    <w:rsid w:val="004B566E"/>
    <w:rsid w:val="004B6024"/>
    <w:rsid w:val="004B6E39"/>
    <w:rsid w:val="004C58A7"/>
    <w:rsid w:val="004C5DCE"/>
    <w:rsid w:val="004C65A3"/>
    <w:rsid w:val="004D0FF5"/>
    <w:rsid w:val="004D1B42"/>
    <w:rsid w:val="004D327E"/>
    <w:rsid w:val="004D3E60"/>
    <w:rsid w:val="004D4474"/>
    <w:rsid w:val="004D4752"/>
    <w:rsid w:val="004D7056"/>
    <w:rsid w:val="004E05A6"/>
    <w:rsid w:val="004E4BE9"/>
    <w:rsid w:val="004E5C20"/>
    <w:rsid w:val="004F0BC9"/>
    <w:rsid w:val="004F1FE5"/>
    <w:rsid w:val="004F4245"/>
    <w:rsid w:val="004F4855"/>
    <w:rsid w:val="004F6D8E"/>
    <w:rsid w:val="00500B1E"/>
    <w:rsid w:val="00500E31"/>
    <w:rsid w:val="00504ECD"/>
    <w:rsid w:val="00507209"/>
    <w:rsid w:val="00507303"/>
    <w:rsid w:val="005160D2"/>
    <w:rsid w:val="005169AF"/>
    <w:rsid w:val="00522D69"/>
    <w:rsid w:val="00522E18"/>
    <w:rsid w:val="005236F0"/>
    <w:rsid w:val="00523E61"/>
    <w:rsid w:val="00523F73"/>
    <w:rsid w:val="005259D2"/>
    <w:rsid w:val="00525EB9"/>
    <w:rsid w:val="005260E0"/>
    <w:rsid w:val="00526CE1"/>
    <w:rsid w:val="00526F0C"/>
    <w:rsid w:val="00530AF5"/>
    <w:rsid w:val="00531493"/>
    <w:rsid w:val="0053255A"/>
    <w:rsid w:val="00534ECA"/>
    <w:rsid w:val="00535E44"/>
    <w:rsid w:val="00536E1F"/>
    <w:rsid w:val="0054048D"/>
    <w:rsid w:val="0054199B"/>
    <w:rsid w:val="00544F82"/>
    <w:rsid w:val="0054565D"/>
    <w:rsid w:val="00551DB7"/>
    <w:rsid w:val="00552785"/>
    <w:rsid w:val="00552F5C"/>
    <w:rsid w:val="005536CE"/>
    <w:rsid w:val="00555B30"/>
    <w:rsid w:val="00557BC5"/>
    <w:rsid w:val="00560D30"/>
    <w:rsid w:val="00560FBC"/>
    <w:rsid w:val="00563C52"/>
    <w:rsid w:val="00563E08"/>
    <w:rsid w:val="00565F1D"/>
    <w:rsid w:val="005701F3"/>
    <w:rsid w:val="00570443"/>
    <w:rsid w:val="005712AA"/>
    <w:rsid w:val="00571373"/>
    <w:rsid w:val="005752FA"/>
    <w:rsid w:val="00583F05"/>
    <w:rsid w:val="005840B8"/>
    <w:rsid w:val="005857F5"/>
    <w:rsid w:val="00585ED0"/>
    <w:rsid w:val="0059368E"/>
    <w:rsid w:val="00594B33"/>
    <w:rsid w:val="005A1B16"/>
    <w:rsid w:val="005A5C72"/>
    <w:rsid w:val="005A6A11"/>
    <w:rsid w:val="005A7BA9"/>
    <w:rsid w:val="005B0DA1"/>
    <w:rsid w:val="005C04F5"/>
    <w:rsid w:val="005C1422"/>
    <w:rsid w:val="005C31BA"/>
    <w:rsid w:val="005C3856"/>
    <w:rsid w:val="005C4873"/>
    <w:rsid w:val="005C70C5"/>
    <w:rsid w:val="005D2B9A"/>
    <w:rsid w:val="005D78D3"/>
    <w:rsid w:val="005E23E9"/>
    <w:rsid w:val="005E26E8"/>
    <w:rsid w:val="005E2F65"/>
    <w:rsid w:val="005E5BA6"/>
    <w:rsid w:val="005E7801"/>
    <w:rsid w:val="005F07B1"/>
    <w:rsid w:val="005F153B"/>
    <w:rsid w:val="005F1C25"/>
    <w:rsid w:val="005F1CBE"/>
    <w:rsid w:val="005F2331"/>
    <w:rsid w:val="005F4202"/>
    <w:rsid w:val="005F60D4"/>
    <w:rsid w:val="005F674C"/>
    <w:rsid w:val="005F6C8A"/>
    <w:rsid w:val="00602E84"/>
    <w:rsid w:val="006039D8"/>
    <w:rsid w:val="006054EB"/>
    <w:rsid w:val="00605CD1"/>
    <w:rsid w:val="0061204D"/>
    <w:rsid w:val="00613443"/>
    <w:rsid w:val="00614321"/>
    <w:rsid w:val="00614FF5"/>
    <w:rsid w:val="006176E8"/>
    <w:rsid w:val="0061798F"/>
    <w:rsid w:val="00617A23"/>
    <w:rsid w:val="0062161E"/>
    <w:rsid w:val="00622FD9"/>
    <w:rsid w:val="00626FDA"/>
    <w:rsid w:val="0063044D"/>
    <w:rsid w:val="00633951"/>
    <w:rsid w:val="00634C03"/>
    <w:rsid w:val="006355EB"/>
    <w:rsid w:val="00635627"/>
    <w:rsid w:val="0064097E"/>
    <w:rsid w:val="00642D8A"/>
    <w:rsid w:val="006432BC"/>
    <w:rsid w:val="00644DED"/>
    <w:rsid w:val="006462C1"/>
    <w:rsid w:val="00650620"/>
    <w:rsid w:val="0065307C"/>
    <w:rsid w:val="00654021"/>
    <w:rsid w:val="006546B4"/>
    <w:rsid w:val="00655027"/>
    <w:rsid w:val="00655F14"/>
    <w:rsid w:val="0065706D"/>
    <w:rsid w:val="006574C2"/>
    <w:rsid w:val="00657645"/>
    <w:rsid w:val="00660607"/>
    <w:rsid w:val="006723E3"/>
    <w:rsid w:val="0067309C"/>
    <w:rsid w:val="0067481B"/>
    <w:rsid w:val="00674FD9"/>
    <w:rsid w:val="00675095"/>
    <w:rsid w:val="00675A96"/>
    <w:rsid w:val="00675B5B"/>
    <w:rsid w:val="0067727F"/>
    <w:rsid w:val="006823FB"/>
    <w:rsid w:val="00682409"/>
    <w:rsid w:val="006851C6"/>
    <w:rsid w:val="00685261"/>
    <w:rsid w:val="00685475"/>
    <w:rsid w:val="0068724B"/>
    <w:rsid w:val="00690561"/>
    <w:rsid w:val="00692FB7"/>
    <w:rsid w:val="006930C7"/>
    <w:rsid w:val="00693C3F"/>
    <w:rsid w:val="006A0579"/>
    <w:rsid w:val="006A1E85"/>
    <w:rsid w:val="006A38E5"/>
    <w:rsid w:val="006A4E44"/>
    <w:rsid w:val="006A69B2"/>
    <w:rsid w:val="006A6C16"/>
    <w:rsid w:val="006A6C19"/>
    <w:rsid w:val="006B26D0"/>
    <w:rsid w:val="006B3251"/>
    <w:rsid w:val="006B629F"/>
    <w:rsid w:val="006B7B44"/>
    <w:rsid w:val="006C13BB"/>
    <w:rsid w:val="006C4D3E"/>
    <w:rsid w:val="006C59E1"/>
    <w:rsid w:val="006D1B9A"/>
    <w:rsid w:val="006D334D"/>
    <w:rsid w:val="006D6675"/>
    <w:rsid w:val="006D6FF7"/>
    <w:rsid w:val="006E272C"/>
    <w:rsid w:val="006E36A8"/>
    <w:rsid w:val="006E5B82"/>
    <w:rsid w:val="006E6E45"/>
    <w:rsid w:val="006F0AEF"/>
    <w:rsid w:val="006F0DDB"/>
    <w:rsid w:val="006F2E69"/>
    <w:rsid w:val="006F32B8"/>
    <w:rsid w:val="006F365A"/>
    <w:rsid w:val="006F5D81"/>
    <w:rsid w:val="006F6E2F"/>
    <w:rsid w:val="007043C9"/>
    <w:rsid w:val="007077C8"/>
    <w:rsid w:val="00710617"/>
    <w:rsid w:val="0071581B"/>
    <w:rsid w:val="007169B2"/>
    <w:rsid w:val="00720220"/>
    <w:rsid w:val="00724E46"/>
    <w:rsid w:val="0072545F"/>
    <w:rsid w:val="007268F6"/>
    <w:rsid w:val="00731932"/>
    <w:rsid w:val="007320F1"/>
    <w:rsid w:val="00733873"/>
    <w:rsid w:val="0073770E"/>
    <w:rsid w:val="00740640"/>
    <w:rsid w:val="00743F32"/>
    <w:rsid w:val="00745E01"/>
    <w:rsid w:val="00745F0F"/>
    <w:rsid w:val="0074761B"/>
    <w:rsid w:val="007536A0"/>
    <w:rsid w:val="00754807"/>
    <w:rsid w:val="00762571"/>
    <w:rsid w:val="00762970"/>
    <w:rsid w:val="007661D3"/>
    <w:rsid w:val="00771117"/>
    <w:rsid w:val="0077134E"/>
    <w:rsid w:val="00771B7A"/>
    <w:rsid w:val="00773D8F"/>
    <w:rsid w:val="00775758"/>
    <w:rsid w:val="0077670F"/>
    <w:rsid w:val="00785274"/>
    <w:rsid w:val="007924EE"/>
    <w:rsid w:val="00792DF4"/>
    <w:rsid w:val="00794F10"/>
    <w:rsid w:val="007A0AEB"/>
    <w:rsid w:val="007A3BD2"/>
    <w:rsid w:val="007A49A4"/>
    <w:rsid w:val="007A7122"/>
    <w:rsid w:val="007B036E"/>
    <w:rsid w:val="007B171A"/>
    <w:rsid w:val="007B398E"/>
    <w:rsid w:val="007B3C9E"/>
    <w:rsid w:val="007B3FA0"/>
    <w:rsid w:val="007B46F2"/>
    <w:rsid w:val="007B5D35"/>
    <w:rsid w:val="007B62BD"/>
    <w:rsid w:val="007B674A"/>
    <w:rsid w:val="007C20F8"/>
    <w:rsid w:val="007C297F"/>
    <w:rsid w:val="007C4C4D"/>
    <w:rsid w:val="007C516F"/>
    <w:rsid w:val="007C5F13"/>
    <w:rsid w:val="007D1B86"/>
    <w:rsid w:val="007D6763"/>
    <w:rsid w:val="007D6D10"/>
    <w:rsid w:val="007E111E"/>
    <w:rsid w:val="007E1894"/>
    <w:rsid w:val="007E37EF"/>
    <w:rsid w:val="007F023B"/>
    <w:rsid w:val="007F2DAB"/>
    <w:rsid w:val="007F3974"/>
    <w:rsid w:val="007F3D6B"/>
    <w:rsid w:val="007F4988"/>
    <w:rsid w:val="007F61ED"/>
    <w:rsid w:val="007F6B8D"/>
    <w:rsid w:val="00800C55"/>
    <w:rsid w:val="00806191"/>
    <w:rsid w:val="0080665E"/>
    <w:rsid w:val="008101B3"/>
    <w:rsid w:val="00810696"/>
    <w:rsid w:val="00810908"/>
    <w:rsid w:val="00810BD3"/>
    <w:rsid w:val="00816316"/>
    <w:rsid w:val="00817C86"/>
    <w:rsid w:val="00821B12"/>
    <w:rsid w:val="0083090E"/>
    <w:rsid w:val="00831597"/>
    <w:rsid w:val="00833201"/>
    <w:rsid w:val="0083496E"/>
    <w:rsid w:val="00836F2A"/>
    <w:rsid w:val="00843531"/>
    <w:rsid w:val="00846573"/>
    <w:rsid w:val="0085207B"/>
    <w:rsid w:val="00854D43"/>
    <w:rsid w:val="00856B94"/>
    <w:rsid w:val="00860960"/>
    <w:rsid w:val="0086279D"/>
    <w:rsid w:val="00864829"/>
    <w:rsid w:val="0086675B"/>
    <w:rsid w:val="00870FEE"/>
    <w:rsid w:val="00873137"/>
    <w:rsid w:val="0087318D"/>
    <w:rsid w:val="008750C2"/>
    <w:rsid w:val="00877008"/>
    <w:rsid w:val="00884710"/>
    <w:rsid w:val="00884D13"/>
    <w:rsid w:val="00890825"/>
    <w:rsid w:val="008922C2"/>
    <w:rsid w:val="008933AD"/>
    <w:rsid w:val="00895106"/>
    <w:rsid w:val="0089632C"/>
    <w:rsid w:val="008A181F"/>
    <w:rsid w:val="008A32D6"/>
    <w:rsid w:val="008A3DFB"/>
    <w:rsid w:val="008A566A"/>
    <w:rsid w:val="008B2C4B"/>
    <w:rsid w:val="008B2D51"/>
    <w:rsid w:val="008B4FAA"/>
    <w:rsid w:val="008B550E"/>
    <w:rsid w:val="008B55E6"/>
    <w:rsid w:val="008B6F7A"/>
    <w:rsid w:val="008C507C"/>
    <w:rsid w:val="008C5DCD"/>
    <w:rsid w:val="008C60FD"/>
    <w:rsid w:val="008D0CBF"/>
    <w:rsid w:val="008D121A"/>
    <w:rsid w:val="008D45BF"/>
    <w:rsid w:val="008D46C9"/>
    <w:rsid w:val="008D78FE"/>
    <w:rsid w:val="008E024D"/>
    <w:rsid w:val="008E2265"/>
    <w:rsid w:val="008E2654"/>
    <w:rsid w:val="008E4C20"/>
    <w:rsid w:val="008E65F3"/>
    <w:rsid w:val="008E6AC5"/>
    <w:rsid w:val="008E7609"/>
    <w:rsid w:val="008E78D6"/>
    <w:rsid w:val="008F0B28"/>
    <w:rsid w:val="008F1783"/>
    <w:rsid w:val="008F22A9"/>
    <w:rsid w:val="008F2C48"/>
    <w:rsid w:val="008F7503"/>
    <w:rsid w:val="009022C2"/>
    <w:rsid w:val="0090468C"/>
    <w:rsid w:val="00907503"/>
    <w:rsid w:val="00907534"/>
    <w:rsid w:val="00907D0F"/>
    <w:rsid w:val="00912484"/>
    <w:rsid w:val="009130B9"/>
    <w:rsid w:val="0092093F"/>
    <w:rsid w:val="00925F27"/>
    <w:rsid w:val="00927B7F"/>
    <w:rsid w:val="00936739"/>
    <w:rsid w:val="00937931"/>
    <w:rsid w:val="009415D0"/>
    <w:rsid w:val="0095297D"/>
    <w:rsid w:val="0095716B"/>
    <w:rsid w:val="00962707"/>
    <w:rsid w:val="0096627D"/>
    <w:rsid w:val="00970AD5"/>
    <w:rsid w:val="00970DBF"/>
    <w:rsid w:val="00974A35"/>
    <w:rsid w:val="00977A43"/>
    <w:rsid w:val="0098285A"/>
    <w:rsid w:val="00983798"/>
    <w:rsid w:val="00995EDB"/>
    <w:rsid w:val="00997DCC"/>
    <w:rsid w:val="009A217F"/>
    <w:rsid w:val="009A2DC8"/>
    <w:rsid w:val="009A5E3E"/>
    <w:rsid w:val="009B57FA"/>
    <w:rsid w:val="009B782C"/>
    <w:rsid w:val="009C034A"/>
    <w:rsid w:val="009C20F2"/>
    <w:rsid w:val="009C580E"/>
    <w:rsid w:val="009C5863"/>
    <w:rsid w:val="009C70F0"/>
    <w:rsid w:val="009D194F"/>
    <w:rsid w:val="009E4D1D"/>
    <w:rsid w:val="009E4E51"/>
    <w:rsid w:val="009F0702"/>
    <w:rsid w:val="009F527D"/>
    <w:rsid w:val="009F7EAB"/>
    <w:rsid w:val="00A03064"/>
    <w:rsid w:val="00A03624"/>
    <w:rsid w:val="00A03816"/>
    <w:rsid w:val="00A05AF5"/>
    <w:rsid w:val="00A073D7"/>
    <w:rsid w:val="00A1261B"/>
    <w:rsid w:val="00A15AEF"/>
    <w:rsid w:val="00A17552"/>
    <w:rsid w:val="00A2126F"/>
    <w:rsid w:val="00A21FF7"/>
    <w:rsid w:val="00A22282"/>
    <w:rsid w:val="00A22A51"/>
    <w:rsid w:val="00A27632"/>
    <w:rsid w:val="00A278E6"/>
    <w:rsid w:val="00A30389"/>
    <w:rsid w:val="00A32800"/>
    <w:rsid w:val="00A32D8B"/>
    <w:rsid w:val="00A343DD"/>
    <w:rsid w:val="00A34B1B"/>
    <w:rsid w:val="00A36B71"/>
    <w:rsid w:val="00A374CA"/>
    <w:rsid w:val="00A37887"/>
    <w:rsid w:val="00A40B77"/>
    <w:rsid w:val="00A4389E"/>
    <w:rsid w:val="00A44136"/>
    <w:rsid w:val="00A4787C"/>
    <w:rsid w:val="00A50275"/>
    <w:rsid w:val="00A50796"/>
    <w:rsid w:val="00A51A7D"/>
    <w:rsid w:val="00A51BF3"/>
    <w:rsid w:val="00A642D9"/>
    <w:rsid w:val="00A6638F"/>
    <w:rsid w:val="00A671AC"/>
    <w:rsid w:val="00A67B6B"/>
    <w:rsid w:val="00A74669"/>
    <w:rsid w:val="00A837CE"/>
    <w:rsid w:val="00A87AAE"/>
    <w:rsid w:val="00A87D2E"/>
    <w:rsid w:val="00A92D98"/>
    <w:rsid w:val="00A954FE"/>
    <w:rsid w:val="00A96AEC"/>
    <w:rsid w:val="00AA065F"/>
    <w:rsid w:val="00AA1D08"/>
    <w:rsid w:val="00AA47CC"/>
    <w:rsid w:val="00AA6124"/>
    <w:rsid w:val="00AB4636"/>
    <w:rsid w:val="00AC2DC5"/>
    <w:rsid w:val="00AC6824"/>
    <w:rsid w:val="00AC6FFE"/>
    <w:rsid w:val="00AC7F3B"/>
    <w:rsid w:val="00AD00F6"/>
    <w:rsid w:val="00AD05D0"/>
    <w:rsid w:val="00AD3687"/>
    <w:rsid w:val="00AD6694"/>
    <w:rsid w:val="00AE02E6"/>
    <w:rsid w:val="00AE12DE"/>
    <w:rsid w:val="00AE1A0B"/>
    <w:rsid w:val="00AE3673"/>
    <w:rsid w:val="00AE467F"/>
    <w:rsid w:val="00AE564E"/>
    <w:rsid w:val="00AE75DC"/>
    <w:rsid w:val="00AF0437"/>
    <w:rsid w:val="00AF09D3"/>
    <w:rsid w:val="00AF1E13"/>
    <w:rsid w:val="00AF3566"/>
    <w:rsid w:val="00AF36D4"/>
    <w:rsid w:val="00AF434D"/>
    <w:rsid w:val="00AF568B"/>
    <w:rsid w:val="00AF5B4E"/>
    <w:rsid w:val="00AF61D1"/>
    <w:rsid w:val="00B00F27"/>
    <w:rsid w:val="00B02ADA"/>
    <w:rsid w:val="00B035A4"/>
    <w:rsid w:val="00B1019C"/>
    <w:rsid w:val="00B11402"/>
    <w:rsid w:val="00B12891"/>
    <w:rsid w:val="00B1390E"/>
    <w:rsid w:val="00B156C6"/>
    <w:rsid w:val="00B20BDC"/>
    <w:rsid w:val="00B21C5D"/>
    <w:rsid w:val="00B24162"/>
    <w:rsid w:val="00B2490B"/>
    <w:rsid w:val="00B25DAC"/>
    <w:rsid w:val="00B33D51"/>
    <w:rsid w:val="00B35ECC"/>
    <w:rsid w:val="00B40768"/>
    <w:rsid w:val="00B40A97"/>
    <w:rsid w:val="00B410C8"/>
    <w:rsid w:val="00B44F60"/>
    <w:rsid w:val="00B46CA0"/>
    <w:rsid w:val="00B52240"/>
    <w:rsid w:val="00B55CCF"/>
    <w:rsid w:val="00B56D61"/>
    <w:rsid w:val="00B619AA"/>
    <w:rsid w:val="00B6701E"/>
    <w:rsid w:val="00B7252B"/>
    <w:rsid w:val="00B73CDC"/>
    <w:rsid w:val="00B7509B"/>
    <w:rsid w:val="00B83B60"/>
    <w:rsid w:val="00B856DD"/>
    <w:rsid w:val="00B85EC6"/>
    <w:rsid w:val="00B901C9"/>
    <w:rsid w:val="00B926EA"/>
    <w:rsid w:val="00B955B8"/>
    <w:rsid w:val="00BA00A3"/>
    <w:rsid w:val="00BA2376"/>
    <w:rsid w:val="00BA6407"/>
    <w:rsid w:val="00BA6650"/>
    <w:rsid w:val="00BA7F60"/>
    <w:rsid w:val="00BB2848"/>
    <w:rsid w:val="00BB5E50"/>
    <w:rsid w:val="00BB6CA2"/>
    <w:rsid w:val="00BB755F"/>
    <w:rsid w:val="00BB7B4C"/>
    <w:rsid w:val="00BC1F2E"/>
    <w:rsid w:val="00BC2521"/>
    <w:rsid w:val="00BC3649"/>
    <w:rsid w:val="00BC41F5"/>
    <w:rsid w:val="00BC4B75"/>
    <w:rsid w:val="00BD026A"/>
    <w:rsid w:val="00BD2868"/>
    <w:rsid w:val="00BD32E3"/>
    <w:rsid w:val="00BD5C5C"/>
    <w:rsid w:val="00BE0734"/>
    <w:rsid w:val="00BE10E5"/>
    <w:rsid w:val="00BE112F"/>
    <w:rsid w:val="00BE31CD"/>
    <w:rsid w:val="00BE3368"/>
    <w:rsid w:val="00BE50A9"/>
    <w:rsid w:val="00BF244E"/>
    <w:rsid w:val="00BF2A13"/>
    <w:rsid w:val="00BF47DD"/>
    <w:rsid w:val="00C02828"/>
    <w:rsid w:val="00C04554"/>
    <w:rsid w:val="00C049D6"/>
    <w:rsid w:val="00C04B5E"/>
    <w:rsid w:val="00C05393"/>
    <w:rsid w:val="00C05CF9"/>
    <w:rsid w:val="00C10E17"/>
    <w:rsid w:val="00C12B89"/>
    <w:rsid w:val="00C15887"/>
    <w:rsid w:val="00C15A43"/>
    <w:rsid w:val="00C15F23"/>
    <w:rsid w:val="00C22A0D"/>
    <w:rsid w:val="00C257D1"/>
    <w:rsid w:val="00C26616"/>
    <w:rsid w:val="00C2709B"/>
    <w:rsid w:val="00C30F2D"/>
    <w:rsid w:val="00C33814"/>
    <w:rsid w:val="00C34D3F"/>
    <w:rsid w:val="00C351C8"/>
    <w:rsid w:val="00C35B9E"/>
    <w:rsid w:val="00C373E9"/>
    <w:rsid w:val="00C37A57"/>
    <w:rsid w:val="00C43B46"/>
    <w:rsid w:val="00C45DE2"/>
    <w:rsid w:val="00C50963"/>
    <w:rsid w:val="00C53B06"/>
    <w:rsid w:val="00C53B9D"/>
    <w:rsid w:val="00C5722C"/>
    <w:rsid w:val="00C607AE"/>
    <w:rsid w:val="00C613BD"/>
    <w:rsid w:val="00C6220A"/>
    <w:rsid w:val="00C624AB"/>
    <w:rsid w:val="00C62A91"/>
    <w:rsid w:val="00C66229"/>
    <w:rsid w:val="00C67973"/>
    <w:rsid w:val="00C679AF"/>
    <w:rsid w:val="00C71978"/>
    <w:rsid w:val="00C72013"/>
    <w:rsid w:val="00C73323"/>
    <w:rsid w:val="00C82475"/>
    <w:rsid w:val="00C908E5"/>
    <w:rsid w:val="00C9178B"/>
    <w:rsid w:val="00C962CC"/>
    <w:rsid w:val="00C96CAA"/>
    <w:rsid w:val="00C96CEA"/>
    <w:rsid w:val="00C96E52"/>
    <w:rsid w:val="00C97ADD"/>
    <w:rsid w:val="00CA0747"/>
    <w:rsid w:val="00CA1232"/>
    <w:rsid w:val="00CA19AA"/>
    <w:rsid w:val="00CA761B"/>
    <w:rsid w:val="00CB0266"/>
    <w:rsid w:val="00CB0FCD"/>
    <w:rsid w:val="00CB19D1"/>
    <w:rsid w:val="00CB1E74"/>
    <w:rsid w:val="00CB2411"/>
    <w:rsid w:val="00CC01A0"/>
    <w:rsid w:val="00CC0816"/>
    <w:rsid w:val="00CC1F48"/>
    <w:rsid w:val="00CC7CCC"/>
    <w:rsid w:val="00CD1547"/>
    <w:rsid w:val="00CD2B5F"/>
    <w:rsid w:val="00CD3852"/>
    <w:rsid w:val="00CE11B3"/>
    <w:rsid w:val="00CE6F12"/>
    <w:rsid w:val="00CE7AB1"/>
    <w:rsid w:val="00CF18BB"/>
    <w:rsid w:val="00CF47B8"/>
    <w:rsid w:val="00CF5703"/>
    <w:rsid w:val="00CF5FD5"/>
    <w:rsid w:val="00D02C80"/>
    <w:rsid w:val="00D05954"/>
    <w:rsid w:val="00D068E8"/>
    <w:rsid w:val="00D12F19"/>
    <w:rsid w:val="00D1511D"/>
    <w:rsid w:val="00D15361"/>
    <w:rsid w:val="00D15949"/>
    <w:rsid w:val="00D20D2D"/>
    <w:rsid w:val="00D20E6D"/>
    <w:rsid w:val="00D22FB4"/>
    <w:rsid w:val="00D243B8"/>
    <w:rsid w:val="00D253F2"/>
    <w:rsid w:val="00D26629"/>
    <w:rsid w:val="00D31695"/>
    <w:rsid w:val="00D3250B"/>
    <w:rsid w:val="00D36BF8"/>
    <w:rsid w:val="00D36E5E"/>
    <w:rsid w:val="00D41769"/>
    <w:rsid w:val="00D4368B"/>
    <w:rsid w:val="00D44E70"/>
    <w:rsid w:val="00D5098D"/>
    <w:rsid w:val="00D511F6"/>
    <w:rsid w:val="00D51A76"/>
    <w:rsid w:val="00D5207D"/>
    <w:rsid w:val="00D52F12"/>
    <w:rsid w:val="00D538B3"/>
    <w:rsid w:val="00D53DBE"/>
    <w:rsid w:val="00D53F2A"/>
    <w:rsid w:val="00D55881"/>
    <w:rsid w:val="00D569ED"/>
    <w:rsid w:val="00D6696E"/>
    <w:rsid w:val="00D66A82"/>
    <w:rsid w:val="00D672E1"/>
    <w:rsid w:val="00D74458"/>
    <w:rsid w:val="00D76398"/>
    <w:rsid w:val="00D8045A"/>
    <w:rsid w:val="00D80479"/>
    <w:rsid w:val="00D84C1F"/>
    <w:rsid w:val="00D9125E"/>
    <w:rsid w:val="00D916A9"/>
    <w:rsid w:val="00D91B51"/>
    <w:rsid w:val="00D922C6"/>
    <w:rsid w:val="00D94059"/>
    <w:rsid w:val="00D941D0"/>
    <w:rsid w:val="00DA337F"/>
    <w:rsid w:val="00DA3970"/>
    <w:rsid w:val="00DA5C61"/>
    <w:rsid w:val="00DA5D4A"/>
    <w:rsid w:val="00DB0186"/>
    <w:rsid w:val="00DB11B2"/>
    <w:rsid w:val="00DB278C"/>
    <w:rsid w:val="00DB2EEE"/>
    <w:rsid w:val="00DB42DD"/>
    <w:rsid w:val="00DB5804"/>
    <w:rsid w:val="00DB5D6F"/>
    <w:rsid w:val="00DC12F7"/>
    <w:rsid w:val="00DC4FA7"/>
    <w:rsid w:val="00DC59F9"/>
    <w:rsid w:val="00DC5BD9"/>
    <w:rsid w:val="00DD2A1C"/>
    <w:rsid w:val="00DD345A"/>
    <w:rsid w:val="00DD5C1E"/>
    <w:rsid w:val="00DD7D32"/>
    <w:rsid w:val="00DE3D84"/>
    <w:rsid w:val="00DE5D5F"/>
    <w:rsid w:val="00DF5859"/>
    <w:rsid w:val="00DF7F30"/>
    <w:rsid w:val="00E04669"/>
    <w:rsid w:val="00E04A8F"/>
    <w:rsid w:val="00E13F59"/>
    <w:rsid w:val="00E15327"/>
    <w:rsid w:val="00E16A8F"/>
    <w:rsid w:val="00E22D54"/>
    <w:rsid w:val="00E32EE2"/>
    <w:rsid w:val="00E32EF0"/>
    <w:rsid w:val="00E35CE2"/>
    <w:rsid w:val="00E363A8"/>
    <w:rsid w:val="00E36869"/>
    <w:rsid w:val="00E457C9"/>
    <w:rsid w:val="00E47530"/>
    <w:rsid w:val="00E546C4"/>
    <w:rsid w:val="00E54C70"/>
    <w:rsid w:val="00E54CC0"/>
    <w:rsid w:val="00E561CB"/>
    <w:rsid w:val="00E57409"/>
    <w:rsid w:val="00E60EDB"/>
    <w:rsid w:val="00E6176E"/>
    <w:rsid w:val="00E630D3"/>
    <w:rsid w:val="00E64E54"/>
    <w:rsid w:val="00E67101"/>
    <w:rsid w:val="00E67B63"/>
    <w:rsid w:val="00E67C39"/>
    <w:rsid w:val="00E732F9"/>
    <w:rsid w:val="00E779FD"/>
    <w:rsid w:val="00E80C54"/>
    <w:rsid w:val="00E80E05"/>
    <w:rsid w:val="00E8112F"/>
    <w:rsid w:val="00E81A1D"/>
    <w:rsid w:val="00E81D46"/>
    <w:rsid w:val="00E82280"/>
    <w:rsid w:val="00E82D3F"/>
    <w:rsid w:val="00E83233"/>
    <w:rsid w:val="00E851BD"/>
    <w:rsid w:val="00E87292"/>
    <w:rsid w:val="00E87ED4"/>
    <w:rsid w:val="00E901C8"/>
    <w:rsid w:val="00E9045C"/>
    <w:rsid w:val="00E914D0"/>
    <w:rsid w:val="00E95244"/>
    <w:rsid w:val="00E962BD"/>
    <w:rsid w:val="00EA1988"/>
    <w:rsid w:val="00EA2EF2"/>
    <w:rsid w:val="00EA7F04"/>
    <w:rsid w:val="00EB0584"/>
    <w:rsid w:val="00EB3029"/>
    <w:rsid w:val="00EB3328"/>
    <w:rsid w:val="00EB40A2"/>
    <w:rsid w:val="00EB55B6"/>
    <w:rsid w:val="00EB577F"/>
    <w:rsid w:val="00EB58BA"/>
    <w:rsid w:val="00EB656B"/>
    <w:rsid w:val="00EB7055"/>
    <w:rsid w:val="00EB7650"/>
    <w:rsid w:val="00EC0425"/>
    <w:rsid w:val="00EC564F"/>
    <w:rsid w:val="00EC5D9A"/>
    <w:rsid w:val="00EC7EB8"/>
    <w:rsid w:val="00ED0B21"/>
    <w:rsid w:val="00ED17E0"/>
    <w:rsid w:val="00ED41F8"/>
    <w:rsid w:val="00ED57E6"/>
    <w:rsid w:val="00ED7F6C"/>
    <w:rsid w:val="00EE18CC"/>
    <w:rsid w:val="00EE2B6E"/>
    <w:rsid w:val="00EE3F04"/>
    <w:rsid w:val="00EE57F9"/>
    <w:rsid w:val="00EE5A75"/>
    <w:rsid w:val="00EE696A"/>
    <w:rsid w:val="00EE72F9"/>
    <w:rsid w:val="00EE77B7"/>
    <w:rsid w:val="00EF7E17"/>
    <w:rsid w:val="00F00F13"/>
    <w:rsid w:val="00F017BF"/>
    <w:rsid w:val="00F01C31"/>
    <w:rsid w:val="00F07444"/>
    <w:rsid w:val="00F07FA4"/>
    <w:rsid w:val="00F10E88"/>
    <w:rsid w:val="00F11F4C"/>
    <w:rsid w:val="00F155FC"/>
    <w:rsid w:val="00F17CAD"/>
    <w:rsid w:val="00F22295"/>
    <w:rsid w:val="00F25666"/>
    <w:rsid w:val="00F26312"/>
    <w:rsid w:val="00F26AE3"/>
    <w:rsid w:val="00F3041E"/>
    <w:rsid w:val="00F31146"/>
    <w:rsid w:val="00F32674"/>
    <w:rsid w:val="00F33BAC"/>
    <w:rsid w:val="00F34552"/>
    <w:rsid w:val="00F354A9"/>
    <w:rsid w:val="00F36DB7"/>
    <w:rsid w:val="00F37AD2"/>
    <w:rsid w:val="00F421FF"/>
    <w:rsid w:val="00F44FDE"/>
    <w:rsid w:val="00F5036D"/>
    <w:rsid w:val="00F52ACA"/>
    <w:rsid w:val="00F5332D"/>
    <w:rsid w:val="00F533D4"/>
    <w:rsid w:val="00F53862"/>
    <w:rsid w:val="00F55BDF"/>
    <w:rsid w:val="00F61538"/>
    <w:rsid w:val="00F62252"/>
    <w:rsid w:val="00F62830"/>
    <w:rsid w:val="00F635A7"/>
    <w:rsid w:val="00F63828"/>
    <w:rsid w:val="00F6632B"/>
    <w:rsid w:val="00F66500"/>
    <w:rsid w:val="00F6782E"/>
    <w:rsid w:val="00F719B5"/>
    <w:rsid w:val="00F76FDD"/>
    <w:rsid w:val="00F77D6F"/>
    <w:rsid w:val="00F86E30"/>
    <w:rsid w:val="00F87998"/>
    <w:rsid w:val="00F92B07"/>
    <w:rsid w:val="00F95CF9"/>
    <w:rsid w:val="00F97690"/>
    <w:rsid w:val="00F976EB"/>
    <w:rsid w:val="00FA59D1"/>
    <w:rsid w:val="00FA70CA"/>
    <w:rsid w:val="00FA7775"/>
    <w:rsid w:val="00FA7CD1"/>
    <w:rsid w:val="00FB072B"/>
    <w:rsid w:val="00FB0FA6"/>
    <w:rsid w:val="00FB15E9"/>
    <w:rsid w:val="00FB3AD9"/>
    <w:rsid w:val="00FB42CB"/>
    <w:rsid w:val="00FC2499"/>
    <w:rsid w:val="00FC334E"/>
    <w:rsid w:val="00FC3524"/>
    <w:rsid w:val="00FC3A46"/>
    <w:rsid w:val="00FC3A61"/>
    <w:rsid w:val="00FC58B0"/>
    <w:rsid w:val="00FD1C18"/>
    <w:rsid w:val="00FD402F"/>
    <w:rsid w:val="00FD4082"/>
    <w:rsid w:val="00FD6429"/>
    <w:rsid w:val="00FD6754"/>
    <w:rsid w:val="00FD6D80"/>
    <w:rsid w:val="00FE06A8"/>
    <w:rsid w:val="00FE37C2"/>
    <w:rsid w:val="00FF3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2265"/>
    <w:rPr>
      <w:lang w:eastAsia="en-US"/>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paragraph" w:styleId="BodyTextIndent">
    <w:name w:val="Body Text Indent"/>
    <w:basedOn w:val="Normal"/>
    <w:pPr>
      <w:ind w:left="720" w:hanging="720"/>
    </w:pPr>
    <w:rPr>
      <w:rFonts w:ascii="Tahoma" w:hAnsi="Tahoma" w:cs="Tahoma"/>
      <w:sz w:val="24"/>
    </w:rPr>
  </w:style>
  <w:style w:type="paragraph" w:styleId="BodyTextIndent2">
    <w:name w:val="Body Text Indent 2"/>
    <w:basedOn w:val="Normal"/>
    <w:pPr>
      <w:ind w:left="709" w:hanging="709"/>
    </w:pPr>
    <w:rPr>
      <w:rFonts w:ascii="Tahoma" w:hAnsi="Tahoma" w:cs="Tahoma"/>
      <w:sz w:val="24"/>
    </w:rPr>
  </w:style>
  <w:style w:type="paragraph" w:styleId="BodyTextIndent3">
    <w:name w:val="Body Text Indent 3"/>
    <w:basedOn w:val="Normal"/>
    <w:pPr>
      <w:numPr>
        <w:ilvl w:val="1"/>
      </w:numPr>
      <w:tabs>
        <w:tab w:val="num" w:pos="1440"/>
      </w:tabs>
      <w:ind w:left="709"/>
    </w:pPr>
    <w:rPr>
      <w:rFonts w:ascii="Tahoma" w:hAnsi="Tahoma" w:cs="Tahoma"/>
      <w:sz w:val="24"/>
    </w:rPr>
  </w:style>
  <w:style w:type="paragraph" w:styleId="BodyText2">
    <w:name w:val="Body Text 2"/>
    <w:basedOn w:val="Normal"/>
    <w:link w:val="BodyText2Char"/>
    <w:rPr>
      <w:rFonts w:ascii="Tahoma" w:hAnsi="Tahoma" w:cs="Tahoma"/>
      <w:sz w:val="24"/>
      <w:u w:val="single"/>
    </w:rPr>
  </w:style>
  <w:style w:type="character" w:styleId="LineNumber">
    <w:name w:val="lin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731932"/>
    <w:rPr>
      <w:sz w:val="16"/>
      <w:szCs w:val="16"/>
    </w:rPr>
  </w:style>
  <w:style w:type="paragraph" w:styleId="CommentText">
    <w:name w:val="annotation text"/>
    <w:basedOn w:val="Normal"/>
    <w:semiHidden/>
    <w:rsid w:val="00731932"/>
  </w:style>
  <w:style w:type="paragraph" w:styleId="CommentSubject">
    <w:name w:val="annotation subject"/>
    <w:basedOn w:val="CommentText"/>
    <w:next w:val="CommentText"/>
    <w:semiHidden/>
    <w:rsid w:val="00731932"/>
    <w:rPr>
      <w:b/>
      <w:bCs/>
    </w:rPr>
  </w:style>
  <w:style w:type="character" w:customStyle="1" w:styleId="c8111">
    <w:name w:val="c8111"/>
    <w:semiHidden/>
    <w:rsid w:val="004D4752"/>
    <w:rPr>
      <w:rFonts w:ascii="Arial" w:hAnsi="Arial" w:cs="Arial"/>
      <w:b w:val="0"/>
      <w:bCs w:val="0"/>
      <w:i w:val="0"/>
      <w:iCs w:val="0"/>
      <w:strike w:val="0"/>
      <w:color w:val="auto"/>
      <w:sz w:val="24"/>
      <w:szCs w:val="24"/>
      <w:u w:val="none"/>
    </w:rPr>
  </w:style>
  <w:style w:type="table" w:styleId="TableGrid">
    <w:name w:val="Table Grid"/>
    <w:basedOn w:val="TableNormal"/>
    <w:rsid w:val="00674F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6E1F"/>
    <w:pPr>
      <w:ind w:left="720"/>
    </w:pPr>
  </w:style>
  <w:style w:type="character" w:customStyle="1" w:styleId="BodyText2Char">
    <w:name w:val="Body Text 2 Char"/>
    <w:link w:val="BodyText2"/>
    <w:rsid w:val="00217952"/>
    <w:rPr>
      <w:rFonts w:ascii="Tahoma" w:hAnsi="Tahoma" w:cs="Tahoma"/>
      <w:sz w:val="24"/>
      <w:u w:val="single"/>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2265"/>
    <w:rPr>
      <w:lang w:eastAsia="en-US"/>
    </w:rPr>
  </w:style>
  <w:style w:type="paragraph" w:styleId="Heading1">
    <w:name w:val="heading 1"/>
    <w:basedOn w:val="Normal"/>
    <w:next w:val="Normal"/>
    <w:qFormat/>
    <w:pPr>
      <w:keepNext/>
      <w:jc w:val="center"/>
      <w:outlineLvl w:val="0"/>
    </w:pPr>
    <w:rPr>
      <w:sz w:val="24"/>
      <w:u w:val="single"/>
    </w:rPr>
  </w:style>
  <w:style w:type="paragraph" w:styleId="Heading2">
    <w:name w:val="heading 2"/>
    <w:basedOn w:val="Normal"/>
    <w:next w:val="Normal"/>
    <w:qFormat/>
    <w:pPr>
      <w:keepNext/>
      <w:outlineLvl w:val="1"/>
    </w:pPr>
    <w:rPr>
      <w:b/>
      <w:bCs/>
      <w:sz w:val="24"/>
      <w:u w:val="single"/>
    </w:rPr>
  </w:style>
  <w:style w:type="paragraph" w:styleId="Heading3">
    <w:name w:val="heading 3"/>
    <w:basedOn w:val="Normal"/>
    <w:next w:val="Normal"/>
    <w:qFormat/>
    <w:pPr>
      <w:keepNext/>
      <w:outlineLvl w:val="2"/>
    </w:pPr>
    <w:rPr>
      <w:b/>
      <w:bCs/>
      <w:sz w:val="24"/>
    </w:rPr>
  </w:style>
  <w:style w:type="paragraph" w:styleId="Heading4">
    <w:name w:val="heading 4"/>
    <w:basedOn w:val="Normal"/>
    <w:next w:val="Normal"/>
    <w:qFormat/>
    <w:pPr>
      <w:keepNext/>
      <w:tabs>
        <w:tab w:val="left" w:pos="1418"/>
      </w:tabs>
      <w:outlineLvl w:val="3"/>
    </w:pPr>
    <w:rPr>
      <w:sz w:val="24"/>
    </w:rPr>
  </w:style>
  <w:style w:type="paragraph" w:styleId="Heading5">
    <w:name w:val="heading 5"/>
    <w:basedOn w:val="Normal"/>
    <w:next w:val="Normal"/>
    <w:qFormat/>
    <w:pPr>
      <w:keepNext/>
      <w:outlineLvl w:val="4"/>
    </w:pPr>
    <w:rPr>
      <w:b/>
      <w:bCs/>
      <w:sz w:val="28"/>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rPr>
      <w:sz w:val="24"/>
      <w:szCs w:val="24"/>
    </w:rPr>
  </w:style>
  <w:style w:type="paragraph" w:styleId="Heading8">
    <w:name w:val="heading 8"/>
    <w:basedOn w:val="Normal"/>
    <w:next w:val="Normal"/>
    <w:qFormat/>
    <w:pPr>
      <w:spacing w:before="240" w:after="60"/>
      <w:outlineLvl w:val="7"/>
    </w:pPr>
    <w:rPr>
      <w:i/>
      <w:iCs/>
      <w:sz w:val="24"/>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sz w:val="24"/>
    </w:rPr>
  </w:style>
  <w:style w:type="character" w:styleId="PageNumber">
    <w:name w:val="page number"/>
    <w:basedOn w:val="DefaultParagraphFont"/>
  </w:style>
  <w:style w:type="paragraph" w:styleId="BodyTextIndent">
    <w:name w:val="Body Text Indent"/>
    <w:basedOn w:val="Normal"/>
    <w:pPr>
      <w:ind w:left="720" w:hanging="720"/>
    </w:pPr>
    <w:rPr>
      <w:rFonts w:ascii="Tahoma" w:hAnsi="Tahoma" w:cs="Tahoma"/>
      <w:sz w:val="24"/>
    </w:rPr>
  </w:style>
  <w:style w:type="paragraph" w:styleId="BodyTextIndent2">
    <w:name w:val="Body Text Indent 2"/>
    <w:basedOn w:val="Normal"/>
    <w:pPr>
      <w:ind w:left="709" w:hanging="709"/>
    </w:pPr>
    <w:rPr>
      <w:rFonts w:ascii="Tahoma" w:hAnsi="Tahoma" w:cs="Tahoma"/>
      <w:sz w:val="24"/>
    </w:rPr>
  </w:style>
  <w:style w:type="paragraph" w:styleId="BodyTextIndent3">
    <w:name w:val="Body Text Indent 3"/>
    <w:basedOn w:val="Normal"/>
    <w:pPr>
      <w:numPr>
        <w:ilvl w:val="1"/>
      </w:numPr>
      <w:tabs>
        <w:tab w:val="num" w:pos="1440"/>
      </w:tabs>
      <w:ind w:left="709"/>
    </w:pPr>
    <w:rPr>
      <w:rFonts w:ascii="Tahoma" w:hAnsi="Tahoma" w:cs="Tahoma"/>
      <w:sz w:val="24"/>
    </w:rPr>
  </w:style>
  <w:style w:type="paragraph" w:styleId="BodyText2">
    <w:name w:val="Body Text 2"/>
    <w:basedOn w:val="Normal"/>
    <w:link w:val="BodyText2Char"/>
    <w:rPr>
      <w:rFonts w:ascii="Tahoma" w:hAnsi="Tahoma" w:cs="Tahoma"/>
      <w:sz w:val="24"/>
      <w:u w:val="single"/>
    </w:rPr>
  </w:style>
  <w:style w:type="character" w:styleId="LineNumber">
    <w:name w:val="line number"/>
    <w:basedOn w:val="DefaultParagraphFont"/>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731932"/>
    <w:rPr>
      <w:sz w:val="16"/>
      <w:szCs w:val="16"/>
    </w:rPr>
  </w:style>
  <w:style w:type="paragraph" w:styleId="CommentText">
    <w:name w:val="annotation text"/>
    <w:basedOn w:val="Normal"/>
    <w:semiHidden/>
    <w:rsid w:val="00731932"/>
  </w:style>
  <w:style w:type="paragraph" w:styleId="CommentSubject">
    <w:name w:val="annotation subject"/>
    <w:basedOn w:val="CommentText"/>
    <w:next w:val="CommentText"/>
    <w:semiHidden/>
    <w:rsid w:val="00731932"/>
    <w:rPr>
      <w:b/>
      <w:bCs/>
    </w:rPr>
  </w:style>
  <w:style w:type="character" w:customStyle="1" w:styleId="c8111">
    <w:name w:val="c8111"/>
    <w:semiHidden/>
    <w:rsid w:val="004D4752"/>
    <w:rPr>
      <w:rFonts w:ascii="Arial" w:hAnsi="Arial" w:cs="Arial"/>
      <w:b w:val="0"/>
      <w:bCs w:val="0"/>
      <w:i w:val="0"/>
      <w:iCs w:val="0"/>
      <w:strike w:val="0"/>
      <w:color w:val="auto"/>
      <w:sz w:val="24"/>
      <w:szCs w:val="24"/>
      <w:u w:val="none"/>
    </w:rPr>
  </w:style>
  <w:style w:type="table" w:styleId="TableGrid">
    <w:name w:val="Table Grid"/>
    <w:basedOn w:val="TableNormal"/>
    <w:rsid w:val="00674F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6E1F"/>
    <w:pPr>
      <w:ind w:left="720"/>
    </w:pPr>
  </w:style>
  <w:style w:type="character" w:customStyle="1" w:styleId="BodyText2Char">
    <w:name w:val="Body Text 2 Char"/>
    <w:link w:val="BodyText2"/>
    <w:rsid w:val="00217952"/>
    <w:rPr>
      <w:rFonts w:ascii="Tahoma" w:hAnsi="Tahoma" w:cs="Tahoma"/>
      <w:sz w:val="24"/>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95510">
      <w:bodyDiv w:val="1"/>
      <w:marLeft w:val="0"/>
      <w:marRight w:val="0"/>
      <w:marTop w:val="0"/>
      <w:marBottom w:val="0"/>
      <w:divBdr>
        <w:top w:val="none" w:sz="0" w:space="0" w:color="auto"/>
        <w:left w:val="none" w:sz="0" w:space="0" w:color="auto"/>
        <w:bottom w:val="none" w:sz="0" w:space="0" w:color="auto"/>
        <w:right w:val="none" w:sz="0" w:space="0" w:color="auto"/>
      </w:divBdr>
    </w:div>
    <w:div w:id="183187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CLEVELAND%20POLICE\AUTHORITY%20REPORTS\Standard%20PA%20report%20layout%20-%20June%2020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5AE7D-1F41-4F2F-80EB-49A25E042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PA report layout - June 2003.dot</Template>
  <TotalTime>0</TotalTime>
  <Pages>8</Pages>
  <Words>2733</Words>
  <Characters>14551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21 February 2002</vt:lpstr>
    </vt:vector>
  </TitlesOfParts>
  <Company>Cleveland Police</Company>
  <LinksUpToDate>false</LinksUpToDate>
  <CharactersWithSpaces>17250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 February 2002</dc:title>
  <dc:creator>Chief Constable</dc:creator>
  <cp:lastModifiedBy>SMITH, Hannah (C8653)</cp:lastModifiedBy>
  <cp:revision>2</cp:revision>
  <cp:lastPrinted>2014-03-07T15:23:00Z</cp:lastPrinted>
  <dcterms:created xsi:type="dcterms:W3CDTF">2017-09-21T13:33:00Z</dcterms:created>
  <dcterms:modified xsi:type="dcterms:W3CDTF">2017-09-21T13:33:00Z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388a756b-3a87-49f3-a1b3-2abb3cb23825</vt:lpwstr>
  </property>
  <property fmtid="{D5CDD505-2E9C-101B-9397-08002B2CF9AE}" pid="3" name="Classification">
    <vt:lpwstr>OFFICIAL</vt:lpwstr>
  </property>
</Properties>
</file>