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46E4F3" w14:textId="77777777" w:rsidR="006F0587" w:rsidRPr="00FE095C" w:rsidRDefault="006F0587" w:rsidP="00EF3B56">
      <w:pPr>
        <w:ind w:right="-23"/>
        <w:rPr>
          <w:rFonts w:ascii="Calibri" w:hAnsi="Calibri" w:cs="Calibri"/>
          <w:color w:val="365F91"/>
          <w:sz w:val="40"/>
          <w:szCs w:val="40"/>
        </w:rPr>
      </w:pPr>
      <w:bookmarkStart w:id="0" w:name="_GoBack"/>
      <w:bookmarkEnd w:id="0"/>
    </w:p>
    <w:p w14:paraId="5ACA060F" w14:textId="4CF8230E" w:rsidR="00927D0E" w:rsidRPr="00FE095C" w:rsidRDefault="009D38C7" w:rsidP="00EF3B56">
      <w:pPr>
        <w:ind w:right="-23"/>
        <w:rPr>
          <w:rFonts w:ascii="Calibri" w:hAnsi="Calibri" w:cs="Calibri"/>
          <w:color w:val="365F91"/>
          <w:sz w:val="40"/>
          <w:szCs w:val="40"/>
        </w:rPr>
      </w:pPr>
      <w:r w:rsidRPr="00FE095C">
        <w:rPr>
          <w:rFonts w:ascii="Calibri" w:eastAsia="Calibri" w:hAnsi="Calibri" w:cs="Calibri"/>
          <w:noProof/>
          <w:sz w:val="20"/>
          <w:szCs w:val="20"/>
          <w:lang w:eastAsia="en-GB"/>
        </w:rPr>
        <mc:AlternateContent>
          <mc:Choice Requires="wps">
            <w:drawing>
              <wp:anchor distT="45720" distB="45720" distL="114300" distR="114300" simplePos="0" relativeHeight="251678720" behindDoc="1" locked="0" layoutInCell="1" allowOverlap="1" wp14:anchorId="18F7078B" wp14:editId="6E626438">
                <wp:simplePos x="0" y="0"/>
                <wp:positionH relativeFrom="margin">
                  <wp:align>right</wp:align>
                </wp:positionH>
                <wp:positionV relativeFrom="margin">
                  <wp:posOffset>592455</wp:posOffset>
                </wp:positionV>
                <wp:extent cx="2019935" cy="415636"/>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415636"/>
                        </a:xfrm>
                        <a:prstGeom prst="rect">
                          <a:avLst/>
                        </a:prstGeom>
                        <a:solidFill>
                          <a:schemeClr val="bg1">
                            <a:lumMod val="65000"/>
                          </a:schemeClr>
                        </a:solidFill>
                        <a:ln w="9525">
                          <a:noFill/>
                          <a:miter lim="800000"/>
                          <a:headEnd/>
                          <a:tailEnd/>
                        </a:ln>
                      </wps:spPr>
                      <wps:txbx>
                        <w:txbxContent>
                          <w:p w14:paraId="02CCD467" w14:textId="77777777" w:rsidR="00E25529" w:rsidRPr="00EA0556" w:rsidRDefault="00E25529" w:rsidP="00F47C15">
                            <w:pPr>
                              <w:jc w:val="center"/>
                              <w:rPr>
                                <w:rFonts w:ascii="Calibri" w:hAnsi="Calibri" w:cs="Calibri"/>
                                <w:b/>
                                <w:color w:val="FFFFFF" w:themeColor="background1"/>
                                <w:sz w:val="32"/>
                              </w:rPr>
                            </w:pPr>
                            <w:r w:rsidRPr="00EA0556">
                              <w:rPr>
                                <w:rFonts w:ascii="Calibri" w:hAnsi="Calibri" w:cs="Calibri"/>
                                <w:b/>
                                <w:color w:val="FFFFFF" w:themeColor="background1"/>
                                <w:sz w:val="32"/>
                              </w:rPr>
                              <w:t>DRAFT</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8F7078B" id="_x0000_t202" coordsize="21600,21600" o:spt="202" path="m,l,21600r21600,l21600,xe">
                <v:stroke joinstyle="miter"/>
                <v:path gradientshapeok="t" o:connecttype="rect"/>
              </v:shapetype>
              <v:shape id="Text Box 2" o:spid="_x0000_s1026" type="#_x0000_t202" style="position:absolute;margin-left:107.85pt;margin-top:46.65pt;width:159.05pt;height:32.75pt;z-index:-251637760;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" fillcolor="#a5a5a5 [2092]" stroked="f">
                <v:textbox inset=",2.5mm,,2.5mm">
                  <w:txbxContent>
                    <w:p w14:paraId="02CCD467" w14:textId="77777777" w:rsidR="00E25529" w:rsidRPr="00EA0556" w:rsidRDefault="00E25529" w:rsidP="00F47C15">
                      <w:pPr>
                        <w:jc w:val="center"/>
                        <w:rPr>
                          <w:rFonts w:ascii="Calibri" w:hAnsi="Calibri" w:cs="Calibri"/>
                          <w:b/>
                          <w:color w:val="FFFFFF" w:themeColor="background1"/>
                          <w:sz w:val="32"/>
                        </w:rPr>
                      </w:pPr>
                      <w:r w:rsidRPr="00EA0556">
                        <w:rPr>
                          <w:rFonts w:ascii="Calibri" w:hAnsi="Calibri" w:cs="Calibri"/>
                          <w:b/>
                          <w:color w:val="FFFFFF" w:themeColor="background1"/>
                          <w:sz w:val="32"/>
                        </w:rPr>
                        <w:t>DRAFT</w:t>
                      </w:r>
                    </w:p>
                  </w:txbxContent>
                </v:textbox>
                <w10:wrap anchorx="margin" anchory="margin"/>
              </v:shape>
            </w:pict>
          </mc:Fallback>
        </mc:AlternateContent>
      </w:r>
    </w:p>
    <w:p w14:paraId="135747BE" w14:textId="5292F9EA" w:rsidR="00EF3B56" w:rsidRPr="00FE095C" w:rsidRDefault="00631B0B" w:rsidP="00EF3B56">
      <w:pPr>
        <w:ind w:right="-23"/>
        <w:rPr>
          <w:rFonts w:ascii="Calibri" w:hAnsi="Calibri" w:cs="Calibri"/>
          <w:color w:val="365F91"/>
          <w:sz w:val="40"/>
          <w:szCs w:val="40"/>
        </w:rPr>
      </w:pPr>
      <w:r w:rsidRPr="00FE095C">
        <w:rPr>
          <w:rFonts w:ascii="Calibri" w:hAnsi="Calibri" w:cs="Calibri"/>
          <w:color w:val="365F91"/>
          <w:sz w:val="40"/>
          <w:szCs w:val="40"/>
        </w:rPr>
        <w:br w:type="textWrapping" w:clear="all"/>
      </w:r>
    </w:p>
    <w:p w14:paraId="1667F2C8" w14:textId="18536B1E" w:rsidR="00EF3B56" w:rsidRPr="00FE095C" w:rsidRDefault="00EF3B56" w:rsidP="00EF3B56">
      <w:pPr>
        <w:ind w:right="-23"/>
        <w:rPr>
          <w:rFonts w:ascii="Calibri" w:hAnsi="Calibri" w:cs="Calibri"/>
          <w:color w:val="365F91"/>
          <w:sz w:val="40"/>
          <w:szCs w:val="40"/>
        </w:rPr>
      </w:pPr>
    </w:p>
    <w:p w14:paraId="2CD9A352" w14:textId="1BEDB9B1" w:rsidR="00EF3B56" w:rsidRPr="00FE095C" w:rsidRDefault="00EF3B56" w:rsidP="00EF3B56">
      <w:pPr>
        <w:ind w:right="-23"/>
        <w:rPr>
          <w:rFonts w:ascii="Calibri" w:hAnsi="Calibri" w:cs="Calibri"/>
          <w:color w:val="365F91"/>
          <w:sz w:val="40"/>
          <w:szCs w:val="40"/>
        </w:rPr>
      </w:pPr>
    </w:p>
    <w:p w14:paraId="345B5143" w14:textId="77777777" w:rsidR="001650C1" w:rsidRPr="00FE095C" w:rsidRDefault="001650C1" w:rsidP="00EF3B56">
      <w:pPr>
        <w:ind w:right="-23"/>
        <w:rPr>
          <w:rFonts w:ascii="Calibri" w:hAnsi="Calibri" w:cs="Calibri"/>
          <w:color w:val="365F91"/>
          <w:sz w:val="40"/>
          <w:szCs w:val="40"/>
        </w:rPr>
      </w:pPr>
    </w:p>
    <w:tbl>
      <w:tblPr>
        <w:tblpPr w:leftFromText="180" w:rightFromText="180" w:vertAnchor="text" w:horzAnchor="page" w:tblpX="16" w:tblpY="661"/>
        <w:tblOverlap w:val="never"/>
        <w:tblW w:w="9234" w:type="dxa"/>
        <w:tblLook w:val="00A0" w:firstRow="1" w:lastRow="0" w:firstColumn="1" w:lastColumn="0" w:noHBand="0" w:noVBand="0"/>
      </w:tblPr>
      <w:tblGrid>
        <w:gridCol w:w="709"/>
        <w:gridCol w:w="8525"/>
      </w:tblGrid>
      <w:tr w:rsidR="00675BB4" w:rsidRPr="00FE095C" w14:paraId="2076EA04" w14:textId="77777777" w:rsidTr="009D38C7">
        <w:trPr>
          <w:trHeight w:val="1134"/>
        </w:trPr>
        <w:tc>
          <w:tcPr>
            <w:tcW w:w="709" w:type="dxa"/>
            <w:shd w:val="clear" w:color="auto" w:fill="auto"/>
            <w:vAlign w:val="center"/>
          </w:tcPr>
          <w:p w14:paraId="2E495454" w14:textId="77777777" w:rsidR="00675BB4" w:rsidRPr="00FE095C" w:rsidRDefault="00675BB4" w:rsidP="00764259">
            <w:pPr>
              <w:spacing w:before="240" w:after="240"/>
              <w:ind w:right="-23"/>
              <w:rPr>
                <w:rFonts w:ascii="Calibri" w:hAnsi="Calibri" w:cs="Calibri"/>
                <w:b/>
                <w:color w:val="163D82"/>
                <w:sz w:val="40"/>
                <w:szCs w:val="40"/>
              </w:rPr>
            </w:pPr>
          </w:p>
        </w:tc>
        <w:tc>
          <w:tcPr>
            <w:tcW w:w="8525" w:type="dxa"/>
            <w:shd w:val="clear" w:color="auto" w:fill="auto"/>
            <w:vAlign w:val="center"/>
          </w:tcPr>
          <w:p w14:paraId="4E34DDF3" w14:textId="77777777" w:rsidR="002E057C" w:rsidRPr="00A915B8" w:rsidRDefault="002E057C" w:rsidP="00764259">
            <w:pPr>
              <w:pStyle w:val="Header"/>
              <w:tabs>
                <w:tab w:val="clear" w:pos="4680"/>
                <w:tab w:val="clear" w:pos="9360"/>
                <w:tab w:val="center" w:pos="7513"/>
                <w:tab w:val="right" w:pos="15705"/>
              </w:tabs>
              <w:spacing w:before="20" w:after="20"/>
              <w:jc w:val="right"/>
              <w:rPr>
                <w:rFonts w:ascii="Calibri" w:hAnsi="Calibri" w:cs="Calibri"/>
                <w:color w:val="808080" w:themeColor="background1" w:themeShade="80"/>
                <w:sz w:val="16"/>
                <w:highlight w:val="yellow"/>
              </w:rPr>
            </w:pPr>
          </w:p>
          <w:p w14:paraId="5D339F66" w14:textId="33C423B7" w:rsidR="00675BB4" w:rsidRPr="00A915B8" w:rsidRDefault="002B11F5" w:rsidP="00FD26F0">
            <w:pPr>
              <w:spacing w:before="240" w:after="240"/>
              <w:ind w:right="-23"/>
              <w:rPr>
                <w:rFonts w:ascii="Calibri" w:hAnsi="Calibri" w:cs="Calibri"/>
                <w:b/>
                <w:color w:val="163D82"/>
                <w:sz w:val="44"/>
                <w:szCs w:val="44"/>
                <w:highlight w:val="yellow"/>
              </w:rPr>
            </w:pPr>
            <w:r>
              <w:rPr>
                <w:rFonts w:ascii="Calibri" w:hAnsi="Calibri" w:cs="Calibri"/>
                <w:b/>
                <w:color w:val="163D82"/>
                <w:sz w:val="44"/>
                <w:szCs w:val="44"/>
              </w:rPr>
              <w:t xml:space="preserve">Police and Crime Commissioner for Cleveland </w:t>
            </w:r>
            <w:r w:rsidR="00FD26F0" w:rsidRPr="00FD26F0">
              <w:rPr>
                <w:rFonts w:ascii="Calibri" w:hAnsi="Calibri" w:cs="Calibri"/>
                <w:b/>
                <w:color w:val="163D82"/>
                <w:sz w:val="44"/>
                <w:szCs w:val="44"/>
              </w:rPr>
              <w:t xml:space="preserve">and </w:t>
            </w:r>
            <w:r>
              <w:rPr>
                <w:rFonts w:ascii="Calibri" w:hAnsi="Calibri" w:cs="Calibri"/>
                <w:b/>
                <w:color w:val="163D82"/>
                <w:sz w:val="44"/>
                <w:szCs w:val="44"/>
              </w:rPr>
              <w:t xml:space="preserve">the Chief Constable Cleveland </w:t>
            </w:r>
            <w:r w:rsidR="00FD26F0" w:rsidRPr="00FD26F0">
              <w:rPr>
                <w:rFonts w:ascii="Calibri" w:hAnsi="Calibri" w:cs="Calibri"/>
                <w:b/>
                <w:color w:val="163D82"/>
                <w:sz w:val="44"/>
                <w:szCs w:val="44"/>
              </w:rPr>
              <w:t>Police</w:t>
            </w:r>
          </w:p>
        </w:tc>
      </w:tr>
      <w:tr w:rsidR="00675BB4" w:rsidRPr="00FE095C" w14:paraId="493EDC3A" w14:textId="77777777" w:rsidTr="009D38C7">
        <w:trPr>
          <w:trHeight w:val="1134"/>
        </w:trPr>
        <w:tc>
          <w:tcPr>
            <w:tcW w:w="709" w:type="dxa"/>
            <w:shd w:val="clear" w:color="auto" w:fill="auto"/>
            <w:vAlign w:val="center"/>
          </w:tcPr>
          <w:p w14:paraId="0CFC6CC1" w14:textId="77777777" w:rsidR="00675BB4" w:rsidRPr="00FE095C" w:rsidRDefault="00675BB4" w:rsidP="00764259">
            <w:pPr>
              <w:spacing w:before="240" w:after="240"/>
              <w:ind w:right="-23"/>
              <w:rPr>
                <w:rFonts w:ascii="Calibri" w:hAnsi="Calibri" w:cs="Calibri"/>
                <w:b/>
                <w:color w:val="163D82"/>
                <w:sz w:val="40"/>
                <w:szCs w:val="40"/>
              </w:rPr>
            </w:pPr>
          </w:p>
        </w:tc>
        <w:tc>
          <w:tcPr>
            <w:tcW w:w="8525" w:type="dxa"/>
            <w:shd w:val="clear" w:color="auto" w:fill="auto"/>
            <w:vAlign w:val="center"/>
          </w:tcPr>
          <w:p w14:paraId="4AE4DEA9" w14:textId="77777777" w:rsidR="00675BB4" w:rsidRPr="00FE095C" w:rsidRDefault="00BA0348" w:rsidP="00764259">
            <w:pPr>
              <w:spacing w:before="240" w:after="240"/>
              <w:ind w:right="-23"/>
              <w:rPr>
                <w:rFonts w:ascii="Calibri" w:hAnsi="Calibri" w:cs="Calibri"/>
                <w:b/>
                <w:color w:val="808080"/>
                <w:sz w:val="40"/>
                <w:szCs w:val="40"/>
              </w:rPr>
            </w:pPr>
            <w:r w:rsidRPr="00FE095C">
              <w:rPr>
                <w:rFonts w:ascii="Calibri" w:hAnsi="Calibri" w:cs="Calibri"/>
                <w:b/>
                <w:color w:val="808080"/>
                <w:sz w:val="36"/>
                <w:szCs w:val="40"/>
              </w:rPr>
              <w:t xml:space="preserve">Audit Strategy and </w:t>
            </w:r>
            <w:r w:rsidR="00675BB4" w:rsidRPr="00FE095C">
              <w:rPr>
                <w:rFonts w:ascii="Calibri" w:hAnsi="Calibri" w:cs="Calibri"/>
                <w:b/>
                <w:color w:val="808080"/>
                <w:sz w:val="36"/>
                <w:szCs w:val="40"/>
              </w:rPr>
              <w:t>Annual</w:t>
            </w:r>
            <w:r w:rsidR="00612B2E" w:rsidRPr="00FE095C">
              <w:rPr>
                <w:rFonts w:ascii="Calibri" w:hAnsi="Calibri" w:cs="Calibri"/>
                <w:b/>
                <w:color w:val="808080"/>
                <w:sz w:val="36"/>
                <w:szCs w:val="40"/>
              </w:rPr>
              <w:t xml:space="preserve"> Internal </w:t>
            </w:r>
            <w:r w:rsidR="00DD12C2" w:rsidRPr="00FE095C">
              <w:rPr>
                <w:rFonts w:ascii="Calibri" w:hAnsi="Calibri" w:cs="Calibri"/>
                <w:b/>
                <w:color w:val="808080"/>
                <w:sz w:val="36"/>
                <w:szCs w:val="40"/>
              </w:rPr>
              <w:t xml:space="preserve">Audit </w:t>
            </w:r>
            <w:r w:rsidR="00675BB4" w:rsidRPr="00FE095C">
              <w:rPr>
                <w:rFonts w:ascii="Calibri" w:hAnsi="Calibri" w:cs="Calibri"/>
                <w:b/>
                <w:color w:val="808080"/>
                <w:sz w:val="36"/>
                <w:szCs w:val="40"/>
              </w:rPr>
              <w:t>Plan</w:t>
            </w:r>
          </w:p>
        </w:tc>
      </w:tr>
      <w:tr w:rsidR="006F0587" w:rsidRPr="00FE095C" w14:paraId="4FA7D41A" w14:textId="77777777" w:rsidTr="009D38C7">
        <w:trPr>
          <w:trHeight w:val="1134"/>
        </w:trPr>
        <w:tc>
          <w:tcPr>
            <w:tcW w:w="709" w:type="dxa"/>
            <w:shd w:val="clear" w:color="auto" w:fill="auto"/>
            <w:vAlign w:val="center"/>
          </w:tcPr>
          <w:p w14:paraId="0B9366F4" w14:textId="77777777" w:rsidR="006F0587" w:rsidRPr="00FE095C" w:rsidRDefault="006F0587" w:rsidP="00764259">
            <w:pPr>
              <w:spacing w:before="240" w:after="240"/>
              <w:ind w:right="-23"/>
              <w:rPr>
                <w:rFonts w:ascii="Calibri" w:hAnsi="Calibri" w:cs="Calibri"/>
                <w:b/>
                <w:color w:val="163D82"/>
                <w:sz w:val="40"/>
                <w:szCs w:val="40"/>
              </w:rPr>
            </w:pPr>
          </w:p>
        </w:tc>
        <w:tc>
          <w:tcPr>
            <w:tcW w:w="8525" w:type="dxa"/>
            <w:shd w:val="clear" w:color="auto" w:fill="auto"/>
            <w:vAlign w:val="center"/>
          </w:tcPr>
          <w:p w14:paraId="30E155DD" w14:textId="77777777" w:rsidR="006F0587" w:rsidRPr="00FE095C" w:rsidRDefault="00EA0556" w:rsidP="00EA0556">
            <w:pPr>
              <w:spacing w:before="240" w:after="240"/>
              <w:ind w:right="-23"/>
              <w:rPr>
                <w:rFonts w:ascii="Calibri" w:hAnsi="Calibri" w:cs="Calibri"/>
                <w:b/>
                <w:color w:val="FF0000"/>
                <w:sz w:val="40"/>
                <w:szCs w:val="40"/>
              </w:rPr>
            </w:pPr>
            <w:r w:rsidRPr="00FE095C">
              <w:rPr>
                <w:rFonts w:ascii="Calibri" w:hAnsi="Calibri" w:cs="Calibri"/>
                <w:b/>
                <w:color w:val="DC0D15"/>
                <w:sz w:val="40"/>
                <w:szCs w:val="40"/>
              </w:rPr>
              <w:t>2020/21</w:t>
            </w:r>
          </w:p>
        </w:tc>
      </w:tr>
    </w:tbl>
    <w:p w14:paraId="7480DAF5" w14:textId="77777777" w:rsidR="002E6655" w:rsidRPr="00FE095C" w:rsidRDefault="002E6655" w:rsidP="002E6655">
      <w:pPr>
        <w:spacing w:before="120" w:after="120" w:line="271" w:lineRule="auto"/>
        <w:jc w:val="both"/>
        <w:rPr>
          <w:rFonts w:ascii="Calibri" w:eastAsia="Calibri" w:hAnsi="Calibri" w:cs="Calibri"/>
          <w:sz w:val="20"/>
          <w:szCs w:val="20"/>
          <w:lang w:eastAsia="en-GB"/>
        </w:rPr>
      </w:pPr>
    </w:p>
    <w:p w14:paraId="0E5CF054" w14:textId="77777777" w:rsidR="002E6655" w:rsidRPr="00FE095C" w:rsidRDefault="00F47C15" w:rsidP="002E6655">
      <w:pPr>
        <w:spacing w:before="120" w:after="120" w:line="271" w:lineRule="auto"/>
        <w:jc w:val="both"/>
        <w:rPr>
          <w:rFonts w:ascii="Calibri" w:eastAsia="Calibri" w:hAnsi="Calibri" w:cs="Calibri"/>
          <w:sz w:val="20"/>
          <w:szCs w:val="20"/>
          <w:lang w:eastAsia="en-GB"/>
        </w:rPr>
        <w:sectPr w:rsidR="002E6655" w:rsidRPr="00FE095C" w:rsidSect="00F7594C">
          <w:headerReference w:type="default" r:id="rId8"/>
          <w:headerReference w:type="first" r:id="rId9"/>
          <w:footerReference w:type="first" r:id="rId10"/>
          <w:type w:val="nextColumn"/>
          <w:pgSz w:w="16839" w:h="11907" w:orient="landscape" w:code="9"/>
          <w:pgMar w:top="567" w:right="567" w:bottom="567" w:left="567" w:header="284" w:footer="284" w:gutter="0"/>
          <w:pgNumType w:start="1"/>
          <w:cols w:space="708"/>
          <w:docGrid w:linePitch="360"/>
        </w:sectPr>
      </w:pPr>
      <w:r w:rsidRPr="00FE095C">
        <w:rPr>
          <w:rFonts w:ascii="Calibri" w:hAnsi="Calibri" w:cs="Calibri"/>
          <w:noProof/>
          <w:lang w:eastAsia="en-GB"/>
        </w:rPr>
        <mc:AlternateContent>
          <mc:Choice Requires="wps">
            <w:drawing>
              <wp:anchor distT="45720" distB="45720" distL="114300" distR="114300" simplePos="0" relativeHeight="251680768" behindDoc="1" locked="0" layoutInCell="1" allowOverlap="1" wp14:anchorId="268649BB" wp14:editId="4FABA537">
                <wp:simplePos x="0" y="0"/>
                <wp:positionH relativeFrom="margin">
                  <wp:posOffset>171450</wp:posOffset>
                </wp:positionH>
                <wp:positionV relativeFrom="margin">
                  <wp:posOffset>5970270</wp:posOffset>
                </wp:positionV>
                <wp:extent cx="1867534" cy="399074"/>
                <wp:effectExtent l="0" t="0" r="0" b="127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534" cy="399074"/>
                        </a:xfrm>
                        <a:prstGeom prst="rect">
                          <a:avLst/>
                        </a:prstGeom>
                        <a:solidFill>
                          <a:srgbClr val="163D82"/>
                        </a:solidFill>
                        <a:ln w="9525">
                          <a:noFill/>
                          <a:miter lim="800000"/>
                          <a:headEnd/>
                          <a:tailEnd/>
                        </a:ln>
                      </wps:spPr>
                      <wps:txbx>
                        <w:txbxContent>
                          <w:p w14:paraId="39E0C452" w14:textId="6E6A3072" w:rsidR="00E25529" w:rsidRPr="00EA0556" w:rsidRDefault="00E25529" w:rsidP="00F47C15">
                            <w:pPr>
                              <w:jc w:val="center"/>
                              <w:rPr>
                                <w:rFonts w:ascii="Calibri" w:hAnsi="Calibri" w:cs="Calibri"/>
                                <w:b/>
                                <w:color w:val="FFFFFF" w:themeColor="background1"/>
                                <w:sz w:val="28"/>
                                <w:szCs w:val="28"/>
                              </w:rPr>
                            </w:pPr>
                            <w:r>
                              <w:rPr>
                                <w:rFonts w:ascii="Calibri" w:hAnsi="Calibri" w:cs="Calibri"/>
                                <w:b/>
                                <w:color w:val="FFFFFF" w:themeColor="background1"/>
                                <w:sz w:val="28"/>
                                <w:szCs w:val="28"/>
                              </w:rPr>
                              <w:t>February 2020</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68649BB" id="_x0000_s1027" type="#_x0000_t202" style="position:absolute;left:0;text-align:left;margin-left:13.5pt;margin-top:470.1pt;width:147.05pt;height:31.4pt;z-index:-251635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" fillcolor="#163d82" stroked="f">
                <v:textbox inset=",2.5mm,,2.5mm">
                  <w:txbxContent>
                    <w:p w14:paraId="39E0C452" w14:textId="6E6A3072" w:rsidR="00E25529" w:rsidRPr="00EA0556" w:rsidRDefault="00E25529" w:rsidP="00F47C15">
                      <w:pPr>
                        <w:jc w:val="center"/>
                        <w:rPr>
                          <w:rFonts w:ascii="Calibri" w:hAnsi="Calibri" w:cs="Calibri"/>
                          <w:b/>
                          <w:color w:val="FFFFFF" w:themeColor="background1"/>
                          <w:sz w:val="28"/>
                          <w:szCs w:val="28"/>
                        </w:rPr>
                      </w:pPr>
                      <w:r>
                        <w:rPr>
                          <w:rFonts w:ascii="Calibri" w:hAnsi="Calibri" w:cs="Calibri"/>
                          <w:b/>
                          <w:color w:val="FFFFFF" w:themeColor="background1"/>
                          <w:sz w:val="28"/>
                          <w:szCs w:val="28"/>
                        </w:rPr>
                        <w:t>February 2020</w:t>
                      </w:r>
                    </w:p>
                  </w:txbxContent>
                </v:textbox>
                <w10:wrap anchorx="margin" anchory="margin"/>
              </v:shape>
            </w:pict>
          </mc:Fallback>
        </mc:AlternateContent>
      </w:r>
      <w:r w:rsidRPr="00FE095C">
        <w:rPr>
          <w:rFonts w:ascii="Calibri" w:eastAsia="Calibri" w:hAnsi="Calibri" w:cs="Calibri"/>
          <w:noProof/>
          <w:sz w:val="20"/>
          <w:szCs w:val="20"/>
          <w:lang w:eastAsia="en-GB"/>
        </w:rPr>
        <mc:AlternateContent>
          <mc:Choice Requires="wps">
            <w:drawing>
              <wp:anchor distT="45720" distB="45720" distL="114300" distR="114300" simplePos="0" relativeHeight="251677696" behindDoc="1" locked="1" layoutInCell="1" allowOverlap="1" wp14:anchorId="61137866" wp14:editId="2FBFE8FC">
                <wp:simplePos x="0" y="0"/>
                <wp:positionH relativeFrom="margin">
                  <wp:posOffset>7217410</wp:posOffset>
                </wp:positionH>
                <wp:positionV relativeFrom="margin">
                  <wp:posOffset>153670</wp:posOffset>
                </wp:positionV>
                <wp:extent cx="2564765" cy="528955"/>
                <wp:effectExtent l="0" t="0" r="0" b="4445"/>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528955"/>
                        </a:xfrm>
                        <a:prstGeom prst="rect">
                          <a:avLst/>
                        </a:prstGeom>
                        <a:noFill/>
                        <a:ln w="9525">
                          <a:noFill/>
                          <a:miter lim="800000"/>
                          <a:headEnd/>
                          <a:tailEnd/>
                        </a:ln>
                      </wps:spPr>
                      <wps:txbx>
                        <w:txbxContent>
                          <w:p w14:paraId="4D9D6607" w14:textId="77777777" w:rsidR="00E25529" w:rsidRPr="00EA0556" w:rsidRDefault="00E25529" w:rsidP="00F47C15">
                            <w:pPr>
                              <w:jc w:val="right"/>
                              <w:rPr>
                                <w:rFonts w:ascii="Calibri" w:hAnsi="Calibri" w:cs="Calibri"/>
                                <w:b/>
                                <w:color w:val="767171" w:themeColor="background2" w:themeShade="80"/>
                                <w:sz w:val="36"/>
                                <w:szCs w:val="36"/>
                              </w:rPr>
                            </w:pPr>
                            <w:r w:rsidRPr="00EA0556">
                              <w:rPr>
                                <w:rFonts w:ascii="Calibri" w:hAnsi="Calibri" w:cs="Calibri"/>
                                <w:b/>
                                <w:color w:val="767171" w:themeColor="background2" w:themeShade="80"/>
                                <w:sz w:val="36"/>
                                <w:szCs w:val="36"/>
                              </w:rPr>
                              <w:t>Internal Audit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1137866" id="_x0000_s1028" type="#_x0000_t202" style="position:absolute;left:0;text-align:left;margin-left:568.3pt;margin-top:12.1pt;width:201.95pt;height:41.65pt;z-index:-251638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" filled="f" stroked="f">
                <v:textbox>
                  <w:txbxContent>
                    <w:p w14:paraId="4D9D6607" w14:textId="77777777" w:rsidR="00E25529" w:rsidRPr="00EA0556" w:rsidRDefault="00E25529" w:rsidP="00F47C15">
                      <w:pPr>
                        <w:jc w:val="right"/>
                        <w:rPr>
                          <w:rFonts w:ascii="Calibri" w:hAnsi="Calibri" w:cs="Calibri"/>
                          <w:b/>
                          <w:color w:val="767171" w:themeColor="background2" w:themeShade="80"/>
                          <w:sz w:val="36"/>
                          <w:szCs w:val="36"/>
                        </w:rPr>
                      </w:pPr>
                      <w:r w:rsidRPr="00EA0556">
                        <w:rPr>
                          <w:rFonts w:ascii="Calibri" w:hAnsi="Calibri" w:cs="Calibri"/>
                          <w:b/>
                          <w:color w:val="767171" w:themeColor="background2" w:themeShade="80"/>
                          <w:sz w:val="36"/>
                          <w:szCs w:val="36"/>
                        </w:rPr>
                        <w:t>Internal Audit</w:t>
                      </w:r>
                    </w:p>
                  </w:txbxContent>
                </v:textbox>
                <w10:wrap anchorx="margin" anchory="margin"/>
                <w10:anchorlock/>
              </v:shape>
            </w:pict>
          </mc:Fallback>
        </mc:AlternateContent>
      </w:r>
    </w:p>
    <w:p w14:paraId="1E7C7BCB" w14:textId="77777777" w:rsidR="004F6848" w:rsidRPr="00FE095C" w:rsidRDefault="00E67BA4" w:rsidP="005775CF">
      <w:pPr>
        <w:pBdr>
          <w:bottom w:val="single" w:sz="24" w:space="4" w:color="163D82"/>
        </w:pBdr>
        <w:spacing w:after="120" w:line="271" w:lineRule="auto"/>
        <w:rPr>
          <w:rFonts w:ascii="Calibri" w:hAnsi="Calibri" w:cs="Calibri"/>
          <w:b/>
          <w:color w:val="163D82"/>
          <w:sz w:val="32"/>
        </w:rPr>
      </w:pPr>
      <w:r w:rsidRPr="00FE095C">
        <w:rPr>
          <w:rFonts w:ascii="Calibri" w:hAnsi="Calibri" w:cs="Calibri"/>
          <w:b/>
          <w:color w:val="163D82"/>
          <w:sz w:val="32"/>
        </w:rPr>
        <w:lastRenderedPageBreak/>
        <w:t>Overview</w:t>
      </w:r>
    </w:p>
    <w:p w14:paraId="28A5D3D8" w14:textId="77777777" w:rsidR="00FF3CEC" w:rsidRPr="00FE095C" w:rsidRDefault="00403A42"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Introduction</w:t>
      </w:r>
    </w:p>
    <w:p w14:paraId="7CBCC8AD" w14:textId="77777777" w:rsidR="00403A42" w:rsidRPr="00FE095C" w:rsidRDefault="001801C3" w:rsidP="00D73273">
      <w:pPr>
        <w:spacing w:before="120" w:after="120" w:line="271" w:lineRule="auto"/>
        <w:jc w:val="both"/>
        <w:rPr>
          <w:rFonts w:ascii="Calibri" w:eastAsia="Calibri" w:hAnsi="Calibri" w:cs="Calibri"/>
          <w:sz w:val="20"/>
          <w:szCs w:val="20"/>
          <w:lang w:eastAsia="en-GB"/>
        </w:rPr>
      </w:pPr>
      <w:r w:rsidRPr="00FE095C">
        <w:rPr>
          <w:rFonts w:ascii="Calibri" w:eastAsia="Calibri" w:hAnsi="Calibri" w:cs="Calibri"/>
          <w:sz w:val="20"/>
          <w:szCs w:val="20"/>
          <w:lang w:eastAsia="en-GB"/>
        </w:rPr>
        <w:t xml:space="preserve">The Audit Plan for </w:t>
      </w:r>
      <w:r w:rsidR="00EA0556" w:rsidRPr="00FE095C">
        <w:rPr>
          <w:rFonts w:ascii="Calibri" w:eastAsia="Calibri" w:hAnsi="Calibri" w:cs="Calibri"/>
          <w:sz w:val="20"/>
          <w:szCs w:val="20"/>
          <w:lang w:eastAsia="en-GB"/>
        </w:rPr>
        <w:t>2020/21</w:t>
      </w:r>
      <w:r w:rsidRPr="00FE095C">
        <w:rPr>
          <w:rFonts w:ascii="Calibri" w:eastAsia="Calibri" w:hAnsi="Calibri" w:cs="Calibri"/>
          <w:sz w:val="20"/>
          <w:szCs w:val="20"/>
          <w:lang w:eastAsia="en-GB"/>
        </w:rPr>
        <w:t xml:space="preserve"> has been informed by a risk assessment carried out across all our </w:t>
      </w:r>
      <w:r w:rsidR="00B674BB">
        <w:rPr>
          <w:rFonts w:ascii="Calibri" w:eastAsia="Calibri" w:hAnsi="Calibri" w:cs="Calibri"/>
          <w:sz w:val="20"/>
          <w:szCs w:val="20"/>
          <w:lang w:eastAsia="en-GB"/>
        </w:rPr>
        <w:t>p</w:t>
      </w:r>
      <w:r w:rsidR="00FD26F0">
        <w:rPr>
          <w:rFonts w:ascii="Calibri" w:eastAsia="Calibri" w:hAnsi="Calibri" w:cs="Calibri"/>
          <w:sz w:val="20"/>
          <w:szCs w:val="20"/>
          <w:lang w:eastAsia="en-GB"/>
        </w:rPr>
        <w:t>olice</w:t>
      </w:r>
      <w:r w:rsidRPr="00FE095C">
        <w:rPr>
          <w:rFonts w:ascii="Calibri" w:eastAsia="Calibri" w:hAnsi="Calibri" w:cs="Calibri"/>
          <w:sz w:val="20"/>
          <w:szCs w:val="20"/>
          <w:lang w:eastAsia="en-GB"/>
        </w:rPr>
        <w:t xml:space="preserve"> clients (</w:t>
      </w:r>
      <w:r w:rsidR="009E3AE0" w:rsidRPr="00FE095C">
        <w:rPr>
          <w:rFonts w:ascii="Calibri" w:eastAsia="Calibri" w:hAnsi="Calibri" w:cs="Calibri"/>
          <w:sz w:val="20"/>
          <w:szCs w:val="20"/>
          <w:lang w:eastAsia="en-GB"/>
        </w:rPr>
        <w:t xml:space="preserve">with </w:t>
      </w:r>
      <w:r w:rsidRPr="00FE095C">
        <w:rPr>
          <w:rFonts w:ascii="Calibri" w:eastAsia="Calibri" w:hAnsi="Calibri" w:cs="Calibri"/>
          <w:sz w:val="20"/>
          <w:szCs w:val="20"/>
          <w:lang w:eastAsia="en-GB"/>
        </w:rPr>
        <w:t>members and senior management) and by an updated audit risk assessment to ensure that planned coverage for the year is focussed on the key audit risks, and that the coverage will enable a robust annual Head of Internal Audit Opinion to be provided.</w:t>
      </w:r>
    </w:p>
    <w:p w14:paraId="716B926D" w14:textId="77777777" w:rsidR="00403A42" w:rsidRPr="00FE095C" w:rsidRDefault="00403A42"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Key Emerging Themes</w:t>
      </w:r>
    </w:p>
    <w:p w14:paraId="46DD49EC" w14:textId="7E0CB061" w:rsidR="00C15678" w:rsidRPr="00FE095C" w:rsidRDefault="00D904B1" w:rsidP="00C15678">
      <w:pPr>
        <w:spacing w:before="120" w:after="120" w:line="271" w:lineRule="auto"/>
        <w:jc w:val="both"/>
        <w:rPr>
          <w:rFonts w:ascii="Calibri" w:eastAsia="Calibri" w:hAnsi="Calibri" w:cs="Calibri"/>
          <w:sz w:val="20"/>
          <w:szCs w:val="20"/>
          <w:lang w:eastAsia="en-GB"/>
        </w:rPr>
      </w:pPr>
      <w:r w:rsidRPr="00FE095C">
        <w:rPr>
          <w:rFonts w:ascii="Calibri" w:eastAsia="Calibri" w:hAnsi="Calibri" w:cs="Calibri"/>
          <w:noProof/>
          <w:sz w:val="20"/>
          <w:szCs w:val="20"/>
          <w:lang w:eastAsia="en-GB"/>
        </w:rPr>
        <mc:AlternateContent>
          <mc:Choice Requires="wps">
            <w:drawing>
              <wp:anchor distT="45720" distB="45720" distL="114300" distR="114300" simplePos="0" relativeHeight="251682816" behindDoc="0" locked="0" layoutInCell="1" allowOverlap="1" wp14:anchorId="4290E6A3" wp14:editId="7467F6DF">
                <wp:simplePos x="0" y="0"/>
                <wp:positionH relativeFrom="column">
                  <wp:align>right</wp:align>
                </wp:positionH>
                <wp:positionV relativeFrom="paragraph">
                  <wp:posOffset>615950</wp:posOffset>
                </wp:positionV>
                <wp:extent cx="4861560" cy="2505075"/>
                <wp:effectExtent l="0" t="0" r="1524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1560" cy="2505075"/>
                        </a:xfrm>
                        <a:prstGeom prst="rect">
                          <a:avLst/>
                        </a:prstGeom>
                        <a:solidFill>
                          <a:srgbClr val="FFFFFF"/>
                        </a:solidFill>
                        <a:ln w="19050">
                          <a:solidFill>
                            <a:srgbClr val="163D82"/>
                          </a:solidFill>
                          <a:miter lim="800000"/>
                          <a:headEnd/>
                          <a:tailEnd/>
                        </a:ln>
                      </wps:spPr>
                      <wps:txbx>
                        <w:txbxContent>
                          <w:p w14:paraId="3C6EB973" w14:textId="77777777" w:rsidR="00E25529" w:rsidRDefault="00E25529" w:rsidP="00EF49CE">
                            <w:pPr>
                              <w:pStyle w:val="ListParagraph"/>
                              <w:numPr>
                                <w:ilvl w:val="0"/>
                                <w:numId w:val="11"/>
                              </w:numPr>
                              <w:spacing w:before="60" w:after="60" w:line="271" w:lineRule="auto"/>
                              <w:ind w:left="142" w:hanging="142"/>
                              <w:rPr>
                                <w:rFonts w:asciiTheme="minorHAnsi" w:hAnsiTheme="minorHAnsi" w:cstheme="minorHAnsi"/>
                              </w:rPr>
                            </w:pPr>
                            <w:proofErr w:type="spellStart"/>
                            <w:r w:rsidRPr="000A1500">
                              <w:rPr>
                                <w:rFonts w:asciiTheme="minorHAnsi" w:hAnsiTheme="minorHAnsi" w:cstheme="minorHAnsi"/>
                              </w:rPr>
                              <w:t>Brexit</w:t>
                            </w:r>
                            <w:proofErr w:type="spellEnd"/>
                            <w:r w:rsidRPr="000A1500">
                              <w:rPr>
                                <w:rFonts w:asciiTheme="minorHAnsi" w:hAnsiTheme="minorHAnsi" w:cstheme="minorHAnsi"/>
                              </w:rPr>
                              <w:t xml:space="preserve"> </w:t>
                            </w:r>
                            <w:r>
                              <w:rPr>
                                <w:rFonts w:asciiTheme="minorHAnsi" w:hAnsiTheme="minorHAnsi" w:cstheme="minorHAnsi"/>
                              </w:rPr>
                              <w:t>- There is</w:t>
                            </w:r>
                            <w:r w:rsidRPr="000A1500">
                              <w:rPr>
                                <w:rFonts w:asciiTheme="minorHAnsi" w:hAnsiTheme="minorHAnsi" w:cstheme="minorHAnsi"/>
                              </w:rPr>
                              <w:t xml:space="preserve"> continuing uncertainty</w:t>
                            </w:r>
                            <w:r>
                              <w:rPr>
                                <w:rFonts w:asciiTheme="minorHAnsi" w:hAnsiTheme="minorHAnsi" w:cstheme="minorHAnsi"/>
                              </w:rPr>
                              <w:t xml:space="preserve"> in relation to legislation which need to be created following the UK’s departure from the European Union</w:t>
                            </w:r>
                            <w:r w:rsidRPr="00D904B1">
                              <w:rPr>
                                <w:rFonts w:asciiTheme="minorHAnsi" w:hAnsiTheme="minorHAnsi" w:cstheme="minorHAnsi"/>
                              </w:rPr>
                              <w:t>.</w:t>
                            </w:r>
                          </w:p>
                          <w:p w14:paraId="7ECD40DF" w14:textId="77777777" w:rsidR="00E25529" w:rsidRPr="00D904B1"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Value for Money - The requirement to achieve efficiency and effectiveness through collaborations and potential reforms.</w:t>
                            </w:r>
                          </w:p>
                          <w:p w14:paraId="233EB1E2" w14:textId="77777777" w:rsidR="00E25529"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Health and Wellbeing - Studies have showed that work pressures and the dramatic rise in assaults on police officers are affecting the health and wellbeing of the workforce.</w:t>
                            </w:r>
                          </w:p>
                          <w:p w14:paraId="373B0325" w14:textId="77777777" w:rsidR="00E25529" w:rsidRPr="009B12B9"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Professional Standards - HMICFRS inspections have identified issues in relation to the r</w:t>
                            </w:r>
                            <w:r w:rsidRPr="009B12B9">
                              <w:rPr>
                                <w:rFonts w:asciiTheme="minorHAnsi" w:hAnsiTheme="minorHAnsi" w:cstheme="minorHAnsi"/>
                              </w:rPr>
                              <w:t xml:space="preserve">esourcing of counter-corruption units and vetting backlogs, </w:t>
                            </w:r>
                            <w:r>
                              <w:rPr>
                                <w:rFonts w:asciiTheme="minorHAnsi" w:hAnsiTheme="minorHAnsi" w:cstheme="minorHAnsi"/>
                              </w:rPr>
                              <w:t>with F</w:t>
                            </w:r>
                            <w:r w:rsidRPr="009B12B9">
                              <w:rPr>
                                <w:rFonts w:asciiTheme="minorHAnsi" w:hAnsiTheme="minorHAnsi" w:cstheme="minorHAnsi"/>
                              </w:rPr>
                              <w:t xml:space="preserve">orces continuing to have problems in </w:t>
                            </w:r>
                            <w:r>
                              <w:rPr>
                                <w:rFonts w:asciiTheme="minorHAnsi" w:hAnsiTheme="minorHAnsi" w:cstheme="minorHAnsi"/>
                              </w:rPr>
                              <w:t>ensuring</w:t>
                            </w:r>
                            <w:r w:rsidRPr="009B12B9">
                              <w:rPr>
                                <w:rFonts w:asciiTheme="minorHAnsi" w:hAnsiTheme="minorHAnsi" w:cstheme="minorHAnsi"/>
                              </w:rPr>
                              <w:t xml:space="preserve"> their workforce is properly vetted</w:t>
                            </w:r>
                            <w:r>
                              <w:rPr>
                                <w:rFonts w:asciiTheme="minorHAnsi" w:hAnsiTheme="minorHAnsi" w:cstheme="minorHAnsi"/>
                              </w:rPr>
                              <w:t>.</w:t>
                            </w:r>
                          </w:p>
                          <w:p w14:paraId="6DF46653" w14:textId="77777777" w:rsidR="00E25529"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Service Pressures - Potential pressures on recruitment and training services due to the government’s recruitment drive for Police Offices.</w:t>
                            </w:r>
                          </w:p>
                          <w:p w14:paraId="54066DB8" w14:textId="77777777" w:rsidR="00E25529" w:rsidRPr="00EF49CE" w:rsidRDefault="00E25529" w:rsidP="00EF49CE">
                            <w:pPr>
                              <w:pStyle w:val="ListParagraph"/>
                              <w:numPr>
                                <w:ilvl w:val="0"/>
                                <w:numId w:val="11"/>
                              </w:numPr>
                              <w:spacing w:before="60" w:after="60" w:line="271" w:lineRule="auto"/>
                              <w:ind w:left="142" w:hanging="142"/>
                              <w:rPr>
                                <w:rFonts w:asciiTheme="minorHAnsi" w:hAnsiTheme="minorHAnsi" w:cstheme="minorHAnsi"/>
                              </w:rPr>
                            </w:pPr>
                            <w:r w:rsidRPr="00EF49CE">
                              <w:rPr>
                                <w:rFonts w:asciiTheme="minorHAnsi" w:hAnsiTheme="minorHAnsi" w:cstheme="minorHAnsi"/>
                              </w:rPr>
                              <w:t>IT Security – Cybercrime continues to increase in scale and complexity</w:t>
                            </w:r>
                            <w:r>
                              <w:rPr>
                                <w:rFonts w:asciiTheme="minorHAnsi" w:hAnsiTheme="minorHAnsi" w:cstheme="minorHAnsi"/>
                              </w:rPr>
                              <w:t>.</w:t>
                            </w:r>
                          </w:p>
                          <w:p w14:paraId="15AC1785" w14:textId="77777777" w:rsidR="00E25529" w:rsidRDefault="00E25529" w:rsidP="00271630">
                            <w:pPr>
                              <w:spacing w:before="60" w:after="60" w:line="271" w:lineRule="auto"/>
                              <w:rPr>
                                <w:rFonts w:asciiTheme="minorHAnsi" w:hAnsiTheme="minorHAnsi" w:cstheme="minorHAnsi"/>
                              </w:rPr>
                            </w:pPr>
                          </w:p>
                          <w:p w14:paraId="060EFD78" w14:textId="77777777" w:rsidR="00E25529" w:rsidRDefault="00E25529" w:rsidP="00271630">
                            <w:pPr>
                              <w:spacing w:before="60" w:after="60" w:line="271" w:lineRule="auto"/>
                              <w:rPr>
                                <w:rFonts w:asciiTheme="minorHAnsi" w:hAnsiTheme="minorHAnsi" w:cstheme="minorHAnsi"/>
                              </w:rPr>
                            </w:pPr>
                          </w:p>
                          <w:p w14:paraId="081EA842" w14:textId="77777777" w:rsidR="00E25529" w:rsidRDefault="00E25529" w:rsidP="00271630">
                            <w:pPr>
                              <w:spacing w:before="60" w:after="60" w:line="271" w:lineRule="auto"/>
                              <w:rPr>
                                <w:rFonts w:asciiTheme="minorHAnsi" w:hAnsiTheme="minorHAnsi"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290E6A3" id="_x0000_s1029" type="#_x0000_t202" style="position:absolute;left:0;text-align:left;margin-left:331.6pt;margin-top:48.5pt;width:382.8pt;height:197.25pt;z-index:251682816;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" strokecolor="#163d82" strokeweight="1.5pt">
                <v:textbox>
                  <w:txbxContent>
                    <w:p w14:paraId="3C6EB973" w14:textId="77777777" w:rsidR="00E25529" w:rsidRDefault="00E25529" w:rsidP="00EF49CE">
                      <w:pPr>
                        <w:pStyle w:val="ListParagraph"/>
                        <w:numPr>
                          <w:ilvl w:val="0"/>
                          <w:numId w:val="11"/>
                        </w:numPr>
                        <w:spacing w:before="60" w:after="60" w:line="271" w:lineRule="auto"/>
                        <w:ind w:left="142" w:hanging="142"/>
                        <w:rPr>
                          <w:rFonts w:asciiTheme="minorHAnsi" w:hAnsiTheme="minorHAnsi" w:cstheme="minorHAnsi"/>
                        </w:rPr>
                      </w:pPr>
                      <w:r w:rsidRPr="000A1500">
                        <w:rPr>
                          <w:rFonts w:asciiTheme="minorHAnsi" w:hAnsiTheme="minorHAnsi" w:cstheme="minorHAnsi"/>
                        </w:rPr>
                        <w:t xml:space="preserve">Brexit </w:t>
                      </w:r>
                      <w:r>
                        <w:rPr>
                          <w:rFonts w:asciiTheme="minorHAnsi" w:hAnsiTheme="minorHAnsi" w:cstheme="minorHAnsi"/>
                        </w:rPr>
                        <w:t>- There is</w:t>
                      </w:r>
                      <w:r w:rsidRPr="000A1500">
                        <w:rPr>
                          <w:rFonts w:asciiTheme="minorHAnsi" w:hAnsiTheme="minorHAnsi" w:cstheme="minorHAnsi"/>
                        </w:rPr>
                        <w:t xml:space="preserve"> continuing uncertainty</w:t>
                      </w:r>
                      <w:r>
                        <w:rPr>
                          <w:rFonts w:asciiTheme="minorHAnsi" w:hAnsiTheme="minorHAnsi" w:cstheme="minorHAnsi"/>
                        </w:rPr>
                        <w:t xml:space="preserve"> in relation to legislation which need to be created following the UK’s departure from the European Union</w:t>
                      </w:r>
                      <w:r w:rsidRPr="00D904B1">
                        <w:rPr>
                          <w:rFonts w:asciiTheme="minorHAnsi" w:hAnsiTheme="minorHAnsi" w:cstheme="minorHAnsi"/>
                        </w:rPr>
                        <w:t>.</w:t>
                      </w:r>
                    </w:p>
                    <w:p w14:paraId="7ECD40DF" w14:textId="77777777" w:rsidR="00E25529" w:rsidRPr="00D904B1"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Value for Money - The requirement to achieve efficiency and effectiveness through collaborations and potential reforms.</w:t>
                      </w:r>
                    </w:p>
                    <w:p w14:paraId="233EB1E2" w14:textId="77777777" w:rsidR="00E25529"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Health and Wellbeing - Studies have showed that work pressures and the dramatic rise in assaults on police officers are affecting the health and wellbeing of the workforce.</w:t>
                      </w:r>
                    </w:p>
                    <w:p w14:paraId="373B0325" w14:textId="77777777" w:rsidR="00E25529" w:rsidRPr="009B12B9"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Professional Standards - HMICFRS inspections have identified issues in relation to the r</w:t>
                      </w:r>
                      <w:r w:rsidRPr="009B12B9">
                        <w:rPr>
                          <w:rFonts w:asciiTheme="minorHAnsi" w:hAnsiTheme="minorHAnsi" w:cstheme="minorHAnsi"/>
                        </w:rPr>
                        <w:t xml:space="preserve">esourcing of counter-corruption units and vetting backlogs, </w:t>
                      </w:r>
                      <w:r>
                        <w:rPr>
                          <w:rFonts w:asciiTheme="minorHAnsi" w:hAnsiTheme="minorHAnsi" w:cstheme="minorHAnsi"/>
                        </w:rPr>
                        <w:t>with F</w:t>
                      </w:r>
                      <w:r w:rsidRPr="009B12B9">
                        <w:rPr>
                          <w:rFonts w:asciiTheme="minorHAnsi" w:hAnsiTheme="minorHAnsi" w:cstheme="minorHAnsi"/>
                        </w:rPr>
                        <w:t xml:space="preserve">orces continuing to have problems in </w:t>
                      </w:r>
                      <w:r>
                        <w:rPr>
                          <w:rFonts w:asciiTheme="minorHAnsi" w:hAnsiTheme="minorHAnsi" w:cstheme="minorHAnsi"/>
                        </w:rPr>
                        <w:t>ensuring</w:t>
                      </w:r>
                      <w:r w:rsidRPr="009B12B9">
                        <w:rPr>
                          <w:rFonts w:asciiTheme="minorHAnsi" w:hAnsiTheme="minorHAnsi" w:cstheme="minorHAnsi"/>
                        </w:rPr>
                        <w:t xml:space="preserve"> their workforce is properly vetted</w:t>
                      </w:r>
                      <w:r>
                        <w:rPr>
                          <w:rFonts w:asciiTheme="minorHAnsi" w:hAnsiTheme="minorHAnsi" w:cstheme="minorHAnsi"/>
                        </w:rPr>
                        <w:t>.</w:t>
                      </w:r>
                    </w:p>
                    <w:p w14:paraId="6DF46653" w14:textId="77777777" w:rsidR="00E25529" w:rsidRDefault="00E25529" w:rsidP="00EF49CE">
                      <w:pPr>
                        <w:pStyle w:val="ListParagraph"/>
                        <w:numPr>
                          <w:ilvl w:val="0"/>
                          <w:numId w:val="11"/>
                        </w:numPr>
                        <w:spacing w:before="60" w:after="60" w:line="271" w:lineRule="auto"/>
                        <w:ind w:left="142" w:hanging="142"/>
                        <w:rPr>
                          <w:rFonts w:asciiTheme="minorHAnsi" w:hAnsiTheme="minorHAnsi" w:cstheme="minorHAnsi"/>
                        </w:rPr>
                      </w:pPr>
                      <w:r>
                        <w:rPr>
                          <w:rFonts w:asciiTheme="minorHAnsi" w:hAnsiTheme="minorHAnsi" w:cstheme="minorHAnsi"/>
                        </w:rPr>
                        <w:t>Service Pressures - Potential pressures on recruitment and training services due to the government’s recruitment drive for Police Offices.</w:t>
                      </w:r>
                    </w:p>
                    <w:p w14:paraId="54066DB8" w14:textId="77777777" w:rsidR="00E25529" w:rsidRPr="00EF49CE" w:rsidRDefault="00E25529" w:rsidP="00EF49CE">
                      <w:pPr>
                        <w:pStyle w:val="ListParagraph"/>
                        <w:numPr>
                          <w:ilvl w:val="0"/>
                          <w:numId w:val="11"/>
                        </w:numPr>
                        <w:spacing w:before="60" w:after="60" w:line="271" w:lineRule="auto"/>
                        <w:ind w:left="142" w:hanging="142"/>
                        <w:rPr>
                          <w:rFonts w:asciiTheme="minorHAnsi" w:hAnsiTheme="minorHAnsi" w:cstheme="minorHAnsi"/>
                        </w:rPr>
                      </w:pPr>
                      <w:r w:rsidRPr="00EF49CE">
                        <w:rPr>
                          <w:rFonts w:asciiTheme="minorHAnsi" w:hAnsiTheme="minorHAnsi" w:cstheme="minorHAnsi"/>
                        </w:rPr>
                        <w:t>IT Security – Cybercrime continues to increase in scale and complexity</w:t>
                      </w:r>
                      <w:r>
                        <w:rPr>
                          <w:rFonts w:asciiTheme="minorHAnsi" w:hAnsiTheme="minorHAnsi" w:cstheme="minorHAnsi"/>
                        </w:rPr>
                        <w:t>.</w:t>
                      </w:r>
                    </w:p>
                    <w:p w14:paraId="15AC1785" w14:textId="77777777" w:rsidR="00E25529" w:rsidRDefault="00E25529" w:rsidP="00271630">
                      <w:pPr>
                        <w:spacing w:before="60" w:after="60" w:line="271" w:lineRule="auto"/>
                        <w:rPr>
                          <w:rFonts w:asciiTheme="minorHAnsi" w:hAnsiTheme="minorHAnsi" w:cstheme="minorHAnsi"/>
                        </w:rPr>
                      </w:pPr>
                    </w:p>
                    <w:p w14:paraId="060EFD78" w14:textId="77777777" w:rsidR="00E25529" w:rsidRDefault="00E25529" w:rsidP="00271630">
                      <w:pPr>
                        <w:spacing w:before="60" w:after="60" w:line="271" w:lineRule="auto"/>
                        <w:rPr>
                          <w:rFonts w:asciiTheme="minorHAnsi" w:hAnsiTheme="minorHAnsi" w:cstheme="minorHAnsi"/>
                        </w:rPr>
                      </w:pPr>
                    </w:p>
                    <w:p w14:paraId="081EA842" w14:textId="77777777" w:rsidR="00E25529" w:rsidRDefault="00E25529" w:rsidP="00271630">
                      <w:pPr>
                        <w:spacing w:before="60" w:after="60" w:line="271" w:lineRule="auto"/>
                        <w:rPr>
                          <w:rFonts w:asciiTheme="minorHAnsi" w:hAnsiTheme="minorHAnsi" w:cstheme="minorHAnsi"/>
                        </w:rPr>
                      </w:pPr>
                    </w:p>
                  </w:txbxContent>
                </v:textbox>
                <w10:wrap type="square"/>
              </v:shape>
            </w:pict>
          </mc:Fallback>
        </mc:AlternateContent>
      </w:r>
      <w:r w:rsidR="00C15678" w:rsidRPr="00FE095C">
        <w:rPr>
          <w:rFonts w:ascii="Calibri" w:eastAsia="Calibri" w:hAnsi="Calibri" w:cs="Calibri"/>
          <w:sz w:val="20"/>
          <w:szCs w:val="20"/>
          <w:lang w:eastAsia="en-GB"/>
        </w:rPr>
        <w:t xml:space="preserve">This year will be another challenging year for </w:t>
      </w:r>
      <w:r w:rsidR="0096010B">
        <w:rPr>
          <w:rFonts w:ascii="Calibri" w:eastAsia="Calibri" w:hAnsi="Calibri" w:cs="Calibri"/>
          <w:sz w:val="20"/>
          <w:szCs w:val="20"/>
          <w:lang w:eastAsia="en-GB"/>
        </w:rPr>
        <w:t>police</w:t>
      </w:r>
      <w:r w:rsidR="00C15678" w:rsidRPr="00FE095C">
        <w:rPr>
          <w:rFonts w:ascii="Calibri" w:eastAsia="Calibri" w:hAnsi="Calibri" w:cs="Calibri"/>
          <w:sz w:val="20"/>
          <w:szCs w:val="20"/>
          <w:lang w:eastAsia="en-GB"/>
        </w:rPr>
        <w:t xml:space="preserve"> </w:t>
      </w:r>
      <w:r w:rsidR="00010F96">
        <w:rPr>
          <w:rFonts w:ascii="Calibri" w:eastAsia="Calibri" w:hAnsi="Calibri" w:cs="Calibri"/>
          <w:sz w:val="20"/>
          <w:szCs w:val="20"/>
          <w:lang w:eastAsia="en-GB"/>
        </w:rPr>
        <w:t>forces</w:t>
      </w:r>
      <w:r w:rsidR="00C15678" w:rsidRPr="00FE095C">
        <w:rPr>
          <w:rFonts w:ascii="Calibri" w:eastAsia="Calibri" w:hAnsi="Calibri" w:cs="Calibri"/>
          <w:sz w:val="20"/>
          <w:szCs w:val="20"/>
          <w:lang w:eastAsia="en-GB"/>
        </w:rPr>
        <w:t xml:space="preserve"> in terms of </w:t>
      </w:r>
      <w:r w:rsidR="009E3AE0" w:rsidRPr="00FE095C">
        <w:rPr>
          <w:rFonts w:ascii="Calibri" w:eastAsia="Calibri" w:hAnsi="Calibri" w:cs="Calibri"/>
          <w:sz w:val="20"/>
          <w:szCs w:val="20"/>
          <w:lang w:eastAsia="en-GB"/>
        </w:rPr>
        <w:t>income, regulation</w:t>
      </w:r>
      <w:r w:rsidR="00C15678" w:rsidRPr="00FE095C">
        <w:rPr>
          <w:rFonts w:ascii="Calibri" w:eastAsia="Calibri" w:hAnsi="Calibri" w:cs="Calibri"/>
          <w:sz w:val="20"/>
          <w:szCs w:val="20"/>
          <w:lang w:eastAsia="en-GB"/>
        </w:rPr>
        <w:t xml:space="preserve"> and also the pressures on service delivery. We have identified a number of key areas which require consideration when planning internal audit coverage</w:t>
      </w:r>
      <w:r w:rsidR="0072253B" w:rsidRPr="00FE095C">
        <w:rPr>
          <w:rFonts w:ascii="Calibri" w:eastAsia="Calibri" w:hAnsi="Calibri" w:cs="Calibri"/>
          <w:sz w:val="20"/>
          <w:szCs w:val="20"/>
          <w:lang w:eastAsia="en-GB"/>
        </w:rPr>
        <w:t>.</w:t>
      </w:r>
    </w:p>
    <w:p w14:paraId="3269B2FC" w14:textId="77777777" w:rsidR="006D4078" w:rsidRPr="00FE095C" w:rsidRDefault="006D4078"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Adequacy of the planned audit coverage</w:t>
      </w:r>
    </w:p>
    <w:p w14:paraId="1C0435A1" w14:textId="77777777" w:rsidR="002310B3" w:rsidRPr="00FE095C" w:rsidRDefault="006D4078" w:rsidP="009D38C7">
      <w:pPr>
        <w:spacing w:before="120" w:after="120" w:line="271" w:lineRule="auto"/>
        <w:jc w:val="both"/>
        <w:rPr>
          <w:rFonts w:ascii="Calibri" w:eastAsia="Calibri" w:hAnsi="Calibri" w:cs="Calibri"/>
          <w:sz w:val="20"/>
          <w:szCs w:val="20"/>
          <w:lang w:eastAsia="en-GB"/>
        </w:rPr>
      </w:pPr>
      <w:r w:rsidRPr="00FE095C">
        <w:rPr>
          <w:rFonts w:ascii="Calibri" w:eastAsia="Calibri" w:hAnsi="Calibri" w:cs="Calibri"/>
          <w:sz w:val="20"/>
          <w:szCs w:val="20"/>
          <w:lang w:eastAsia="en-GB"/>
        </w:rPr>
        <w:t xml:space="preserve">The </w:t>
      </w:r>
      <w:r w:rsidR="00582D74" w:rsidRPr="00FE095C">
        <w:rPr>
          <w:rFonts w:ascii="Calibri" w:eastAsia="Calibri" w:hAnsi="Calibri" w:cs="Calibri"/>
          <w:sz w:val="20"/>
          <w:szCs w:val="20"/>
          <w:lang w:eastAsia="en-GB"/>
        </w:rPr>
        <w:t xml:space="preserve">reviews </w:t>
      </w:r>
      <w:r w:rsidRPr="00FE095C">
        <w:rPr>
          <w:rFonts w:ascii="Calibri" w:eastAsia="Calibri" w:hAnsi="Calibri" w:cs="Calibri"/>
          <w:sz w:val="20"/>
          <w:szCs w:val="20"/>
          <w:lang w:eastAsia="en-GB"/>
        </w:rPr>
        <w:t xml:space="preserve">identified in </w:t>
      </w:r>
      <w:r w:rsidR="003C7FE1" w:rsidRPr="00FE095C">
        <w:rPr>
          <w:rFonts w:ascii="Calibri" w:eastAsia="Calibri" w:hAnsi="Calibri" w:cs="Calibri"/>
          <w:sz w:val="20"/>
          <w:szCs w:val="20"/>
          <w:lang w:eastAsia="en-GB"/>
        </w:rPr>
        <w:t xml:space="preserve">the </w:t>
      </w:r>
      <w:r w:rsidR="00EA0556" w:rsidRPr="00FE095C">
        <w:rPr>
          <w:rFonts w:ascii="Calibri" w:eastAsia="Calibri" w:hAnsi="Calibri" w:cs="Calibri"/>
          <w:sz w:val="20"/>
          <w:szCs w:val="20"/>
          <w:lang w:eastAsia="en-GB"/>
        </w:rPr>
        <w:t>audit plan for 2020/21</w:t>
      </w:r>
      <w:r w:rsidRPr="00FE095C">
        <w:rPr>
          <w:rFonts w:ascii="Calibri" w:eastAsia="Calibri" w:hAnsi="Calibri" w:cs="Calibri"/>
          <w:sz w:val="20"/>
          <w:szCs w:val="20"/>
          <w:lang w:eastAsia="en-GB"/>
        </w:rPr>
        <w:t xml:space="preserve"> support the </w:t>
      </w:r>
      <w:r w:rsidR="009C6A81" w:rsidRPr="00FE095C">
        <w:rPr>
          <w:rFonts w:ascii="Calibri" w:eastAsia="Calibri" w:hAnsi="Calibri" w:cs="Calibri"/>
          <w:sz w:val="20"/>
          <w:szCs w:val="20"/>
          <w:lang w:eastAsia="en-GB"/>
        </w:rPr>
        <w:t xml:space="preserve">Head of </w:t>
      </w:r>
      <w:r w:rsidR="00D904B1" w:rsidRPr="00FE095C">
        <w:rPr>
          <w:rFonts w:ascii="Calibri" w:eastAsia="Calibri" w:hAnsi="Calibri" w:cs="Calibri"/>
          <w:sz w:val="20"/>
          <w:szCs w:val="20"/>
          <w:lang w:eastAsia="en-GB"/>
        </w:rPr>
        <w:t xml:space="preserve">Internal </w:t>
      </w:r>
      <w:r w:rsidR="009C6A81" w:rsidRPr="00FE095C">
        <w:rPr>
          <w:rFonts w:ascii="Calibri" w:eastAsia="Calibri" w:hAnsi="Calibri" w:cs="Calibri"/>
          <w:sz w:val="20"/>
          <w:szCs w:val="20"/>
          <w:lang w:eastAsia="en-GB"/>
        </w:rPr>
        <w:t>A</w:t>
      </w:r>
      <w:r w:rsidRPr="00FE095C">
        <w:rPr>
          <w:rFonts w:ascii="Calibri" w:eastAsia="Calibri" w:hAnsi="Calibri" w:cs="Calibri"/>
          <w:sz w:val="20"/>
          <w:szCs w:val="20"/>
          <w:lang w:eastAsia="en-GB"/>
        </w:rPr>
        <w:t>udit</w:t>
      </w:r>
      <w:r w:rsidR="009C6A81" w:rsidRPr="00FE095C">
        <w:rPr>
          <w:rFonts w:ascii="Calibri" w:eastAsia="Calibri" w:hAnsi="Calibri" w:cs="Calibri"/>
          <w:sz w:val="20"/>
          <w:szCs w:val="20"/>
          <w:lang w:eastAsia="en-GB"/>
        </w:rPr>
        <w:t>’s</w:t>
      </w:r>
      <w:r w:rsidRPr="00FE095C">
        <w:rPr>
          <w:rFonts w:ascii="Calibri" w:eastAsia="Calibri" w:hAnsi="Calibri" w:cs="Calibri"/>
          <w:sz w:val="20"/>
          <w:szCs w:val="20"/>
          <w:lang w:eastAsia="en-GB"/>
        </w:rPr>
        <w:t xml:space="preserve"> </w:t>
      </w:r>
      <w:r w:rsidR="009C6A81" w:rsidRPr="00FE095C">
        <w:rPr>
          <w:rFonts w:ascii="Calibri" w:eastAsia="Calibri" w:hAnsi="Calibri" w:cs="Calibri"/>
          <w:sz w:val="20"/>
          <w:szCs w:val="20"/>
          <w:lang w:eastAsia="en-GB"/>
        </w:rPr>
        <w:t>a</w:t>
      </w:r>
      <w:r w:rsidRPr="00FE095C">
        <w:rPr>
          <w:rFonts w:ascii="Calibri" w:eastAsia="Calibri" w:hAnsi="Calibri" w:cs="Calibri"/>
          <w:sz w:val="20"/>
          <w:szCs w:val="20"/>
          <w:lang w:eastAsia="en-GB"/>
        </w:rPr>
        <w:t>nnual opinion on the overall adequacy and effectiveness of the organisation’s framework of governance, risk management and control as required by</w:t>
      </w:r>
      <w:r w:rsidR="00302068" w:rsidRPr="00FE095C">
        <w:rPr>
          <w:rFonts w:ascii="Calibri" w:eastAsia="Calibri" w:hAnsi="Calibri" w:cs="Calibri"/>
          <w:sz w:val="20"/>
          <w:szCs w:val="20"/>
          <w:lang w:eastAsia="en-GB"/>
        </w:rPr>
        <w:t xml:space="preserve"> TIAA’s charter</w:t>
      </w:r>
      <w:r w:rsidRPr="00FE095C">
        <w:rPr>
          <w:rFonts w:ascii="Calibri" w:eastAsia="Calibri" w:hAnsi="Calibri" w:cs="Calibri"/>
          <w:sz w:val="20"/>
          <w:szCs w:val="20"/>
          <w:lang w:eastAsia="en-GB"/>
        </w:rPr>
        <w:t xml:space="preserve">. The </w:t>
      </w:r>
      <w:r w:rsidR="00582D74" w:rsidRPr="00FE095C">
        <w:rPr>
          <w:rFonts w:ascii="Calibri" w:eastAsia="Calibri" w:hAnsi="Calibri" w:cs="Calibri"/>
          <w:sz w:val="20"/>
          <w:szCs w:val="20"/>
          <w:lang w:eastAsia="en-GB"/>
        </w:rPr>
        <w:t>reviews</w:t>
      </w:r>
      <w:r w:rsidRPr="00FE095C">
        <w:rPr>
          <w:rFonts w:ascii="Calibri" w:eastAsia="Calibri" w:hAnsi="Calibri" w:cs="Calibri"/>
          <w:sz w:val="20"/>
          <w:szCs w:val="20"/>
          <w:lang w:eastAsia="en-GB"/>
        </w:rPr>
        <w:t xml:space="preserve"> have been identified from your </w:t>
      </w:r>
      <w:r w:rsidR="00321FEB" w:rsidRPr="00FE095C">
        <w:rPr>
          <w:rFonts w:ascii="Calibri" w:eastAsia="Calibri" w:hAnsi="Calibri" w:cs="Calibri"/>
          <w:sz w:val="20"/>
          <w:szCs w:val="20"/>
          <w:lang w:eastAsia="en-GB"/>
        </w:rPr>
        <w:t>assurance framework</w:t>
      </w:r>
      <w:r w:rsidRPr="00FE095C">
        <w:rPr>
          <w:rFonts w:ascii="Calibri" w:eastAsia="Calibri" w:hAnsi="Calibri" w:cs="Calibri"/>
          <w:sz w:val="20"/>
          <w:szCs w:val="20"/>
          <w:lang w:eastAsia="en-GB"/>
        </w:rPr>
        <w:t xml:space="preserve">, risk </w:t>
      </w:r>
      <w:r w:rsidR="00803629" w:rsidRPr="00FE095C">
        <w:rPr>
          <w:rFonts w:ascii="Calibri" w:eastAsia="Calibri" w:hAnsi="Calibri" w:cs="Calibri"/>
          <w:sz w:val="20"/>
          <w:szCs w:val="20"/>
          <w:lang w:eastAsia="en-GB"/>
        </w:rPr>
        <w:t>registers and ke</w:t>
      </w:r>
      <w:r w:rsidR="00582D74" w:rsidRPr="00FE095C">
        <w:rPr>
          <w:rFonts w:ascii="Calibri" w:eastAsia="Calibri" w:hAnsi="Calibri" w:cs="Calibri"/>
          <w:sz w:val="20"/>
          <w:szCs w:val="20"/>
          <w:lang w:eastAsia="en-GB"/>
        </w:rPr>
        <w:t>y</w:t>
      </w:r>
      <w:r w:rsidR="00803629" w:rsidRPr="00FE095C">
        <w:rPr>
          <w:rFonts w:ascii="Calibri" w:eastAsia="Calibri" w:hAnsi="Calibri" w:cs="Calibri"/>
          <w:sz w:val="20"/>
          <w:szCs w:val="20"/>
          <w:lang w:eastAsia="en-GB"/>
        </w:rPr>
        <w:t xml:space="preserve"> emerging themes.</w:t>
      </w:r>
    </w:p>
    <w:p w14:paraId="688A3149" w14:textId="5C8D4823" w:rsidR="00D904B1" w:rsidRPr="00FE095C" w:rsidRDefault="0015017E" w:rsidP="00EA0556">
      <w:pPr>
        <w:spacing w:before="60" w:after="60"/>
        <w:jc w:val="both"/>
        <w:rPr>
          <w:rFonts w:ascii="Calibri" w:hAnsi="Calibri" w:cs="Calibri"/>
          <w:i/>
          <w:color w:val="FF0000"/>
          <w:sz w:val="16"/>
          <w:szCs w:val="16"/>
        </w:rPr>
      </w:pPr>
      <w:r w:rsidRPr="00FE095C">
        <w:rPr>
          <w:rFonts w:ascii="Calibri" w:hAnsi="Calibri" w:cs="Calibri"/>
          <w:i/>
          <w:color w:val="FF0000"/>
          <w:sz w:val="16"/>
          <w:szCs w:val="16"/>
        </w:rPr>
        <w:t xml:space="preserve">                               </w:t>
      </w:r>
      <w:r w:rsidR="001D3316" w:rsidRPr="00FE095C">
        <w:rPr>
          <w:rFonts w:ascii="Calibri" w:hAnsi="Calibri" w:cs="Calibri"/>
          <w:i/>
          <w:color w:val="FF0000"/>
          <w:sz w:val="16"/>
          <w:szCs w:val="16"/>
        </w:rPr>
        <w:t xml:space="preserve">          </w:t>
      </w:r>
    </w:p>
    <w:p w14:paraId="1891A885" w14:textId="77777777" w:rsidR="00D904B1" w:rsidRPr="00FE095C" w:rsidRDefault="00D904B1" w:rsidP="00EA0556">
      <w:pPr>
        <w:spacing w:before="60" w:after="60"/>
        <w:jc w:val="both"/>
        <w:rPr>
          <w:rFonts w:ascii="Calibri" w:hAnsi="Calibri" w:cs="Calibri"/>
          <w:i/>
          <w:color w:val="FF0000"/>
          <w:sz w:val="16"/>
          <w:szCs w:val="16"/>
        </w:rPr>
      </w:pPr>
    </w:p>
    <w:p w14:paraId="26FAB87B" w14:textId="77777777" w:rsidR="00D904B1" w:rsidRPr="00FE095C" w:rsidRDefault="00D904B1" w:rsidP="00EA0556">
      <w:pPr>
        <w:spacing w:before="60" w:after="60"/>
        <w:jc w:val="both"/>
        <w:rPr>
          <w:rFonts w:ascii="Calibri" w:hAnsi="Calibri" w:cs="Calibri"/>
          <w:i/>
          <w:color w:val="FF0000"/>
          <w:sz w:val="16"/>
          <w:szCs w:val="16"/>
        </w:rPr>
      </w:pPr>
    </w:p>
    <w:p w14:paraId="7B840911" w14:textId="77777777" w:rsidR="00B90004" w:rsidRPr="00FE095C" w:rsidRDefault="001D3316" w:rsidP="00E25529">
      <w:pPr>
        <w:spacing w:before="60" w:after="60"/>
        <w:ind w:left="576" w:firstLine="720"/>
        <w:jc w:val="center"/>
        <w:rPr>
          <w:rFonts w:ascii="Calibri" w:hAnsi="Calibri" w:cs="Calibri"/>
          <w:i/>
          <w:color w:val="FF0000"/>
          <w:sz w:val="16"/>
          <w:szCs w:val="20"/>
        </w:rPr>
      </w:pPr>
      <w:r w:rsidRPr="00FE095C">
        <w:rPr>
          <w:rFonts w:ascii="Calibri" w:hAnsi="Calibri" w:cs="Calibri"/>
          <w:i/>
          <w:color w:val="163D82"/>
          <w:sz w:val="16"/>
          <w:szCs w:val="20"/>
        </w:rPr>
        <w:t>20</w:t>
      </w:r>
      <w:r w:rsidR="00EA0556" w:rsidRPr="00FE095C">
        <w:rPr>
          <w:rFonts w:ascii="Calibri" w:hAnsi="Calibri" w:cs="Calibri"/>
          <w:i/>
          <w:color w:val="163D82"/>
          <w:sz w:val="16"/>
          <w:szCs w:val="20"/>
        </w:rPr>
        <w:t>20/21</w:t>
      </w:r>
      <w:r w:rsidRPr="00FE095C">
        <w:rPr>
          <w:rFonts w:ascii="Calibri" w:hAnsi="Calibri" w:cs="Calibri"/>
          <w:i/>
          <w:color w:val="163D82"/>
          <w:sz w:val="16"/>
          <w:szCs w:val="20"/>
        </w:rPr>
        <w:t xml:space="preserve"> </w:t>
      </w:r>
      <w:r w:rsidR="00403A42" w:rsidRPr="00FE095C">
        <w:rPr>
          <w:rFonts w:ascii="Calibri" w:hAnsi="Calibri" w:cs="Calibri"/>
          <w:i/>
          <w:color w:val="163D82"/>
          <w:sz w:val="16"/>
          <w:szCs w:val="20"/>
        </w:rPr>
        <w:t xml:space="preserve">Audit </w:t>
      </w:r>
      <w:r w:rsidR="008F33F2" w:rsidRPr="00FE095C">
        <w:rPr>
          <w:rFonts w:ascii="Calibri" w:hAnsi="Calibri" w:cs="Calibri"/>
          <w:i/>
          <w:color w:val="163D82"/>
          <w:sz w:val="16"/>
          <w:szCs w:val="20"/>
        </w:rPr>
        <w:t>p</w:t>
      </w:r>
      <w:r w:rsidR="00403A42" w:rsidRPr="00FE095C">
        <w:rPr>
          <w:rFonts w:ascii="Calibri" w:hAnsi="Calibri" w:cs="Calibri"/>
          <w:i/>
          <w:color w:val="163D82"/>
          <w:sz w:val="16"/>
          <w:szCs w:val="20"/>
        </w:rPr>
        <w:t>lanning process</w:t>
      </w:r>
    </w:p>
    <w:p w14:paraId="135CCED5" w14:textId="77777777" w:rsidR="0015017E" w:rsidRPr="00FE095C" w:rsidRDefault="0015017E" w:rsidP="0015017E">
      <w:pPr>
        <w:spacing w:before="60" w:after="60"/>
        <w:jc w:val="right"/>
        <w:rPr>
          <w:rFonts w:ascii="Calibri" w:hAnsi="Calibri" w:cs="Calibri"/>
          <w:sz w:val="16"/>
          <w:szCs w:val="16"/>
        </w:rPr>
      </w:pPr>
    </w:p>
    <w:p w14:paraId="6A778C61" w14:textId="77777777" w:rsidR="00EA0556" w:rsidRPr="00FE095C" w:rsidRDefault="002B390A" w:rsidP="0015017E">
      <w:pPr>
        <w:spacing w:before="60" w:after="60"/>
        <w:jc w:val="right"/>
        <w:rPr>
          <w:rFonts w:ascii="Calibri" w:hAnsi="Calibri" w:cs="Calibri"/>
          <w:sz w:val="16"/>
          <w:szCs w:val="16"/>
        </w:rPr>
      </w:pPr>
      <w:r w:rsidRPr="002B390A">
        <w:rPr>
          <w:rFonts w:ascii="Calibri" w:hAnsi="Calibri" w:cs="Calibri"/>
          <w:noProof/>
          <w:sz w:val="16"/>
          <w:szCs w:val="16"/>
          <w:lang w:eastAsia="en-GB"/>
        </w:rPr>
        <w:drawing>
          <wp:inline distT="0" distB="0" distL="0" distR="0" wp14:anchorId="58B34060" wp14:editId="5376CBE9">
            <wp:extent cx="3819525" cy="5467350"/>
            <wp:effectExtent l="0" t="0" r="9525" b="0"/>
            <wp:docPr id="20" name="Picture 20" descr="C:\Users\karent\AppData\Local\Microsoft\Windows\INetCache\Content.Outlook\73ABR655\Audit Planning Process - Housing 2 20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t\AppData\Local\Microsoft\Windows\INetCache\Content.Outlook\73ABR655\Audit Planning Process - Housing 2 2020-2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9525" cy="5467350"/>
                    </a:xfrm>
                    <a:prstGeom prst="rect">
                      <a:avLst/>
                    </a:prstGeom>
                    <a:noFill/>
                    <a:ln>
                      <a:noFill/>
                    </a:ln>
                  </pic:spPr>
                </pic:pic>
              </a:graphicData>
            </a:graphic>
          </wp:inline>
        </w:drawing>
      </w:r>
    </w:p>
    <w:p w14:paraId="57A7DD7D" w14:textId="77777777" w:rsidR="00D904B1" w:rsidRPr="00FE095C" w:rsidRDefault="00D904B1" w:rsidP="00B97595">
      <w:pPr>
        <w:spacing w:before="60" w:after="60"/>
        <w:jc w:val="both"/>
        <w:rPr>
          <w:rFonts w:ascii="Calibri" w:hAnsi="Calibri" w:cs="Calibri"/>
          <w:sz w:val="18"/>
          <w:szCs w:val="18"/>
        </w:rPr>
        <w:sectPr w:rsidR="00D904B1" w:rsidRPr="00FE095C" w:rsidSect="00F7594C">
          <w:headerReference w:type="default" r:id="rId12"/>
          <w:footerReference w:type="default" r:id="rId13"/>
          <w:headerReference w:type="first" r:id="rId14"/>
          <w:footerReference w:type="first" r:id="rId15"/>
          <w:pgSz w:w="16839" w:h="11907" w:orient="landscape" w:code="9"/>
          <w:pgMar w:top="567" w:right="567" w:bottom="567" w:left="567" w:header="284" w:footer="284" w:gutter="0"/>
          <w:pgNumType w:start="1"/>
          <w:cols w:num="2" w:space="284"/>
          <w:docGrid w:linePitch="360"/>
        </w:sectPr>
      </w:pPr>
    </w:p>
    <w:p w14:paraId="5DE8FB8B" w14:textId="77777777" w:rsidR="005153E3" w:rsidRPr="00FE095C" w:rsidRDefault="00EF3B56" w:rsidP="005153E3">
      <w:pPr>
        <w:pBdr>
          <w:bottom w:val="single" w:sz="24" w:space="4" w:color="163D82"/>
        </w:pBdr>
        <w:spacing w:after="120" w:line="271" w:lineRule="auto"/>
        <w:rPr>
          <w:rFonts w:ascii="Calibri" w:hAnsi="Calibri" w:cs="Calibri"/>
          <w:b/>
          <w:color w:val="163D82"/>
          <w:sz w:val="32"/>
        </w:rPr>
      </w:pPr>
      <w:r w:rsidRPr="00FE095C">
        <w:rPr>
          <w:rFonts w:ascii="Calibri" w:hAnsi="Calibri" w:cs="Calibri"/>
          <w:b/>
          <w:color w:val="163D82"/>
          <w:sz w:val="32"/>
        </w:rPr>
        <w:lastRenderedPageBreak/>
        <w:t>Internal Audit Pl</w:t>
      </w:r>
      <w:r w:rsidR="00BA7D20" w:rsidRPr="00FE095C">
        <w:rPr>
          <w:rFonts w:ascii="Calibri" w:hAnsi="Calibri" w:cs="Calibri"/>
          <w:b/>
          <w:color w:val="163D82"/>
          <w:sz w:val="32"/>
        </w:rPr>
        <w:t>an</w:t>
      </w:r>
    </w:p>
    <w:p w14:paraId="4E06FC5B" w14:textId="088429C3" w:rsidR="005153E3" w:rsidRPr="00FE095C" w:rsidRDefault="005153E3"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Audit Strategy Methodology</w:t>
      </w:r>
    </w:p>
    <w:p w14:paraId="7D0C085F" w14:textId="3412DC4B" w:rsidR="00BA0348" w:rsidRPr="00FE095C" w:rsidRDefault="00D904B1" w:rsidP="00EF3B56">
      <w:pPr>
        <w:spacing w:before="120" w:after="120" w:line="271" w:lineRule="auto"/>
        <w:jc w:val="both"/>
        <w:rPr>
          <w:rFonts w:ascii="Calibri" w:hAnsi="Calibri" w:cs="Calibri"/>
          <w:sz w:val="20"/>
          <w:szCs w:val="20"/>
        </w:rPr>
      </w:pPr>
      <w:r w:rsidRPr="00FE095C">
        <w:rPr>
          <w:rFonts w:ascii="Calibri" w:hAnsi="Calibri" w:cs="Calibri"/>
          <w:sz w:val="20"/>
          <w:szCs w:val="20"/>
        </w:rPr>
        <w:t>We adopt a proprietary risk-</w:t>
      </w:r>
      <w:r w:rsidR="002D640A" w:rsidRPr="00FE095C">
        <w:rPr>
          <w:rFonts w:ascii="Calibri" w:hAnsi="Calibri" w:cs="Calibri"/>
          <w:sz w:val="20"/>
          <w:szCs w:val="20"/>
        </w:rPr>
        <w:t xml:space="preserve">based approach to determining your audit needs each year which includes reviewing your risk register and risk management framework, </w:t>
      </w:r>
      <w:r w:rsidRPr="00FE095C">
        <w:rPr>
          <w:rFonts w:ascii="Calibri" w:hAnsi="Calibri" w:cs="Calibri"/>
          <w:sz w:val="20"/>
          <w:szCs w:val="20"/>
        </w:rPr>
        <w:t xml:space="preserve">the regulatory framework, external audit recommendations and </w:t>
      </w:r>
      <w:r w:rsidR="002D640A" w:rsidRPr="00FE095C">
        <w:rPr>
          <w:rFonts w:ascii="Calibri" w:hAnsi="Calibri" w:cs="Calibri"/>
          <w:sz w:val="20"/>
          <w:szCs w:val="20"/>
        </w:rPr>
        <w:t xml:space="preserve">previous internal audit work for the organisation, together with key corporate documentation such as your business and corporate plan, standing orders, and financial regulations. </w:t>
      </w:r>
      <w:r w:rsidR="00EA0556" w:rsidRPr="00FE095C">
        <w:rPr>
          <w:rFonts w:ascii="Calibri" w:hAnsi="Calibri" w:cs="Calibri"/>
          <w:sz w:val="20"/>
          <w:szCs w:val="20"/>
        </w:rPr>
        <w:t>For 2020/21</w:t>
      </w:r>
      <w:r w:rsidR="002D640A" w:rsidRPr="00FE095C">
        <w:rPr>
          <w:rFonts w:ascii="Calibri" w:hAnsi="Calibri" w:cs="Calibri"/>
          <w:sz w:val="20"/>
          <w:szCs w:val="20"/>
        </w:rPr>
        <w:t xml:space="preserve"> we have conduc</w:t>
      </w:r>
      <w:r w:rsidR="002D640A" w:rsidRPr="00EF49CE">
        <w:rPr>
          <w:rFonts w:ascii="Calibri" w:hAnsi="Calibri" w:cs="Calibri"/>
          <w:sz w:val="20"/>
          <w:szCs w:val="20"/>
        </w:rPr>
        <w:t xml:space="preserve">ted an </w:t>
      </w:r>
      <w:r w:rsidR="00572993" w:rsidRPr="00EF49CE">
        <w:rPr>
          <w:rFonts w:ascii="Calibri" w:hAnsi="Calibri" w:cs="Calibri"/>
          <w:sz w:val="20"/>
          <w:szCs w:val="20"/>
        </w:rPr>
        <w:t xml:space="preserve">analysis of the key risks facing the sector and client base more broadly </w:t>
      </w:r>
      <w:r w:rsidR="002D640A" w:rsidRPr="00EF49CE">
        <w:rPr>
          <w:rFonts w:ascii="Calibri" w:hAnsi="Calibri" w:cs="Calibri"/>
          <w:sz w:val="20"/>
          <w:szCs w:val="20"/>
        </w:rPr>
        <w:t xml:space="preserve">to inform our annual planning. The Audit Strategy is based predominantly on our understanding of the inherent risks facing </w:t>
      </w:r>
      <w:r w:rsidR="00EF49CE">
        <w:rPr>
          <w:rFonts w:ascii="Calibri" w:hAnsi="Calibri" w:cs="Calibri"/>
          <w:sz w:val="20"/>
          <w:szCs w:val="20"/>
        </w:rPr>
        <w:t xml:space="preserve">the </w:t>
      </w:r>
      <w:r w:rsidR="00EF49CE" w:rsidRPr="00EF49CE">
        <w:rPr>
          <w:rFonts w:ascii="Calibri" w:hAnsi="Calibri" w:cs="Calibri"/>
          <w:sz w:val="20"/>
          <w:szCs w:val="20"/>
        </w:rPr>
        <w:t xml:space="preserve">Police and Crime </w:t>
      </w:r>
      <w:r w:rsidR="00EF49CE" w:rsidRPr="002B11F5">
        <w:rPr>
          <w:rFonts w:ascii="Calibri" w:hAnsi="Calibri" w:cs="Calibri"/>
          <w:sz w:val="20"/>
          <w:szCs w:val="20"/>
        </w:rPr>
        <w:t xml:space="preserve">Commissioner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Police </w:t>
      </w:r>
      <w:r w:rsidR="002D640A" w:rsidRPr="002B11F5">
        <w:rPr>
          <w:rFonts w:ascii="Calibri" w:hAnsi="Calibri" w:cs="Calibri"/>
          <w:sz w:val="20"/>
          <w:szCs w:val="20"/>
        </w:rPr>
        <w:t>and those within the sector and has been developed with senior management and Committee.</w:t>
      </w:r>
      <w:r w:rsidR="00271630" w:rsidRPr="002B11F5">
        <w:rPr>
          <w:rFonts w:ascii="Calibri" w:hAnsi="Calibri" w:cs="Calibri"/>
          <w:sz w:val="20"/>
          <w:szCs w:val="20"/>
        </w:rPr>
        <w:t xml:space="preserve"> We adopt a proprietary risk based approach (GUARD) to determining your audit needs each year which includes reviewing your risk register and risk management framework, the Regulatory Framework and assessment of </w:t>
      </w:r>
      <w:r w:rsidR="00EF49CE"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Police</w:t>
      </w:r>
      <w:r w:rsidR="00FE095C" w:rsidRPr="002B11F5">
        <w:rPr>
          <w:rFonts w:ascii="Calibri" w:hAnsi="Calibri" w:cs="Calibri"/>
          <w:sz w:val="20"/>
          <w:szCs w:val="20"/>
        </w:rPr>
        <w:t>.</w:t>
      </w:r>
      <w:r w:rsidR="00271630" w:rsidRPr="002B11F5">
        <w:rPr>
          <w:rFonts w:ascii="Calibri" w:hAnsi="Calibri" w:cs="Calibri"/>
          <w:sz w:val="20"/>
          <w:szCs w:val="20"/>
        </w:rPr>
        <w:t xml:space="preserve"> The Audit Strategy is based predominantly on our understanding of the inherent risks facing </w:t>
      </w:r>
      <w:r w:rsidR="00EF49CE"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Police</w:t>
      </w:r>
      <w:r w:rsidR="00271630" w:rsidRPr="002B11F5">
        <w:rPr>
          <w:rFonts w:ascii="Calibri" w:hAnsi="Calibri" w:cs="Calibri"/>
          <w:sz w:val="20"/>
          <w:szCs w:val="20"/>
        </w:rPr>
        <w:t xml:space="preserve"> and those within the sector and has been developed with senior management and Committee. Our approach is based on the guidance stipulated</w:t>
      </w:r>
      <w:r w:rsidR="00271630" w:rsidRPr="00FE095C">
        <w:rPr>
          <w:rFonts w:ascii="Calibri" w:hAnsi="Calibri" w:cs="Calibri"/>
          <w:sz w:val="20"/>
          <w:szCs w:val="20"/>
        </w:rPr>
        <w:t xml:space="preserve"> in the </w:t>
      </w:r>
      <w:r w:rsidR="00EF49CE">
        <w:rPr>
          <w:rFonts w:ascii="Calibri" w:hAnsi="Calibri" w:cs="Calibri"/>
          <w:sz w:val="20"/>
          <w:szCs w:val="20"/>
        </w:rPr>
        <w:t>Public Sector Internal Audit Standards (PSIAS)</w:t>
      </w:r>
      <w:r w:rsidR="00FE095C">
        <w:rPr>
          <w:rFonts w:ascii="Calibri" w:hAnsi="Calibri" w:cs="Calibri"/>
          <w:sz w:val="20"/>
          <w:szCs w:val="20"/>
        </w:rPr>
        <w:t>.</w:t>
      </w:r>
    </w:p>
    <w:p w14:paraId="51AA1222" w14:textId="77777777" w:rsidR="001D3316" w:rsidRPr="00FE095C" w:rsidRDefault="001D3316"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Risk Prioritisation</w:t>
      </w:r>
    </w:p>
    <w:p w14:paraId="0486724E" w14:textId="50B2D3BC" w:rsidR="00271630" w:rsidRPr="002B11F5" w:rsidRDefault="001D3316" w:rsidP="00271630">
      <w:pPr>
        <w:spacing w:before="120" w:after="120" w:line="271" w:lineRule="auto"/>
        <w:jc w:val="both"/>
        <w:rPr>
          <w:rFonts w:ascii="Calibri" w:hAnsi="Calibri" w:cs="Calibri"/>
          <w:sz w:val="20"/>
          <w:szCs w:val="20"/>
        </w:rPr>
      </w:pPr>
      <w:r w:rsidRPr="00FE095C">
        <w:rPr>
          <w:rFonts w:ascii="Calibri" w:hAnsi="Calibri" w:cs="Calibri"/>
          <w:sz w:val="20"/>
          <w:szCs w:val="20"/>
        </w:rPr>
        <w:t xml:space="preserve">Each year an updated risk assessment is carried out to ensure </w:t>
      </w:r>
      <w:r w:rsidRPr="002B11F5">
        <w:rPr>
          <w:rFonts w:ascii="Calibri" w:hAnsi="Calibri" w:cs="Calibri"/>
          <w:sz w:val="20"/>
          <w:szCs w:val="20"/>
        </w:rPr>
        <w:t xml:space="preserve">the Audit Strategy remains fully aligned with the key risks facing </w:t>
      </w:r>
      <w:r w:rsidR="00EF49CE"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Police</w:t>
      </w:r>
      <w:r w:rsidRPr="002B11F5">
        <w:rPr>
          <w:rFonts w:ascii="Calibri" w:hAnsi="Calibri" w:cs="Calibri"/>
          <w:sz w:val="20"/>
          <w:szCs w:val="20"/>
        </w:rPr>
        <w:t xml:space="preserve">. </w:t>
      </w:r>
      <w:r w:rsidR="00271630" w:rsidRPr="002B11F5">
        <w:rPr>
          <w:rFonts w:ascii="Calibri" w:hAnsi="Calibri" w:cs="Calibri"/>
          <w:sz w:val="20"/>
          <w:szCs w:val="20"/>
        </w:rPr>
        <w:t>Annex A contains the GUARD assessment of key risks which has been completed, to identify those that are most relevant to the organisation and where internal audit assurance would be best focussed.</w:t>
      </w:r>
    </w:p>
    <w:p w14:paraId="34DBC68B" w14:textId="77777777" w:rsidR="00EF3B56" w:rsidRPr="002B11F5" w:rsidRDefault="00271630" w:rsidP="00B91E0E">
      <w:pPr>
        <w:spacing w:before="120" w:after="120" w:line="271" w:lineRule="auto"/>
        <w:rPr>
          <w:rFonts w:ascii="Calibri" w:eastAsia="Calibri" w:hAnsi="Calibri" w:cs="Calibri"/>
          <w:b/>
          <w:color w:val="163D82"/>
          <w:szCs w:val="20"/>
          <w:lang w:eastAsia="en-GB"/>
        </w:rPr>
      </w:pPr>
      <w:r w:rsidRPr="002B11F5">
        <w:rPr>
          <w:rFonts w:ascii="Calibri" w:eastAsia="Calibri" w:hAnsi="Calibri" w:cs="Calibri"/>
          <w:b/>
          <w:color w:val="163D82"/>
          <w:szCs w:val="20"/>
          <w:lang w:eastAsia="en-GB"/>
        </w:rPr>
        <w:t xml:space="preserve">Internal </w:t>
      </w:r>
      <w:r w:rsidR="002E6232" w:rsidRPr="002B11F5">
        <w:rPr>
          <w:rFonts w:ascii="Calibri" w:eastAsia="Calibri" w:hAnsi="Calibri" w:cs="Calibri"/>
          <w:b/>
          <w:color w:val="163D82"/>
          <w:szCs w:val="20"/>
          <w:lang w:eastAsia="en-GB"/>
        </w:rPr>
        <w:t xml:space="preserve">Audit </w:t>
      </w:r>
      <w:r w:rsidRPr="002B11F5">
        <w:rPr>
          <w:rFonts w:ascii="Calibri" w:eastAsia="Calibri" w:hAnsi="Calibri" w:cs="Calibri"/>
          <w:b/>
          <w:color w:val="163D82"/>
          <w:szCs w:val="20"/>
          <w:lang w:eastAsia="en-GB"/>
        </w:rPr>
        <w:t>Strategy</w:t>
      </w:r>
      <w:r w:rsidR="004C3870" w:rsidRPr="002B11F5">
        <w:rPr>
          <w:rFonts w:ascii="Calibri" w:eastAsia="Calibri" w:hAnsi="Calibri" w:cs="Calibri"/>
          <w:b/>
          <w:color w:val="163D82"/>
          <w:szCs w:val="20"/>
          <w:lang w:eastAsia="en-GB"/>
        </w:rPr>
        <w:t xml:space="preserve"> Plan</w:t>
      </w:r>
    </w:p>
    <w:p w14:paraId="6E5CA2C7" w14:textId="77777777" w:rsidR="002F7FDA" w:rsidRPr="002B11F5" w:rsidRDefault="009F4638" w:rsidP="00EF3B56">
      <w:pPr>
        <w:spacing w:before="120" w:after="120" w:line="271" w:lineRule="auto"/>
        <w:jc w:val="both"/>
        <w:rPr>
          <w:rFonts w:ascii="Calibri" w:hAnsi="Calibri" w:cs="Calibri"/>
          <w:sz w:val="20"/>
          <w:szCs w:val="20"/>
        </w:rPr>
      </w:pPr>
      <w:r w:rsidRPr="002B11F5">
        <w:rPr>
          <w:rFonts w:ascii="Calibri" w:hAnsi="Calibri" w:cs="Calibri"/>
          <w:sz w:val="20"/>
          <w:szCs w:val="20"/>
        </w:rPr>
        <w:t>Following the risk prioritisation review</w:t>
      </w:r>
      <w:r w:rsidR="0072253B" w:rsidRPr="002B11F5">
        <w:rPr>
          <w:rFonts w:ascii="Calibri" w:hAnsi="Calibri" w:cs="Calibri"/>
          <w:sz w:val="20"/>
          <w:szCs w:val="20"/>
        </w:rPr>
        <w:t>,</w:t>
      </w:r>
      <w:r w:rsidRPr="002B11F5">
        <w:rPr>
          <w:rFonts w:ascii="Calibri" w:hAnsi="Calibri" w:cs="Calibri"/>
          <w:sz w:val="20"/>
          <w:szCs w:val="20"/>
        </w:rPr>
        <w:t xml:space="preserve"> t</w:t>
      </w:r>
      <w:r w:rsidR="00EF3B56" w:rsidRPr="002B11F5">
        <w:rPr>
          <w:rFonts w:ascii="Calibri" w:hAnsi="Calibri" w:cs="Calibri"/>
          <w:sz w:val="20"/>
          <w:szCs w:val="20"/>
        </w:rPr>
        <w:t xml:space="preserve">he </w:t>
      </w:r>
      <w:r w:rsidR="002E6232" w:rsidRPr="002B11F5">
        <w:rPr>
          <w:rFonts w:ascii="Calibri" w:hAnsi="Calibri" w:cs="Calibri"/>
          <w:sz w:val="20"/>
          <w:szCs w:val="20"/>
        </w:rPr>
        <w:t xml:space="preserve">Audit Strategy has been updated </w:t>
      </w:r>
      <w:r w:rsidRPr="002B11F5">
        <w:rPr>
          <w:rFonts w:ascii="Calibri" w:hAnsi="Calibri" w:cs="Calibri"/>
          <w:sz w:val="20"/>
          <w:szCs w:val="20"/>
        </w:rPr>
        <w:t>(An</w:t>
      </w:r>
      <w:r w:rsidR="002E6232" w:rsidRPr="002B11F5">
        <w:rPr>
          <w:rFonts w:ascii="Calibri" w:hAnsi="Calibri" w:cs="Calibri"/>
          <w:sz w:val="20"/>
          <w:szCs w:val="20"/>
        </w:rPr>
        <w:t xml:space="preserve">nex </w:t>
      </w:r>
      <w:r w:rsidR="00771BE6" w:rsidRPr="002B11F5">
        <w:rPr>
          <w:rFonts w:ascii="Calibri" w:hAnsi="Calibri" w:cs="Calibri"/>
          <w:sz w:val="20"/>
          <w:szCs w:val="20"/>
        </w:rPr>
        <w:t>B</w:t>
      </w:r>
      <w:r w:rsidR="002E6232" w:rsidRPr="002B11F5">
        <w:rPr>
          <w:rFonts w:ascii="Calibri" w:hAnsi="Calibri" w:cs="Calibri"/>
          <w:sz w:val="20"/>
          <w:szCs w:val="20"/>
        </w:rPr>
        <w:t xml:space="preserve">) and </w:t>
      </w:r>
      <w:r w:rsidRPr="002B11F5">
        <w:rPr>
          <w:rFonts w:ascii="Calibri" w:hAnsi="Calibri" w:cs="Calibri"/>
          <w:sz w:val="20"/>
          <w:szCs w:val="20"/>
        </w:rPr>
        <w:t xml:space="preserve">the </w:t>
      </w:r>
      <w:r w:rsidR="00EF3B56" w:rsidRPr="002B11F5">
        <w:rPr>
          <w:rFonts w:ascii="Calibri" w:hAnsi="Calibri" w:cs="Calibri"/>
          <w:sz w:val="20"/>
          <w:szCs w:val="20"/>
        </w:rPr>
        <w:t xml:space="preserve">Annual Plan (Annex </w:t>
      </w:r>
      <w:r w:rsidR="00771BE6" w:rsidRPr="002B11F5">
        <w:rPr>
          <w:rFonts w:ascii="Calibri" w:hAnsi="Calibri" w:cs="Calibri"/>
          <w:sz w:val="20"/>
          <w:szCs w:val="20"/>
        </w:rPr>
        <w:t>C</w:t>
      </w:r>
      <w:r w:rsidR="00EF3B56" w:rsidRPr="002B11F5">
        <w:rPr>
          <w:rFonts w:ascii="Calibri" w:hAnsi="Calibri" w:cs="Calibri"/>
          <w:sz w:val="20"/>
          <w:szCs w:val="20"/>
        </w:rPr>
        <w:t>) set</w:t>
      </w:r>
      <w:r w:rsidRPr="002B11F5">
        <w:rPr>
          <w:rFonts w:ascii="Calibri" w:hAnsi="Calibri" w:cs="Calibri"/>
          <w:sz w:val="20"/>
          <w:szCs w:val="20"/>
        </w:rPr>
        <w:t>s</w:t>
      </w:r>
      <w:r w:rsidR="00EF3B56" w:rsidRPr="002B11F5">
        <w:rPr>
          <w:rFonts w:ascii="Calibri" w:hAnsi="Calibri" w:cs="Calibri"/>
          <w:sz w:val="20"/>
          <w:szCs w:val="20"/>
        </w:rPr>
        <w:t xml:space="preserve"> out the reviews that will be carried out, the planned times and the scopes for each of these reviews. </w:t>
      </w:r>
    </w:p>
    <w:p w14:paraId="72DD95CA" w14:textId="77777777" w:rsidR="00EF3B56" w:rsidRPr="002B11F5" w:rsidRDefault="00EF3B56" w:rsidP="00EF3B56">
      <w:pPr>
        <w:spacing w:before="120" w:after="120" w:line="271" w:lineRule="auto"/>
        <w:jc w:val="both"/>
        <w:rPr>
          <w:rFonts w:ascii="Calibri" w:hAnsi="Calibri" w:cs="Calibri"/>
          <w:sz w:val="20"/>
          <w:szCs w:val="20"/>
        </w:rPr>
      </w:pPr>
      <w:r w:rsidRPr="002B11F5">
        <w:rPr>
          <w:rFonts w:ascii="Calibri" w:hAnsi="Calibri" w:cs="Calibri"/>
          <w:sz w:val="20"/>
          <w:szCs w:val="20"/>
        </w:rPr>
        <w:t xml:space="preserve">The </w:t>
      </w:r>
      <w:r w:rsidR="002F7FDA" w:rsidRPr="002B11F5">
        <w:rPr>
          <w:rFonts w:ascii="Calibri" w:hAnsi="Calibri" w:cs="Calibri"/>
          <w:sz w:val="20"/>
          <w:szCs w:val="20"/>
        </w:rPr>
        <w:t>Annual</w:t>
      </w:r>
      <w:r w:rsidRPr="002B11F5">
        <w:rPr>
          <w:rFonts w:ascii="Calibri" w:hAnsi="Calibri" w:cs="Calibri"/>
          <w:sz w:val="20"/>
          <w:szCs w:val="20"/>
        </w:rPr>
        <w:t xml:space="preserve"> </w:t>
      </w:r>
      <w:r w:rsidR="002F7FDA" w:rsidRPr="002B11F5">
        <w:rPr>
          <w:rFonts w:ascii="Calibri" w:hAnsi="Calibri" w:cs="Calibri"/>
          <w:sz w:val="20"/>
          <w:szCs w:val="20"/>
        </w:rPr>
        <w:t>P</w:t>
      </w:r>
      <w:r w:rsidRPr="002B11F5">
        <w:rPr>
          <w:rFonts w:ascii="Calibri" w:hAnsi="Calibri" w:cs="Calibri"/>
          <w:sz w:val="20"/>
          <w:szCs w:val="20"/>
        </w:rPr>
        <w:t xml:space="preserve">lan will be subject to ongoing review and could change as the risks change for the organisation and will be formally reviewed with senior management and the </w:t>
      </w:r>
      <w:r w:rsidR="00EF49CE" w:rsidRPr="002B11F5">
        <w:rPr>
          <w:rFonts w:ascii="Calibri" w:hAnsi="Calibri" w:cs="Calibri"/>
          <w:sz w:val="20"/>
          <w:szCs w:val="20"/>
        </w:rPr>
        <w:t xml:space="preserve">Joint </w:t>
      </w:r>
      <w:r w:rsidRPr="002B11F5">
        <w:rPr>
          <w:rFonts w:ascii="Calibri" w:hAnsi="Calibri" w:cs="Calibri"/>
          <w:sz w:val="20"/>
          <w:szCs w:val="20"/>
        </w:rPr>
        <w:t>Audit Committee mid-way through the financial year or should a significant issue arise.</w:t>
      </w:r>
    </w:p>
    <w:p w14:paraId="32699909" w14:textId="216CA225" w:rsidR="000D0EA9" w:rsidRDefault="000D0EA9" w:rsidP="00EF3B56">
      <w:pPr>
        <w:spacing w:before="120" w:after="120" w:line="271" w:lineRule="auto"/>
        <w:jc w:val="both"/>
        <w:rPr>
          <w:rFonts w:ascii="Calibri" w:hAnsi="Calibri" w:cs="Calibri"/>
          <w:sz w:val="20"/>
          <w:szCs w:val="20"/>
        </w:rPr>
      </w:pPr>
    </w:p>
    <w:p w14:paraId="5F9530D1" w14:textId="77777777" w:rsidR="00E25529" w:rsidRPr="002B11F5" w:rsidRDefault="00E25529" w:rsidP="00EF3B56">
      <w:pPr>
        <w:spacing w:before="120" w:after="120" w:line="271" w:lineRule="auto"/>
        <w:jc w:val="both"/>
        <w:rPr>
          <w:rFonts w:ascii="Calibri" w:hAnsi="Calibri" w:cs="Calibri"/>
          <w:sz w:val="20"/>
          <w:szCs w:val="20"/>
        </w:rPr>
      </w:pPr>
    </w:p>
    <w:p w14:paraId="39C85CFF" w14:textId="569F255F" w:rsidR="00EF3B56" w:rsidRPr="002B11F5" w:rsidRDefault="00EF3B56" w:rsidP="00EF3B56">
      <w:pPr>
        <w:spacing w:before="120" w:after="120" w:line="271" w:lineRule="auto"/>
        <w:jc w:val="both"/>
        <w:rPr>
          <w:rFonts w:ascii="Calibri" w:hAnsi="Calibri" w:cs="Calibri"/>
          <w:sz w:val="20"/>
          <w:szCs w:val="20"/>
        </w:rPr>
      </w:pPr>
      <w:r w:rsidRPr="002B11F5">
        <w:rPr>
          <w:rFonts w:ascii="Calibri" w:hAnsi="Calibri" w:cs="Calibri"/>
          <w:sz w:val="20"/>
          <w:szCs w:val="20"/>
        </w:rPr>
        <w:t xml:space="preserve">The </w:t>
      </w:r>
      <w:r w:rsidR="006F60C0" w:rsidRPr="002B11F5">
        <w:rPr>
          <w:rFonts w:ascii="Calibri" w:hAnsi="Calibri" w:cs="Calibri"/>
          <w:sz w:val="20"/>
          <w:szCs w:val="20"/>
        </w:rPr>
        <w:t>overall agreed time for the delivery of the</w:t>
      </w:r>
      <w:r w:rsidRPr="002B11F5">
        <w:rPr>
          <w:rFonts w:ascii="Calibri" w:hAnsi="Calibri" w:cs="Calibri"/>
          <w:sz w:val="20"/>
          <w:szCs w:val="20"/>
        </w:rPr>
        <w:t xml:space="preserve"> Annual Plan includes: research, preparation and issue of terms of reference, </w:t>
      </w:r>
      <w:r w:rsidR="00D904B1" w:rsidRPr="002B11F5">
        <w:rPr>
          <w:rFonts w:ascii="Calibri" w:hAnsi="Calibri" w:cs="Calibri"/>
          <w:sz w:val="20"/>
          <w:szCs w:val="20"/>
        </w:rPr>
        <w:t xml:space="preserve">site work, </w:t>
      </w:r>
      <w:r w:rsidRPr="002B11F5">
        <w:rPr>
          <w:rFonts w:ascii="Calibri" w:hAnsi="Calibri" w:cs="Calibri"/>
          <w:sz w:val="20"/>
          <w:szCs w:val="20"/>
        </w:rPr>
        <w:t>production and revie</w:t>
      </w:r>
      <w:r w:rsidR="00D904B1" w:rsidRPr="002B11F5">
        <w:rPr>
          <w:rFonts w:ascii="Calibri" w:hAnsi="Calibri" w:cs="Calibri"/>
          <w:sz w:val="20"/>
          <w:szCs w:val="20"/>
        </w:rPr>
        <w:t>w of working papers and reports</w:t>
      </w:r>
      <w:r w:rsidRPr="002B11F5">
        <w:rPr>
          <w:rFonts w:ascii="Calibri" w:hAnsi="Calibri" w:cs="Calibri"/>
          <w:sz w:val="20"/>
          <w:szCs w:val="20"/>
        </w:rPr>
        <w:t xml:space="preserve">. The Annual Plan </w:t>
      </w:r>
      <w:r w:rsidR="006F60C0" w:rsidRPr="002B11F5">
        <w:rPr>
          <w:rFonts w:ascii="Calibri" w:hAnsi="Calibri" w:cs="Calibri"/>
          <w:sz w:val="20"/>
          <w:szCs w:val="20"/>
        </w:rPr>
        <w:t xml:space="preserve">has been prepared on the </w:t>
      </w:r>
      <w:r w:rsidRPr="002B11F5">
        <w:rPr>
          <w:rFonts w:ascii="Calibri" w:hAnsi="Calibri" w:cs="Calibri"/>
          <w:sz w:val="20"/>
          <w:szCs w:val="20"/>
        </w:rPr>
        <w:t>assum</w:t>
      </w:r>
      <w:r w:rsidR="006F60C0" w:rsidRPr="002B11F5">
        <w:rPr>
          <w:rFonts w:ascii="Calibri" w:hAnsi="Calibri" w:cs="Calibri"/>
          <w:sz w:val="20"/>
          <w:szCs w:val="20"/>
        </w:rPr>
        <w:t>ption</w:t>
      </w:r>
      <w:r w:rsidRPr="002B11F5">
        <w:rPr>
          <w:rFonts w:ascii="Calibri" w:hAnsi="Calibri" w:cs="Calibri"/>
          <w:sz w:val="20"/>
          <w:szCs w:val="20"/>
        </w:rPr>
        <w:t xml:space="preserve"> that the expected controls will be in place. </w:t>
      </w:r>
    </w:p>
    <w:p w14:paraId="56A46ACB" w14:textId="1C76C035" w:rsidR="002D640A" w:rsidRPr="002B11F5" w:rsidRDefault="002D640A" w:rsidP="002D640A">
      <w:pPr>
        <w:spacing w:before="120" w:after="120" w:line="271" w:lineRule="auto"/>
        <w:jc w:val="both"/>
        <w:rPr>
          <w:rFonts w:ascii="Calibri" w:hAnsi="Calibri" w:cs="Calibri"/>
          <w:sz w:val="20"/>
          <w:szCs w:val="20"/>
        </w:rPr>
      </w:pPr>
      <w:r w:rsidRPr="002B11F5">
        <w:rPr>
          <w:rFonts w:ascii="Calibri" w:hAnsi="Calibri" w:cs="Calibri"/>
          <w:sz w:val="20"/>
          <w:szCs w:val="20"/>
        </w:rPr>
        <w:t xml:space="preserve">The total number of days required to deliver the Audit Plan is as agreed in the contract between TIAA and </w:t>
      </w:r>
      <w:r w:rsidR="00EF49CE"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Police</w:t>
      </w:r>
      <w:r w:rsidRPr="002B11F5">
        <w:rPr>
          <w:rFonts w:ascii="Calibri" w:hAnsi="Calibri" w:cs="Calibri"/>
          <w:sz w:val="20"/>
          <w:szCs w:val="20"/>
        </w:rPr>
        <w:t xml:space="preserve">. This number of days is fixed and it is TIAA’s responsibility to deliver the Audit Plan for this number of days. Where </w:t>
      </w:r>
      <w:r w:rsidR="00EF49CE"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EF49CE" w:rsidRPr="002B11F5">
        <w:rPr>
          <w:rFonts w:ascii="Calibri" w:hAnsi="Calibri" w:cs="Calibri"/>
          <w:sz w:val="20"/>
          <w:szCs w:val="20"/>
        </w:rPr>
        <w:t xml:space="preserve"> Police</w:t>
      </w:r>
      <w:r w:rsidRPr="002B11F5">
        <w:rPr>
          <w:rFonts w:ascii="Calibri" w:hAnsi="Calibri" w:cs="Calibri"/>
          <w:sz w:val="20"/>
          <w:szCs w:val="20"/>
        </w:rPr>
        <w:t xml:space="preserve"> agrees additional work the required number of days and the aggregate day rate will be agreed in advance with the </w:t>
      </w:r>
      <w:r w:rsidR="002B11F5" w:rsidRPr="002B11F5">
        <w:rPr>
          <w:rFonts w:ascii="Calibri" w:hAnsi="Calibri" w:cs="Calibri"/>
          <w:sz w:val="20"/>
          <w:szCs w:val="20"/>
        </w:rPr>
        <w:t>Chief</w:t>
      </w:r>
      <w:r w:rsidRPr="002B11F5">
        <w:rPr>
          <w:rFonts w:ascii="Calibri" w:hAnsi="Calibri" w:cs="Calibri"/>
          <w:sz w:val="20"/>
          <w:szCs w:val="20"/>
        </w:rPr>
        <w:t xml:space="preserve"> Finance </w:t>
      </w:r>
      <w:r w:rsidR="002B11F5" w:rsidRPr="002B11F5">
        <w:rPr>
          <w:rFonts w:ascii="Calibri" w:hAnsi="Calibri" w:cs="Calibri"/>
          <w:sz w:val="20"/>
          <w:szCs w:val="20"/>
        </w:rPr>
        <w:t xml:space="preserve">Officer </w:t>
      </w:r>
      <w:r w:rsidRPr="002B11F5">
        <w:rPr>
          <w:rFonts w:ascii="Calibri" w:hAnsi="Calibri" w:cs="Calibri"/>
          <w:sz w:val="20"/>
          <w:szCs w:val="20"/>
        </w:rPr>
        <w:t>and will be clearly set out in the terms of reference for the additional review(s).</w:t>
      </w:r>
    </w:p>
    <w:p w14:paraId="7CA1C482" w14:textId="498CCFB2" w:rsidR="00E4620C" w:rsidRPr="002B11F5" w:rsidRDefault="00E4620C" w:rsidP="00B91E0E">
      <w:pPr>
        <w:spacing w:before="120" w:after="120" w:line="271" w:lineRule="auto"/>
        <w:rPr>
          <w:rFonts w:ascii="Calibri" w:eastAsia="Calibri" w:hAnsi="Calibri" w:cs="Calibri"/>
          <w:b/>
          <w:color w:val="163D82"/>
          <w:szCs w:val="20"/>
          <w:lang w:eastAsia="en-GB"/>
        </w:rPr>
      </w:pPr>
      <w:r w:rsidRPr="002B11F5">
        <w:rPr>
          <w:rFonts w:ascii="Calibri" w:eastAsia="Calibri" w:hAnsi="Calibri" w:cs="Calibri"/>
          <w:b/>
          <w:color w:val="163D82"/>
          <w:szCs w:val="20"/>
          <w:lang w:eastAsia="en-GB"/>
        </w:rPr>
        <w:t>Audit Remit</w:t>
      </w:r>
      <w:r w:rsidR="00572993" w:rsidRPr="002B11F5">
        <w:rPr>
          <w:rFonts w:ascii="Calibri" w:eastAsia="Calibri" w:hAnsi="Calibri" w:cs="Calibri"/>
          <w:b/>
          <w:color w:val="163D82"/>
          <w:szCs w:val="20"/>
          <w:lang w:eastAsia="en-GB"/>
        </w:rPr>
        <w:t xml:space="preserve">/Charter for </w:t>
      </w:r>
      <w:r w:rsidR="0096010B">
        <w:rPr>
          <w:rFonts w:ascii="Calibri" w:eastAsia="Calibri" w:hAnsi="Calibri" w:cs="Calibri"/>
          <w:b/>
          <w:color w:val="163D82"/>
          <w:szCs w:val="20"/>
          <w:lang w:eastAsia="en-GB"/>
        </w:rPr>
        <w:t>Police</w:t>
      </w:r>
    </w:p>
    <w:p w14:paraId="64FCBC77" w14:textId="0E867F90" w:rsidR="00E4620C" w:rsidRPr="002B11F5" w:rsidRDefault="00E4620C" w:rsidP="00E4620C">
      <w:pPr>
        <w:spacing w:before="120" w:after="120" w:line="271" w:lineRule="auto"/>
        <w:jc w:val="both"/>
        <w:rPr>
          <w:rFonts w:ascii="Calibri" w:hAnsi="Calibri" w:cs="Calibri"/>
          <w:sz w:val="20"/>
          <w:szCs w:val="20"/>
        </w:rPr>
      </w:pPr>
      <w:r w:rsidRPr="002B11F5">
        <w:rPr>
          <w:rFonts w:ascii="Calibri" w:hAnsi="Calibri" w:cs="Calibri"/>
          <w:sz w:val="20"/>
          <w:szCs w:val="20"/>
        </w:rPr>
        <w:t>The Audit Remit</w:t>
      </w:r>
      <w:r w:rsidR="00937937" w:rsidRPr="002B11F5">
        <w:rPr>
          <w:rFonts w:ascii="Calibri" w:hAnsi="Calibri" w:cs="Calibri"/>
          <w:sz w:val="20"/>
          <w:szCs w:val="20"/>
        </w:rPr>
        <w:t xml:space="preserve">/Charter </w:t>
      </w:r>
      <w:r w:rsidRPr="002B11F5">
        <w:rPr>
          <w:rFonts w:ascii="Calibri" w:hAnsi="Calibri" w:cs="Calibri"/>
          <w:sz w:val="20"/>
          <w:szCs w:val="20"/>
        </w:rPr>
        <w:t xml:space="preserve">(Annex </w:t>
      </w:r>
      <w:r w:rsidR="00771BE6" w:rsidRPr="002B11F5">
        <w:rPr>
          <w:rFonts w:ascii="Calibri" w:hAnsi="Calibri" w:cs="Calibri"/>
          <w:sz w:val="20"/>
          <w:szCs w:val="20"/>
        </w:rPr>
        <w:t>D</w:t>
      </w:r>
      <w:r w:rsidRPr="002B11F5">
        <w:rPr>
          <w:rFonts w:ascii="Calibri" w:hAnsi="Calibri" w:cs="Calibri"/>
          <w:sz w:val="20"/>
          <w:szCs w:val="20"/>
        </w:rPr>
        <w:t xml:space="preserve">) formally defines internal audit’s purpose, authority and responsibility. It establishes internal audit’s position within </w:t>
      </w:r>
      <w:r w:rsidR="005F1B6D"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Police</w:t>
      </w:r>
      <w:r w:rsidR="00301342" w:rsidRPr="002B11F5">
        <w:rPr>
          <w:rFonts w:ascii="Calibri" w:hAnsi="Calibri" w:cs="Calibri"/>
          <w:sz w:val="20"/>
          <w:szCs w:val="20"/>
        </w:rPr>
        <w:t xml:space="preserve"> </w:t>
      </w:r>
      <w:r w:rsidRPr="002B11F5">
        <w:rPr>
          <w:rFonts w:ascii="Calibri" w:hAnsi="Calibri" w:cs="Calibri"/>
          <w:sz w:val="20"/>
          <w:szCs w:val="20"/>
        </w:rPr>
        <w:t>and defines the scope of internal audit activities</w:t>
      </w:r>
      <w:r w:rsidR="003159D6" w:rsidRPr="002B11F5">
        <w:rPr>
          <w:rFonts w:ascii="Calibri" w:hAnsi="Calibri" w:cs="Calibri"/>
          <w:sz w:val="20"/>
          <w:szCs w:val="20"/>
        </w:rPr>
        <w:t>.</w:t>
      </w:r>
    </w:p>
    <w:p w14:paraId="4ED70A34" w14:textId="77777777" w:rsidR="00EF3B56" w:rsidRPr="002B11F5" w:rsidRDefault="004C3870" w:rsidP="00B91E0E">
      <w:pPr>
        <w:spacing w:before="120" w:after="120" w:line="271" w:lineRule="auto"/>
        <w:rPr>
          <w:rFonts w:ascii="Calibri" w:eastAsia="Calibri" w:hAnsi="Calibri" w:cs="Calibri"/>
          <w:b/>
          <w:color w:val="163D82"/>
          <w:szCs w:val="20"/>
          <w:lang w:eastAsia="en-GB"/>
        </w:rPr>
      </w:pPr>
      <w:r w:rsidRPr="002B11F5">
        <w:rPr>
          <w:rFonts w:ascii="Calibri" w:eastAsia="Calibri" w:hAnsi="Calibri" w:cs="Calibri"/>
          <w:b/>
          <w:color w:val="163D82"/>
          <w:szCs w:val="20"/>
          <w:lang w:eastAsia="en-GB"/>
        </w:rPr>
        <w:t>Reporting</w:t>
      </w:r>
    </w:p>
    <w:p w14:paraId="2AAF5917" w14:textId="77777777" w:rsidR="00EF3B56" w:rsidRPr="002B11F5" w:rsidRDefault="00EF3B56" w:rsidP="00EF3B56">
      <w:pPr>
        <w:spacing w:before="120" w:after="120" w:line="271" w:lineRule="auto"/>
        <w:jc w:val="both"/>
        <w:rPr>
          <w:rFonts w:ascii="Calibri" w:hAnsi="Calibri" w:cs="Calibri"/>
          <w:sz w:val="20"/>
          <w:szCs w:val="20"/>
        </w:rPr>
      </w:pPr>
      <w:r w:rsidRPr="002B11F5">
        <w:rPr>
          <w:rFonts w:ascii="Calibri" w:hAnsi="Calibri" w:cs="Calibri"/>
          <w:b/>
          <w:sz w:val="20"/>
          <w:szCs w:val="20"/>
        </w:rPr>
        <w:t>Assignment Reports:</w:t>
      </w:r>
      <w:r w:rsidRPr="002B11F5">
        <w:rPr>
          <w:rFonts w:ascii="Calibri" w:hAnsi="Calibri" w:cs="Calibri"/>
          <w:sz w:val="20"/>
          <w:szCs w:val="20"/>
        </w:rPr>
        <w:t xml:space="preserve"> A separate report will be prepared for each review carried out. Each report will be prepared in accordance with the arrangements contained in the Terms of Reference agreed with TIAA and which accord with the requirements of </w:t>
      </w:r>
      <w:r w:rsidR="00427C7C" w:rsidRPr="002B11F5">
        <w:rPr>
          <w:rFonts w:ascii="Calibri" w:hAnsi="Calibri" w:cs="Calibri"/>
          <w:sz w:val="20"/>
          <w:szCs w:val="20"/>
        </w:rPr>
        <w:t xml:space="preserve">TIAA’s audit charter and the </w:t>
      </w:r>
      <w:r w:rsidR="005F1B6D" w:rsidRPr="002B11F5">
        <w:rPr>
          <w:rFonts w:ascii="Calibri" w:hAnsi="Calibri" w:cs="Calibri"/>
          <w:sz w:val="20"/>
          <w:szCs w:val="20"/>
        </w:rPr>
        <w:t>PSIAS</w:t>
      </w:r>
      <w:r w:rsidR="00427C7C" w:rsidRPr="002B11F5">
        <w:rPr>
          <w:rFonts w:ascii="Calibri" w:hAnsi="Calibri" w:cs="Calibri"/>
          <w:sz w:val="20"/>
          <w:szCs w:val="20"/>
        </w:rPr>
        <w:t>.</w:t>
      </w:r>
      <w:r w:rsidRPr="002B11F5">
        <w:rPr>
          <w:rFonts w:ascii="Calibri" w:hAnsi="Calibri" w:cs="Calibri"/>
          <w:sz w:val="20"/>
          <w:szCs w:val="20"/>
        </w:rPr>
        <w:t xml:space="preserve"> </w:t>
      </w:r>
    </w:p>
    <w:p w14:paraId="23F985EC" w14:textId="77777777" w:rsidR="00EF3B56" w:rsidRPr="002B11F5" w:rsidRDefault="00EF3B56" w:rsidP="00EF3B56">
      <w:pPr>
        <w:spacing w:before="120" w:after="120" w:line="271" w:lineRule="auto"/>
        <w:jc w:val="both"/>
        <w:rPr>
          <w:rFonts w:ascii="Calibri" w:hAnsi="Calibri" w:cs="Calibri"/>
          <w:sz w:val="20"/>
          <w:szCs w:val="20"/>
        </w:rPr>
      </w:pPr>
      <w:r w:rsidRPr="002B11F5">
        <w:rPr>
          <w:rFonts w:ascii="Calibri" w:hAnsi="Calibri" w:cs="Calibri"/>
          <w:b/>
          <w:sz w:val="20"/>
          <w:szCs w:val="20"/>
        </w:rPr>
        <w:t>Progress Reports:</w:t>
      </w:r>
      <w:r w:rsidRPr="002B11F5">
        <w:rPr>
          <w:rFonts w:ascii="Calibri" w:hAnsi="Calibri" w:cs="Calibri"/>
          <w:color w:val="163D82"/>
          <w:sz w:val="20"/>
          <w:szCs w:val="20"/>
        </w:rPr>
        <w:t xml:space="preserve"> </w:t>
      </w:r>
      <w:r w:rsidRPr="002B11F5">
        <w:rPr>
          <w:rFonts w:ascii="Calibri" w:hAnsi="Calibri" w:cs="Calibri"/>
          <w:sz w:val="20"/>
          <w:szCs w:val="20"/>
        </w:rPr>
        <w:t xml:space="preserve">Progress reports will be prepared for each </w:t>
      </w:r>
      <w:r w:rsidR="005F1B6D" w:rsidRPr="002B11F5">
        <w:rPr>
          <w:rFonts w:ascii="Calibri" w:hAnsi="Calibri" w:cs="Calibri"/>
          <w:sz w:val="20"/>
          <w:szCs w:val="20"/>
        </w:rPr>
        <w:t xml:space="preserve">Joint </w:t>
      </w:r>
      <w:r w:rsidRPr="002B11F5">
        <w:rPr>
          <w:rFonts w:ascii="Calibri" w:hAnsi="Calibri" w:cs="Calibri"/>
          <w:sz w:val="20"/>
          <w:szCs w:val="20"/>
        </w:rPr>
        <w:t>Audit</w:t>
      </w:r>
      <w:r w:rsidR="00923712" w:rsidRPr="002B11F5">
        <w:rPr>
          <w:rFonts w:ascii="Calibri" w:hAnsi="Calibri" w:cs="Calibri"/>
          <w:sz w:val="20"/>
          <w:szCs w:val="20"/>
        </w:rPr>
        <w:t xml:space="preserve"> </w:t>
      </w:r>
      <w:r w:rsidRPr="002B11F5">
        <w:rPr>
          <w:rFonts w:ascii="Calibri" w:hAnsi="Calibri" w:cs="Calibri"/>
          <w:sz w:val="20"/>
          <w:szCs w:val="20"/>
        </w:rPr>
        <w:t>Committee meeting. Each report will detail progress achieved to date against the agreed annual plan</w:t>
      </w:r>
      <w:r w:rsidR="006F60C0" w:rsidRPr="002B11F5">
        <w:rPr>
          <w:rFonts w:ascii="Calibri" w:hAnsi="Calibri" w:cs="Calibri"/>
          <w:sz w:val="20"/>
          <w:szCs w:val="20"/>
        </w:rPr>
        <w:t>.</w:t>
      </w:r>
    </w:p>
    <w:p w14:paraId="36937BE9" w14:textId="4D5C5370" w:rsidR="00E84B01" w:rsidRPr="00FE095C" w:rsidRDefault="00EF3B56" w:rsidP="00E84B01">
      <w:pPr>
        <w:spacing w:before="120" w:after="120" w:line="271" w:lineRule="auto"/>
        <w:jc w:val="both"/>
        <w:rPr>
          <w:rFonts w:ascii="Calibri" w:hAnsi="Calibri" w:cs="Calibri"/>
          <w:sz w:val="20"/>
          <w:szCs w:val="20"/>
        </w:rPr>
      </w:pPr>
      <w:r w:rsidRPr="002B11F5">
        <w:rPr>
          <w:rFonts w:ascii="Calibri" w:hAnsi="Calibri" w:cs="Calibri"/>
          <w:b/>
          <w:sz w:val="20"/>
          <w:szCs w:val="20"/>
        </w:rPr>
        <w:t>Annual Report:</w:t>
      </w:r>
      <w:r w:rsidRPr="002B11F5">
        <w:rPr>
          <w:rFonts w:ascii="Calibri" w:hAnsi="Calibri" w:cs="Calibri"/>
          <w:sz w:val="20"/>
          <w:szCs w:val="20"/>
        </w:rPr>
        <w:t xml:space="preserve"> An Annual Report will be prepared for each year in accordance with the requirements set out in </w:t>
      </w:r>
      <w:r w:rsidR="00427C7C" w:rsidRPr="002B11F5">
        <w:rPr>
          <w:rFonts w:ascii="Calibri" w:hAnsi="Calibri" w:cs="Calibri"/>
          <w:sz w:val="20"/>
          <w:szCs w:val="20"/>
        </w:rPr>
        <w:t xml:space="preserve">TIAA’s audit charter and the </w:t>
      </w:r>
      <w:r w:rsidR="005F1B6D" w:rsidRPr="002B11F5">
        <w:rPr>
          <w:rFonts w:ascii="Calibri" w:hAnsi="Calibri" w:cs="Calibri"/>
          <w:sz w:val="20"/>
          <w:szCs w:val="20"/>
        </w:rPr>
        <w:t>PSIAS</w:t>
      </w:r>
      <w:r w:rsidRPr="002B11F5">
        <w:rPr>
          <w:rFonts w:ascii="Calibri" w:hAnsi="Calibri" w:cs="Calibri"/>
          <w:sz w:val="20"/>
          <w:szCs w:val="20"/>
        </w:rPr>
        <w:t xml:space="preserve">. The Annual Report will include </w:t>
      </w:r>
      <w:r w:rsidR="00572993" w:rsidRPr="002B11F5">
        <w:rPr>
          <w:rFonts w:ascii="Calibri" w:hAnsi="Calibri" w:cs="Calibri"/>
          <w:sz w:val="20"/>
          <w:szCs w:val="20"/>
        </w:rPr>
        <w:t>a summary</w:t>
      </w:r>
      <w:r w:rsidRPr="002B11F5">
        <w:rPr>
          <w:rFonts w:ascii="Calibri" w:hAnsi="Calibri" w:cs="Calibri"/>
          <w:sz w:val="20"/>
          <w:szCs w:val="20"/>
        </w:rPr>
        <w:t xml:space="preserve"> opinion of the effectiveness of </w:t>
      </w:r>
      <w:r w:rsidR="005F1B6D"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Police</w:t>
      </w:r>
      <w:r w:rsidRPr="002B11F5">
        <w:rPr>
          <w:rFonts w:ascii="Calibri" w:hAnsi="Calibri" w:cs="Calibri"/>
          <w:sz w:val="20"/>
          <w:szCs w:val="20"/>
        </w:rPr>
        <w:t>’s governance, risk management an</w:t>
      </w:r>
      <w:r w:rsidR="00572993" w:rsidRPr="002B11F5">
        <w:rPr>
          <w:rFonts w:ascii="Calibri" w:hAnsi="Calibri" w:cs="Calibri"/>
          <w:sz w:val="20"/>
          <w:szCs w:val="20"/>
        </w:rPr>
        <w:t>d operational</w:t>
      </w:r>
      <w:r w:rsidR="00572993" w:rsidRPr="00FE095C">
        <w:rPr>
          <w:rFonts w:ascii="Calibri" w:hAnsi="Calibri" w:cs="Calibri"/>
          <w:sz w:val="20"/>
          <w:szCs w:val="20"/>
        </w:rPr>
        <w:t xml:space="preserve"> control processes based on the work completed during the year.</w:t>
      </w:r>
    </w:p>
    <w:p w14:paraId="530576EE" w14:textId="77777777" w:rsidR="002F7FDA" w:rsidRPr="00FE095C" w:rsidRDefault="002F7FDA" w:rsidP="00E84B01">
      <w:pPr>
        <w:spacing w:before="120" w:after="120" w:line="271" w:lineRule="auto"/>
        <w:jc w:val="both"/>
        <w:rPr>
          <w:rFonts w:ascii="Calibri" w:hAnsi="Calibri" w:cs="Calibri"/>
          <w:sz w:val="20"/>
          <w:szCs w:val="20"/>
        </w:rPr>
      </w:pPr>
      <w:r w:rsidRPr="00FE095C">
        <w:rPr>
          <w:rFonts w:ascii="Calibri" w:hAnsi="Calibri" w:cs="Calibri"/>
          <w:b/>
          <w:sz w:val="20"/>
          <w:szCs w:val="20"/>
        </w:rPr>
        <w:t>Other Briefings:</w:t>
      </w:r>
      <w:r w:rsidRPr="00FE095C">
        <w:rPr>
          <w:rFonts w:ascii="Calibri" w:hAnsi="Calibri" w:cs="Calibri"/>
          <w:sz w:val="20"/>
          <w:szCs w:val="20"/>
        </w:rPr>
        <w:t xml:space="preserve"> During the year Client Briefing Notes, Benchmarking and lessons learned digests will be provided. These are designed to keep the organisation abreast of in-year developments which may impact on the governance, risk and control assurance framework.</w:t>
      </w:r>
    </w:p>
    <w:p w14:paraId="13B067C6" w14:textId="77777777" w:rsidR="002F7FDA" w:rsidRPr="00FE095C" w:rsidRDefault="00D904B1"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lastRenderedPageBreak/>
        <w:t xml:space="preserve">Providing </w:t>
      </w:r>
      <w:r w:rsidR="002F7FDA" w:rsidRPr="00FE095C">
        <w:rPr>
          <w:rFonts w:ascii="Calibri" w:eastAsia="Calibri" w:hAnsi="Calibri" w:cs="Calibri"/>
          <w:b/>
          <w:color w:val="163D82"/>
          <w:szCs w:val="20"/>
          <w:lang w:eastAsia="en-GB"/>
        </w:rPr>
        <w:t>Assurance</w:t>
      </w:r>
    </w:p>
    <w:p w14:paraId="7189CC33" w14:textId="77777777" w:rsidR="002F7FDA" w:rsidRPr="00FE095C" w:rsidRDefault="002F7FDA" w:rsidP="002F7FDA">
      <w:pPr>
        <w:spacing w:before="120" w:after="120" w:line="271" w:lineRule="auto"/>
        <w:jc w:val="both"/>
        <w:rPr>
          <w:rFonts w:ascii="Calibri" w:hAnsi="Calibri" w:cs="Calibri"/>
          <w:sz w:val="20"/>
          <w:szCs w:val="20"/>
        </w:rPr>
      </w:pPr>
      <w:r w:rsidRPr="00FE095C">
        <w:rPr>
          <w:rFonts w:ascii="Calibri" w:hAnsi="Calibri" w:cs="Calibri"/>
          <w:sz w:val="20"/>
          <w:szCs w:val="20"/>
        </w:rPr>
        <w:t xml:space="preserve">For each assurance review an assessment of the combined effectiveness of the controls in mitigating the key control risks will be provided. The assurance </w:t>
      </w:r>
      <w:r w:rsidR="00D904B1" w:rsidRPr="00FE095C">
        <w:rPr>
          <w:rFonts w:ascii="Calibri" w:hAnsi="Calibri" w:cs="Calibri"/>
          <w:sz w:val="20"/>
          <w:szCs w:val="20"/>
        </w:rPr>
        <w:t>assessment</w:t>
      </w:r>
      <w:r w:rsidRPr="00FE095C">
        <w:rPr>
          <w:rFonts w:ascii="Calibri" w:hAnsi="Calibri" w:cs="Calibri"/>
          <w:sz w:val="20"/>
          <w:szCs w:val="20"/>
        </w:rPr>
        <w:t xml:space="preserve"> process is set out in Annex </w:t>
      </w:r>
      <w:r w:rsidR="00D904B1" w:rsidRPr="00FE095C">
        <w:rPr>
          <w:rFonts w:ascii="Calibri" w:hAnsi="Calibri" w:cs="Calibri"/>
          <w:sz w:val="20"/>
          <w:szCs w:val="20"/>
        </w:rPr>
        <w:t>D</w:t>
      </w:r>
      <w:r w:rsidRPr="00FE095C">
        <w:rPr>
          <w:rFonts w:ascii="Calibri" w:hAnsi="Calibri" w:cs="Calibri"/>
          <w:sz w:val="20"/>
          <w:szCs w:val="20"/>
        </w:rPr>
        <w:t>.</w:t>
      </w:r>
    </w:p>
    <w:p w14:paraId="4E6BC659" w14:textId="77777777" w:rsidR="002F7FDA" w:rsidRPr="00FE095C" w:rsidRDefault="002F7FDA"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 xml:space="preserve">Liaison with the External Auditor </w:t>
      </w:r>
    </w:p>
    <w:p w14:paraId="17A52E0F" w14:textId="3C0F069D" w:rsidR="00D904B1" w:rsidRPr="00FE095C" w:rsidRDefault="002F7FDA" w:rsidP="00572993">
      <w:pPr>
        <w:spacing w:before="120" w:after="120" w:line="271" w:lineRule="auto"/>
        <w:jc w:val="both"/>
        <w:rPr>
          <w:rFonts w:ascii="Calibri" w:hAnsi="Calibri" w:cs="Calibri"/>
          <w:sz w:val="20"/>
          <w:szCs w:val="20"/>
        </w:rPr>
      </w:pPr>
      <w:r w:rsidRPr="00FE095C">
        <w:rPr>
          <w:rFonts w:ascii="Calibri" w:hAnsi="Calibri" w:cs="Calibri"/>
          <w:sz w:val="20"/>
          <w:szCs w:val="20"/>
        </w:rPr>
        <w:t xml:space="preserve">We will liaise with </w:t>
      </w:r>
      <w:r w:rsidR="005F1B6D">
        <w:rPr>
          <w:rFonts w:ascii="Calibri" w:hAnsi="Calibri" w:cs="Calibri"/>
          <w:sz w:val="20"/>
          <w:szCs w:val="20"/>
        </w:rPr>
        <w:t xml:space="preserve">the </w:t>
      </w:r>
      <w:r w:rsidR="005F1B6D" w:rsidRPr="002B11F5">
        <w:rPr>
          <w:rFonts w:ascii="Calibri" w:hAnsi="Calibri" w:cs="Calibri"/>
          <w:sz w:val="20"/>
          <w:szCs w:val="20"/>
        </w:rPr>
        <w:t xml:space="preserve">Police and Crime Commissioner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Police</w:t>
      </w:r>
      <w:r w:rsidRPr="002B11F5">
        <w:rPr>
          <w:rFonts w:ascii="Calibri" w:hAnsi="Calibri" w:cs="Calibri"/>
          <w:sz w:val="20"/>
          <w:szCs w:val="20"/>
        </w:rPr>
        <w:t>’s External Auditor. Any matters in the areas included in the Annual Plan that are identified by the external</w:t>
      </w:r>
      <w:r w:rsidRPr="00FE095C">
        <w:rPr>
          <w:rFonts w:ascii="Calibri" w:hAnsi="Calibri" w:cs="Calibri"/>
          <w:sz w:val="20"/>
          <w:szCs w:val="20"/>
        </w:rPr>
        <w:t xml:space="preserve"> auditor in their audit management letters will be included in the scope of the appropriate review.</w:t>
      </w:r>
    </w:p>
    <w:p w14:paraId="36E4B43D" w14:textId="77777777" w:rsidR="00EF3B56" w:rsidRPr="00FE095C" w:rsidRDefault="00D8563B" w:rsidP="00B91E0E">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Performance</w:t>
      </w:r>
    </w:p>
    <w:p w14:paraId="7EE36A3D" w14:textId="77777777" w:rsidR="00526E86" w:rsidRPr="00FE095C" w:rsidRDefault="00EF3B56" w:rsidP="00EF3B56">
      <w:pPr>
        <w:spacing w:before="120" w:after="120" w:line="271" w:lineRule="auto"/>
        <w:jc w:val="both"/>
        <w:rPr>
          <w:rFonts w:ascii="Calibri" w:hAnsi="Calibri" w:cs="Calibri"/>
          <w:sz w:val="20"/>
          <w:szCs w:val="20"/>
        </w:rPr>
      </w:pPr>
      <w:r w:rsidRPr="00FE095C">
        <w:rPr>
          <w:rFonts w:ascii="Calibri" w:hAnsi="Calibri" w:cs="Calibri"/>
          <w:sz w:val="20"/>
          <w:szCs w:val="20"/>
        </w:rPr>
        <w:t>The following Performance Targets will be used to measure the performance of internal audit in delivering the Annual Plan:</w:t>
      </w:r>
    </w:p>
    <w:tbl>
      <w:tblPr>
        <w:tblW w:w="7513" w:type="dxa"/>
        <w:tblInd w:w="-2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000" w:firstRow="0" w:lastRow="0" w:firstColumn="0" w:lastColumn="0" w:noHBand="0" w:noVBand="0"/>
      </w:tblPr>
      <w:tblGrid>
        <w:gridCol w:w="2127"/>
        <w:gridCol w:w="4394"/>
        <w:gridCol w:w="992"/>
      </w:tblGrid>
      <w:tr w:rsidR="00EF3B56" w:rsidRPr="00FE095C" w14:paraId="4D84BB28" w14:textId="77777777" w:rsidTr="009D38C7">
        <w:trPr>
          <w:tblHeader/>
        </w:trPr>
        <w:tc>
          <w:tcPr>
            <w:tcW w:w="2127" w:type="dxa"/>
            <w:tcBorders>
              <w:top w:val="single" w:sz="18" w:space="0" w:color="FFFFFF"/>
              <w:left w:val="single" w:sz="18" w:space="0" w:color="FFFFFF"/>
              <w:bottom w:val="single" w:sz="18" w:space="0" w:color="FFFFFF"/>
              <w:right w:val="single" w:sz="18" w:space="0" w:color="FFFFFF"/>
            </w:tcBorders>
            <w:shd w:val="clear" w:color="auto" w:fill="D9D9D9"/>
            <w:vAlign w:val="center"/>
          </w:tcPr>
          <w:p w14:paraId="756F9D71" w14:textId="77777777" w:rsidR="00EF3B56" w:rsidRPr="00FE095C" w:rsidRDefault="00EF3B56" w:rsidP="007D4A80">
            <w:pPr>
              <w:spacing w:before="60" w:after="60"/>
              <w:jc w:val="center"/>
              <w:rPr>
                <w:rFonts w:ascii="Calibri" w:hAnsi="Calibri" w:cs="Calibri"/>
                <w:b/>
                <w:bCs/>
                <w:color w:val="163D82"/>
                <w:sz w:val="18"/>
                <w:szCs w:val="16"/>
              </w:rPr>
            </w:pPr>
            <w:r w:rsidRPr="00FE095C">
              <w:rPr>
                <w:rFonts w:ascii="Calibri" w:hAnsi="Calibri" w:cs="Calibri"/>
                <w:b/>
                <w:bCs/>
                <w:color w:val="163D82"/>
                <w:sz w:val="18"/>
                <w:szCs w:val="16"/>
              </w:rPr>
              <w:t>Area</w:t>
            </w:r>
          </w:p>
        </w:tc>
        <w:tc>
          <w:tcPr>
            <w:tcW w:w="4394" w:type="dxa"/>
            <w:tcBorders>
              <w:top w:val="single" w:sz="18" w:space="0" w:color="FFFFFF"/>
              <w:left w:val="single" w:sz="18" w:space="0" w:color="FFFFFF"/>
              <w:bottom w:val="single" w:sz="18" w:space="0" w:color="FFFFFF"/>
              <w:right w:val="single" w:sz="18" w:space="0" w:color="FFFFFF"/>
            </w:tcBorders>
            <w:shd w:val="clear" w:color="auto" w:fill="D9D9D9"/>
            <w:vAlign w:val="center"/>
          </w:tcPr>
          <w:p w14:paraId="55F7FED9" w14:textId="77777777" w:rsidR="00EF3B56" w:rsidRPr="00FE095C" w:rsidRDefault="00EF3B56" w:rsidP="007D4A80">
            <w:pPr>
              <w:spacing w:before="60" w:after="60"/>
              <w:jc w:val="center"/>
              <w:rPr>
                <w:rFonts w:ascii="Calibri" w:hAnsi="Calibri" w:cs="Calibri"/>
                <w:b/>
                <w:bCs/>
                <w:color w:val="163D82"/>
                <w:sz w:val="18"/>
                <w:szCs w:val="16"/>
              </w:rPr>
            </w:pPr>
            <w:r w:rsidRPr="00FE095C">
              <w:rPr>
                <w:rFonts w:ascii="Calibri" w:hAnsi="Calibri" w:cs="Calibri"/>
                <w:b/>
                <w:bCs/>
                <w:color w:val="163D82"/>
                <w:sz w:val="18"/>
                <w:szCs w:val="16"/>
              </w:rPr>
              <w:t>Performance Measure</w:t>
            </w:r>
          </w:p>
        </w:tc>
        <w:tc>
          <w:tcPr>
            <w:tcW w:w="992" w:type="dxa"/>
            <w:tcBorders>
              <w:top w:val="single" w:sz="18" w:space="0" w:color="FFFFFF"/>
              <w:left w:val="single" w:sz="18" w:space="0" w:color="FFFFFF"/>
              <w:bottom w:val="single" w:sz="18" w:space="0" w:color="FFFFFF"/>
              <w:right w:val="single" w:sz="18" w:space="0" w:color="FFFFFF"/>
            </w:tcBorders>
            <w:shd w:val="clear" w:color="auto" w:fill="D9D9D9"/>
            <w:vAlign w:val="center"/>
          </w:tcPr>
          <w:p w14:paraId="25F89BFB" w14:textId="77777777" w:rsidR="00EF3B56" w:rsidRPr="00FE095C" w:rsidRDefault="00EF3B56" w:rsidP="007D4A80">
            <w:pPr>
              <w:spacing w:before="60" w:after="60"/>
              <w:jc w:val="center"/>
              <w:rPr>
                <w:rFonts w:ascii="Calibri" w:hAnsi="Calibri" w:cs="Calibri"/>
                <w:b/>
                <w:bCs/>
                <w:color w:val="163D82"/>
                <w:sz w:val="18"/>
                <w:szCs w:val="16"/>
              </w:rPr>
            </w:pPr>
            <w:r w:rsidRPr="00FE095C">
              <w:rPr>
                <w:rFonts w:ascii="Calibri" w:hAnsi="Calibri" w:cs="Calibri"/>
                <w:b/>
                <w:bCs/>
                <w:color w:val="163D82"/>
                <w:sz w:val="18"/>
                <w:szCs w:val="16"/>
              </w:rPr>
              <w:t>Target</w:t>
            </w:r>
          </w:p>
        </w:tc>
      </w:tr>
      <w:tr w:rsidR="00EF3B56" w:rsidRPr="00FE095C" w14:paraId="680C6717" w14:textId="77777777" w:rsidTr="009D38C7">
        <w:tc>
          <w:tcPr>
            <w:tcW w:w="2127" w:type="dxa"/>
            <w:vMerge w:val="restart"/>
            <w:tcBorders>
              <w:top w:val="single" w:sz="18" w:space="0" w:color="FFFFFF"/>
              <w:left w:val="single" w:sz="18" w:space="0" w:color="FFFFFF"/>
              <w:bottom w:val="single" w:sz="18" w:space="0" w:color="FFFFFF"/>
              <w:right w:val="single" w:sz="18" w:space="0" w:color="FFFFFF"/>
            </w:tcBorders>
            <w:shd w:val="clear" w:color="auto" w:fill="F2F2F2"/>
            <w:vAlign w:val="center"/>
          </w:tcPr>
          <w:p w14:paraId="780CD89A" w14:textId="77777777" w:rsidR="00EF3B56" w:rsidRPr="00FE095C" w:rsidRDefault="00EF3B56" w:rsidP="00EF3B56">
            <w:pPr>
              <w:spacing w:before="60" w:after="60"/>
              <w:rPr>
                <w:rFonts w:ascii="Calibri" w:hAnsi="Calibri" w:cs="Calibri"/>
                <w:sz w:val="18"/>
                <w:szCs w:val="16"/>
              </w:rPr>
            </w:pPr>
            <w:r w:rsidRPr="00FE095C">
              <w:rPr>
                <w:rFonts w:ascii="Calibri" w:hAnsi="Calibri" w:cs="Calibri"/>
                <w:sz w:val="18"/>
                <w:szCs w:val="16"/>
              </w:rPr>
              <w:t>Achievement of the plan</w:t>
            </w: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1FDE7B71" w14:textId="77777777" w:rsidR="00EF3B56" w:rsidRPr="00FE095C" w:rsidRDefault="00EF3B56" w:rsidP="00EF3B56">
            <w:pPr>
              <w:pStyle w:val="Style1"/>
              <w:spacing w:before="60" w:after="60" w:line="240" w:lineRule="auto"/>
              <w:rPr>
                <w:rFonts w:ascii="Calibri" w:hAnsi="Calibri" w:cs="Calibri"/>
                <w:sz w:val="18"/>
                <w:szCs w:val="16"/>
              </w:rPr>
            </w:pPr>
            <w:r w:rsidRPr="00FE095C">
              <w:rPr>
                <w:rFonts w:ascii="Calibri" w:hAnsi="Calibri" w:cs="Calibri"/>
                <w:sz w:val="18"/>
                <w:szCs w:val="16"/>
              </w:rPr>
              <w:t>Completion of planned audits.</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35325C51" w14:textId="77777777" w:rsidR="00EF3B56" w:rsidRPr="00FE095C" w:rsidRDefault="00EF3B56" w:rsidP="007D4A80">
            <w:pPr>
              <w:spacing w:before="60" w:after="60"/>
              <w:jc w:val="center"/>
              <w:rPr>
                <w:rFonts w:ascii="Calibri" w:hAnsi="Calibri" w:cs="Calibri"/>
                <w:sz w:val="18"/>
                <w:szCs w:val="16"/>
              </w:rPr>
            </w:pPr>
            <w:r w:rsidRPr="00FE095C">
              <w:rPr>
                <w:rFonts w:ascii="Calibri" w:hAnsi="Calibri" w:cs="Calibri"/>
                <w:sz w:val="18"/>
                <w:szCs w:val="16"/>
              </w:rPr>
              <w:t>100%</w:t>
            </w:r>
          </w:p>
        </w:tc>
      </w:tr>
      <w:tr w:rsidR="00EF3B56" w:rsidRPr="00FE095C" w14:paraId="7B183582" w14:textId="77777777" w:rsidTr="009D38C7">
        <w:tc>
          <w:tcPr>
            <w:tcW w:w="2127" w:type="dxa"/>
            <w:vMerge/>
            <w:tcBorders>
              <w:top w:val="single" w:sz="18" w:space="0" w:color="FFFFFF"/>
              <w:left w:val="single" w:sz="18" w:space="0" w:color="FFFFFF"/>
              <w:bottom w:val="single" w:sz="18" w:space="0" w:color="FFFFFF"/>
              <w:right w:val="single" w:sz="18" w:space="0" w:color="FFFFFF"/>
            </w:tcBorders>
            <w:shd w:val="clear" w:color="auto" w:fill="F2F2F2"/>
          </w:tcPr>
          <w:p w14:paraId="3EDBCB20" w14:textId="77777777" w:rsidR="00EF3B56" w:rsidRPr="00FE095C" w:rsidRDefault="00EF3B56" w:rsidP="00EF3B56">
            <w:pPr>
              <w:spacing w:before="60" w:after="60"/>
              <w:rPr>
                <w:rFonts w:ascii="Calibri" w:hAnsi="Calibri" w:cs="Calibri"/>
                <w:sz w:val="18"/>
                <w:szCs w:val="16"/>
              </w:rPr>
            </w:pP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110C6870" w14:textId="77777777" w:rsidR="00EF3B56" w:rsidRPr="00FE095C" w:rsidRDefault="00EF3B56" w:rsidP="00EF3B56">
            <w:pPr>
              <w:spacing w:before="60" w:after="60"/>
              <w:jc w:val="both"/>
              <w:rPr>
                <w:rFonts w:ascii="Calibri" w:hAnsi="Calibri" w:cs="Calibri"/>
                <w:sz w:val="18"/>
                <w:szCs w:val="16"/>
              </w:rPr>
            </w:pPr>
            <w:r w:rsidRPr="00FE095C">
              <w:rPr>
                <w:rFonts w:ascii="Calibri" w:hAnsi="Calibri" w:cs="Calibri"/>
                <w:sz w:val="18"/>
                <w:szCs w:val="16"/>
              </w:rPr>
              <w:t>Audits completed in time allocation.</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240F540D" w14:textId="77777777" w:rsidR="00EF3B56" w:rsidRPr="00FE095C" w:rsidRDefault="00EF3B56" w:rsidP="007D4A80">
            <w:pPr>
              <w:spacing w:before="60" w:after="60"/>
              <w:jc w:val="center"/>
              <w:rPr>
                <w:rFonts w:ascii="Calibri" w:hAnsi="Calibri" w:cs="Calibri"/>
                <w:sz w:val="18"/>
                <w:szCs w:val="16"/>
              </w:rPr>
            </w:pPr>
            <w:r w:rsidRPr="00FE095C">
              <w:rPr>
                <w:rFonts w:ascii="Calibri" w:hAnsi="Calibri" w:cs="Calibri"/>
                <w:sz w:val="18"/>
                <w:szCs w:val="16"/>
              </w:rPr>
              <w:t>100%</w:t>
            </w:r>
          </w:p>
        </w:tc>
      </w:tr>
      <w:tr w:rsidR="00EF3B56" w:rsidRPr="00FE095C" w14:paraId="571199D0" w14:textId="77777777" w:rsidTr="009D38C7">
        <w:tc>
          <w:tcPr>
            <w:tcW w:w="2127" w:type="dxa"/>
            <w:vMerge w:val="restart"/>
            <w:tcBorders>
              <w:top w:val="single" w:sz="18" w:space="0" w:color="FFFFFF"/>
              <w:left w:val="single" w:sz="18" w:space="0" w:color="FFFFFF"/>
              <w:bottom w:val="single" w:sz="18" w:space="0" w:color="FFFFFF"/>
              <w:right w:val="single" w:sz="18" w:space="0" w:color="FFFFFF"/>
            </w:tcBorders>
            <w:shd w:val="clear" w:color="auto" w:fill="F2F2F2"/>
            <w:vAlign w:val="center"/>
          </w:tcPr>
          <w:p w14:paraId="6AC9C4AB" w14:textId="77777777" w:rsidR="00EF3B56" w:rsidRPr="00FE095C" w:rsidRDefault="00EF3B56" w:rsidP="00EF3B56">
            <w:pPr>
              <w:spacing w:before="60" w:after="60"/>
              <w:rPr>
                <w:rFonts w:ascii="Calibri" w:hAnsi="Calibri" w:cs="Calibri"/>
                <w:sz w:val="18"/>
                <w:szCs w:val="16"/>
              </w:rPr>
            </w:pPr>
            <w:r w:rsidRPr="00FE095C">
              <w:rPr>
                <w:rFonts w:ascii="Calibri" w:hAnsi="Calibri" w:cs="Calibri"/>
                <w:sz w:val="18"/>
                <w:szCs w:val="16"/>
              </w:rPr>
              <w:t>Reports Issued</w:t>
            </w: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598ACB7B" w14:textId="77777777" w:rsidR="00EF3B56" w:rsidRPr="00FE095C" w:rsidRDefault="00EF3B56" w:rsidP="00EF3B56">
            <w:pPr>
              <w:spacing w:before="60" w:after="60"/>
              <w:jc w:val="both"/>
              <w:rPr>
                <w:rFonts w:ascii="Calibri" w:hAnsi="Calibri" w:cs="Calibri"/>
                <w:sz w:val="18"/>
                <w:szCs w:val="16"/>
              </w:rPr>
            </w:pPr>
            <w:r w:rsidRPr="00FE095C">
              <w:rPr>
                <w:rFonts w:ascii="Calibri" w:hAnsi="Calibri" w:cs="Calibri"/>
                <w:sz w:val="18"/>
                <w:szCs w:val="16"/>
              </w:rPr>
              <w:t>Draft report issued within 10 working days of exit meeting.</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3CAD1529" w14:textId="77777777" w:rsidR="00EF3B56" w:rsidRPr="00FE095C" w:rsidRDefault="00EF3B56" w:rsidP="007D4A80">
            <w:pPr>
              <w:spacing w:before="60" w:after="60"/>
              <w:jc w:val="center"/>
              <w:rPr>
                <w:rFonts w:ascii="Calibri" w:hAnsi="Calibri" w:cs="Calibri"/>
                <w:sz w:val="18"/>
                <w:szCs w:val="16"/>
              </w:rPr>
            </w:pPr>
            <w:r w:rsidRPr="00FE095C">
              <w:rPr>
                <w:rFonts w:ascii="Calibri" w:hAnsi="Calibri" w:cs="Calibri"/>
                <w:sz w:val="18"/>
                <w:szCs w:val="16"/>
              </w:rPr>
              <w:t>95%</w:t>
            </w:r>
          </w:p>
        </w:tc>
      </w:tr>
      <w:tr w:rsidR="00EF3B56" w:rsidRPr="00FE095C" w14:paraId="36D9E508" w14:textId="77777777" w:rsidTr="009D38C7">
        <w:tc>
          <w:tcPr>
            <w:tcW w:w="2127" w:type="dxa"/>
            <w:vMerge/>
            <w:tcBorders>
              <w:top w:val="single" w:sz="18" w:space="0" w:color="FFFFFF"/>
              <w:left w:val="single" w:sz="18" w:space="0" w:color="FFFFFF"/>
              <w:bottom w:val="single" w:sz="18" w:space="0" w:color="FFFFFF"/>
              <w:right w:val="single" w:sz="18" w:space="0" w:color="FFFFFF"/>
            </w:tcBorders>
            <w:shd w:val="clear" w:color="auto" w:fill="F2F2F2"/>
          </w:tcPr>
          <w:p w14:paraId="5946AB2F" w14:textId="77777777" w:rsidR="00EF3B56" w:rsidRPr="00FE095C" w:rsidRDefault="00EF3B56" w:rsidP="00EF3B56">
            <w:pPr>
              <w:spacing w:before="60" w:after="60"/>
              <w:rPr>
                <w:rFonts w:ascii="Calibri" w:hAnsi="Calibri" w:cs="Calibri"/>
                <w:sz w:val="18"/>
                <w:szCs w:val="16"/>
              </w:rPr>
            </w:pP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07221620" w14:textId="77777777" w:rsidR="00EF3B56" w:rsidRPr="00FE095C" w:rsidRDefault="00EF3B56" w:rsidP="00EF3B56">
            <w:pPr>
              <w:spacing w:before="60" w:after="60"/>
              <w:jc w:val="both"/>
              <w:rPr>
                <w:rFonts w:ascii="Calibri" w:hAnsi="Calibri" w:cs="Calibri"/>
                <w:sz w:val="18"/>
                <w:szCs w:val="16"/>
              </w:rPr>
            </w:pPr>
            <w:r w:rsidRPr="00FE095C">
              <w:rPr>
                <w:rFonts w:ascii="Calibri" w:hAnsi="Calibri" w:cs="Calibri"/>
                <w:sz w:val="18"/>
                <w:szCs w:val="16"/>
              </w:rPr>
              <w:t>Final report issued within 10 working days of receipt of responses.</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41B77A41" w14:textId="77777777" w:rsidR="00EF3B56" w:rsidRPr="00FE095C" w:rsidRDefault="00EF3B56" w:rsidP="007D4A80">
            <w:pPr>
              <w:spacing w:before="60" w:after="60"/>
              <w:jc w:val="center"/>
              <w:rPr>
                <w:rFonts w:ascii="Calibri" w:hAnsi="Calibri" w:cs="Calibri"/>
                <w:sz w:val="18"/>
                <w:szCs w:val="16"/>
              </w:rPr>
            </w:pPr>
            <w:r w:rsidRPr="00FE095C">
              <w:rPr>
                <w:rFonts w:ascii="Calibri" w:hAnsi="Calibri" w:cs="Calibri"/>
                <w:sz w:val="18"/>
                <w:szCs w:val="16"/>
              </w:rPr>
              <w:t>95%</w:t>
            </w:r>
          </w:p>
        </w:tc>
      </w:tr>
      <w:tr w:rsidR="00EF3B56" w:rsidRPr="00FE095C" w14:paraId="5697EFA1" w14:textId="77777777" w:rsidTr="009D38C7">
        <w:tc>
          <w:tcPr>
            <w:tcW w:w="2127" w:type="dxa"/>
            <w:tcBorders>
              <w:top w:val="single" w:sz="18" w:space="0" w:color="FFFFFF"/>
              <w:left w:val="single" w:sz="18" w:space="0" w:color="FFFFFF"/>
              <w:bottom w:val="single" w:sz="18" w:space="0" w:color="FFFFFF"/>
              <w:right w:val="single" w:sz="18" w:space="0" w:color="FFFFFF"/>
            </w:tcBorders>
            <w:shd w:val="clear" w:color="auto" w:fill="F2F2F2"/>
          </w:tcPr>
          <w:p w14:paraId="60344071" w14:textId="77777777" w:rsidR="00EF3B56" w:rsidRPr="00FE095C" w:rsidRDefault="00EF3B56" w:rsidP="00EF3B56">
            <w:pPr>
              <w:spacing w:before="60" w:after="60"/>
              <w:rPr>
                <w:rFonts w:ascii="Calibri" w:hAnsi="Calibri" w:cs="Calibri"/>
                <w:sz w:val="18"/>
                <w:szCs w:val="16"/>
              </w:rPr>
            </w:pPr>
            <w:r w:rsidRPr="00FE095C">
              <w:rPr>
                <w:rFonts w:ascii="Calibri" w:hAnsi="Calibri" w:cs="Calibri"/>
                <w:sz w:val="18"/>
                <w:szCs w:val="16"/>
              </w:rPr>
              <w:t>Professional Standards</w:t>
            </w: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4F991567" w14:textId="77777777" w:rsidR="00EF3B56" w:rsidRPr="00FE095C" w:rsidRDefault="00EF3B56" w:rsidP="005F1B6D">
            <w:pPr>
              <w:spacing w:before="60" w:after="60"/>
              <w:jc w:val="both"/>
              <w:rPr>
                <w:rFonts w:ascii="Calibri" w:hAnsi="Calibri" w:cs="Calibri"/>
                <w:sz w:val="18"/>
                <w:szCs w:val="16"/>
              </w:rPr>
            </w:pPr>
            <w:r w:rsidRPr="00FE095C">
              <w:rPr>
                <w:rFonts w:ascii="Calibri" w:hAnsi="Calibri" w:cs="Calibri"/>
                <w:sz w:val="18"/>
                <w:szCs w:val="16"/>
              </w:rPr>
              <w:t xml:space="preserve">Compliance with </w:t>
            </w:r>
            <w:r w:rsidR="00427C7C" w:rsidRPr="00FE095C">
              <w:rPr>
                <w:rFonts w:ascii="Calibri" w:hAnsi="Calibri" w:cs="Calibri"/>
                <w:sz w:val="18"/>
                <w:szCs w:val="16"/>
              </w:rPr>
              <w:t xml:space="preserve">TIAA’s audit charter and the </w:t>
            </w:r>
            <w:r w:rsidR="005F1B6D">
              <w:rPr>
                <w:rFonts w:ascii="Calibri" w:hAnsi="Calibri" w:cs="Calibri"/>
                <w:sz w:val="18"/>
                <w:szCs w:val="16"/>
              </w:rPr>
              <w:t>PSIAS</w:t>
            </w:r>
            <w:r w:rsidRPr="00FE095C">
              <w:rPr>
                <w:rFonts w:ascii="Calibri" w:hAnsi="Calibri" w:cs="Calibri"/>
                <w:sz w:val="18"/>
                <w:szCs w:val="16"/>
              </w:rPr>
              <w:t>.</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3ED6EEE7" w14:textId="77777777" w:rsidR="00EF3B56" w:rsidRPr="00FE095C" w:rsidRDefault="00EF3B56" w:rsidP="007D4A80">
            <w:pPr>
              <w:spacing w:before="60" w:after="60"/>
              <w:jc w:val="center"/>
              <w:rPr>
                <w:rFonts w:ascii="Calibri" w:hAnsi="Calibri" w:cs="Calibri"/>
                <w:sz w:val="18"/>
                <w:szCs w:val="16"/>
              </w:rPr>
            </w:pPr>
            <w:r w:rsidRPr="00FE095C">
              <w:rPr>
                <w:rFonts w:ascii="Calibri" w:hAnsi="Calibri" w:cs="Calibri"/>
                <w:sz w:val="18"/>
                <w:szCs w:val="16"/>
              </w:rPr>
              <w:t>100%</w:t>
            </w:r>
          </w:p>
        </w:tc>
      </w:tr>
    </w:tbl>
    <w:p w14:paraId="1DD0D9EB" w14:textId="77777777" w:rsidR="005153E3" w:rsidRPr="00FE095C" w:rsidRDefault="005153E3" w:rsidP="00A86E7A">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Conflict of Interest</w:t>
      </w:r>
    </w:p>
    <w:p w14:paraId="7044CB75" w14:textId="58F27550" w:rsidR="005153E3" w:rsidRPr="00FE095C" w:rsidRDefault="005153E3" w:rsidP="005153E3">
      <w:pPr>
        <w:spacing w:before="120" w:after="120" w:line="271" w:lineRule="auto"/>
        <w:jc w:val="both"/>
        <w:rPr>
          <w:rFonts w:ascii="Calibri" w:hAnsi="Calibri" w:cs="Calibri"/>
          <w:sz w:val="20"/>
          <w:szCs w:val="20"/>
        </w:rPr>
      </w:pPr>
      <w:r w:rsidRPr="00FE095C">
        <w:rPr>
          <w:rFonts w:ascii="Calibri" w:eastAsia="Calibri" w:hAnsi="Calibri" w:cs="Calibri"/>
          <w:sz w:val="20"/>
          <w:szCs w:val="20"/>
          <w:lang w:eastAsia="en-GB"/>
        </w:rPr>
        <w:t xml:space="preserve">We are not aware of any conflicts of interest and should any </w:t>
      </w:r>
      <w:r w:rsidRPr="002B11F5">
        <w:rPr>
          <w:rFonts w:ascii="Calibri" w:eastAsia="Calibri" w:hAnsi="Calibri" w:cs="Calibri"/>
          <w:sz w:val="20"/>
          <w:szCs w:val="20"/>
          <w:lang w:eastAsia="en-GB"/>
        </w:rPr>
        <w:t xml:space="preserve">arise we will manage them in line with </w:t>
      </w:r>
      <w:r w:rsidR="00427C7C" w:rsidRPr="002B11F5">
        <w:rPr>
          <w:rFonts w:ascii="Calibri" w:hAnsi="Calibri" w:cs="Calibri"/>
          <w:sz w:val="20"/>
          <w:szCs w:val="20"/>
        </w:rPr>
        <w:t xml:space="preserve">TIAA’s audit charter and the </w:t>
      </w:r>
      <w:r w:rsidR="005F1B6D" w:rsidRPr="002B11F5">
        <w:rPr>
          <w:rFonts w:ascii="Calibri" w:hAnsi="Calibri" w:cs="Calibri"/>
          <w:sz w:val="20"/>
          <w:szCs w:val="20"/>
        </w:rPr>
        <w:t>PSIAS</w:t>
      </w:r>
      <w:r w:rsidRPr="002B11F5">
        <w:rPr>
          <w:rFonts w:ascii="Calibri" w:eastAsia="Calibri" w:hAnsi="Calibri" w:cs="Calibri"/>
          <w:sz w:val="20"/>
          <w:szCs w:val="20"/>
          <w:lang w:eastAsia="en-GB"/>
        </w:rPr>
        <w:t xml:space="preserve">, </w:t>
      </w:r>
      <w:r w:rsidR="005F1B6D"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Police</w:t>
      </w:r>
      <w:r w:rsidRPr="002B11F5">
        <w:rPr>
          <w:rFonts w:ascii="Calibri" w:hAnsi="Calibri" w:cs="Calibri"/>
          <w:sz w:val="20"/>
          <w:szCs w:val="20"/>
        </w:rPr>
        <w:t>’s requirements and TIAA’s internal</w:t>
      </w:r>
      <w:r w:rsidRPr="00FE095C">
        <w:rPr>
          <w:rFonts w:ascii="Calibri" w:hAnsi="Calibri" w:cs="Calibri"/>
          <w:sz w:val="20"/>
          <w:szCs w:val="20"/>
        </w:rPr>
        <w:t xml:space="preserve"> policies.</w:t>
      </w:r>
    </w:p>
    <w:p w14:paraId="61FB8061" w14:textId="77777777" w:rsidR="00EF3B56" w:rsidRPr="00FE095C" w:rsidRDefault="00D8563B" w:rsidP="00A86E7A">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Limitations and Responsibility</w:t>
      </w:r>
    </w:p>
    <w:p w14:paraId="0878F224" w14:textId="376062C6" w:rsidR="001D3316" w:rsidRPr="00FE095C" w:rsidRDefault="001D3316" w:rsidP="001D3316">
      <w:pPr>
        <w:spacing w:before="120" w:after="120" w:line="271" w:lineRule="auto"/>
        <w:jc w:val="both"/>
        <w:rPr>
          <w:rFonts w:ascii="Calibri" w:hAnsi="Calibri" w:cs="Calibri"/>
          <w:sz w:val="20"/>
          <w:szCs w:val="20"/>
        </w:rPr>
      </w:pPr>
      <w:r w:rsidRPr="00FE095C">
        <w:rPr>
          <w:rFonts w:ascii="Calibri" w:hAnsi="Calibri" w:cs="Calibri"/>
          <w:sz w:val="20"/>
          <w:szCs w:val="20"/>
        </w:rPr>
        <w:t xml:space="preserve">Substantive </w:t>
      </w:r>
      <w:r w:rsidRPr="002B11F5">
        <w:rPr>
          <w:rFonts w:ascii="Calibri" w:hAnsi="Calibri" w:cs="Calibri"/>
          <w:sz w:val="20"/>
          <w:szCs w:val="20"/>
        </w:rPr>
        <w:t xml:space="preserve">testing will only be carried out where a review assesses the internal controls to be providing ‘limited’ or ‘no’ assurance with the prior approval of </w:t>
      </w:r>
      <w:r w:rsidR="005F1B6D"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and Chief Constable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Police</w:t>
      </w:r>
      <w:r w:rsidR="006A486F" w:rsidRPr="002B11F5">
        <w:rPr>
          <w:rFonts w:ascii="Calibri" w:hAnsi="Calibri" w:cs="Calibri"/>
          <w:sz w:val="20"/>
          <w:szCs w:val="20"/>
        </w:rPr>
        <w:t xml:space="preserve"> </w:t>
      </w:r>
      <w:r w:rsidRPr="002B11F5">
        <w:rPr>
          <w:rFonts w:ascii="Calibri" w:hAnsi="Calibri" w:cs="Calibri"/>
          <w:sz w:val="20"/>
          <w:szCs w:val="20"/>
        </w:rPr>
        <w:t xml:space="preserve">and additional time will be required to carry out such testing. </w:t>
      </w:r>
      <w:r w:rsidR="005F1B6D" w:rsidRPr="002B11F5">
        <w:rPr>
          <w:rFonts w:ascii="Calibri" w:hAnsi="Calibri" w:cs="Calibri"/>
          <w:sz w:val="20"/>
          <w:szCs w:val="20"/>
        </w:rPr>
        <w:t xml:space="preserve">The Police and Crime Commissioner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and </w:t>
      </w:r>
      <w:r w:rsidR="005F1B6D" w:rsidRPr="002B11F5">
        <w:rPr>
          <w:rFonts w:ascii="Calibri" w:hAnsi="Calibri" w:cs="Calibri"/>
          <w:sz w:val="20"/>
          <w:szCs w:val="20"/>
        </w:rPr>
        <w:t xml:space="preserve">Chief Constable </w:t>
      </w:r>
      <w:r w:rsidR="002B11F5" w:rsidRPr="002B11F5">
        <w:rPr>
          <w:rFonts w:ascii="Calibri" w:hAnsi="Calibri" w:cs="Calibri"/>
          <w:sz w:val="20"/>
          <w:szCs w:val="20"/>
        </w:rPr>
        <w:t>for Cleveland</w:t>
      </w:r>
      <w:r w:rsidR="005F1B6D" w:rsidRPr="002B11F5">
        <w:rPr>
          <w:rFonts w:ascii="Calibri" w:hAnsi="Calibri" w:cs="Calibri"/>
          <w:sz w:val="20"/>
          <w:szCs w:val="20"/>
        </w:rPr>
        <w:t xml:space="preserve"> Police</w:t>
      </w:r>
      <w:r w:rsidR="006A486F" w:rsidRPr="002B11F5">
        <w:rPr>
          <w:rFonts w:ascii="Calibri" w:hAnsi="Calibri" w:cs="Calibri"/>
          <w:sz w:val="20"/>
          <w:szCs w:val="20"/>
        </w:rPr>
        <w:t xml:space="preserve"> </w:t>
      </w:r>
      <w:r w:rsidRPr="002B11F5">
        <w:rPr>
          <w:rFonts w:ascii="Calibri" w:hAnsi="Calibri" w:cs="Calibri"/>
          <w:sz w:val="20"/>
          <w:szCs w:val="20"/>
        </w:rPr>
        <w:t>is responsible</w:t>
      </w:r>
      <w:r w:rsidRPr="00FE095C">
        <w:rPr>
          <w:rFonts w:ascii="Calibri" w:hAnsi="Calibri" w:cs="Calibri"/>
          <w:sz w:val="20"/>
          <w:szCs w:val="20"/>
        </w:rPr>
        <w:t xml:space="preserve"> for taking appropriate action to establish whether any loss or impropriety has arisen as a result of the control weaknesses.</w:t>
      </w:r>
    </w:p>
    <w:p w14:paraId="22EE0DF2" w14:textId="77777777" w:rsidR="00EF3B56" w:rsidRPr="00FE095C" w:rsidRDefault="00EF3B56" w:rsidP="00EF3B56">
      <w:pPr>
        <w:spacing w:before="120" w:after="120" w:line="271" w:lineRule="auto"/>
        <w:jc w:val="both"/>
        <w:rPr>
          <w:rFonts w:ascii="Calibri" w:hAnsi="Calibri" w:cs="Calibri"/>
          <w:sz w:val="20"/>
          <w:szCs w:val="20"/>
        </w:rPr>
      </w:pPr>
      <w:r w:rsidRPr="00FE095C">
        <w:rPr>
          <w:rFonts w:ascii="Calibri" w:hAnsi="Calibri" w:cs="Calibri"/>
          <w:sz w:val="20"/>
          <w:szCs w:val="20"/>
        </w:rPr>
        <w:t xml:space="preserve">Internal controls can only provide reasonable and not absolute assurance against misstatement or loss. The limitations on assurance include the possibility of one or more of the following situations, control activities being circumvented by the collusion of two or more persons, human error, or the overriding of controls by management. Additionally, no assurance can be provided that the internal controls will continue to operate effectively in future periods or that the controls will be adequate to mitigate all significant risks that may arise in future. </w:t>
      </w:r>
    </w:p>
    <w:p w14:paraId="2199BF9A" w14:textId="77777777" w:rsidR="00EF3B56" w:rsidRPr="00FE095C" w:rsidRDefault="00EF3B56" w:rsidP="00EF3B56">
      <w:pPr>
        <w:spacing w:before="120" w:after="120" w:line="271" w:lineRule="auto"/>
        <w:jc w:val="both"/>
        <w:rPr>
          <w:rFonts w:ascii="Calibri" w:hAnsi="Calibri" w:cs="Calibri"/>
          <w:sz w:val="20"/>
          <w:szCs w:val="20"/>
        </w:rPr>
      </w:pPr>
      <w:r w:rsidRPr="00FE095C">
        <w:rPr>
          <w:rFonts w:ascii="Calibri" w:hAnsi="Calibri" w:cs="Calibri"/>
          <w:sz w:val="20"/>
          <w:szCs w:val="20"/>
        </w:rPr>
        <w:t>The responsibility for a sound system of internal controls rests with management and work performed by internal audit should not be relied upon to identify all strengths and weaknesses that may exist. Neither should internal audit work be relied upon to identify all circumstances of fraud or irregularity, should there be any, although the audit procedures have been designed so that any material irregularity has a reasonable probability of discovery. Even sound systems of internal control may not be proof against collusive fraud.</w:t>
      </w:r>
    </w:p>
    <w:p w14:paraId="225843C0" w14:textId="77777777" w:rsidR="00EF3B56" w:rsidRPr="00FE095C" w:rsidRDefault="00EF3B56" w:rsidP="00EF3B56">
      <w:pPr>
        <w:spacing w:before="120" w:after="120" w:line="271" w:lineRule="auto"/>
        <w:jc w:val="both"/>
        <w:rPr>
          <w:rFonts w:ascii="Calibri" w:hAnsi="Calibri" w:cs="Calibri"/>
          <w:sz w:val="20"/>
          <w:szCs w:val="20"/>
        </w:rPr>
      </w:pPr>
      <w:r w:rsidRPr="00FE095C">
        <w:rPr>
          <w:rFonts w:ascii="Calibri" w:hAnsi="Calibri" w:cs="Calibri"/>
          <w:sz w:val="20"/>
          <w:szCs w:val="20"/>
        </w:rPr>
        <w:t>Reliance will be placed on management to provide internal audit with full access to staff and to accounting records and transactions and to ensure the authenticity of these documents.</w:t>
      </w:r>
    </w:p>
    <w:p w14:paraId="2F2BD732" w14:textId="77777777" w:rsidR="00EF3B56" w:rsidRPr="00FE095C" w:rsidRDefault="00EF3B56" w:rsidP="00EF3B56">
      <w:pPr>
        <w:spacing w:before="120" w:after="120" w:line="271" w:lineRule="auto"/>
        <w:jc w:val="both"/>
        <w:rPr>
          <w:rFonts w:ascii="Calibri" w:eastAsia="Calibri" w:hAnsi="Calibri" w:cs="Calibri"/>
          <w:sz w:val="20"/>
          <w:szCs w:val="20"/>
          <w:lang w:eastAsia="en-GB"/>
        </w:rPr>
      </w:pPr>
      <w:r w:rsidRPr="00FE095C">
        <w:rPr>
          <w:rFonts w:ascii="Calibri" w:hAnsi="Calibri" w:cs="Calibri"/>
          <w:sz w:val="20"/>
          <w:szCs w:val="20"/>
        </w:rPr>
        <w:t>The matters raised in the audit reports will be only those that come to the attention of the auditor during the course of the internal audit reviews and are not necessarily a comprehensive statement of all the weaknesses that exist or all the improvements that might be made. The audit reports are prepared solely for management's use and are not prepared for any other purpose.</w:t>
      </w:r>
    </w:p>
    <w:p w14:paraId="3FEB66B7" w14:textId="77777777" w:rsidR="00E4620C" w:rsidRPr="00FE095C" w:rsidRDefault="005F1B6D" w:rsidP="00A86E7A">
      <w:pPr>
        <w:spacing w:before="120" w:after="120" w:line="271" w:lineRule="auto"/>
        <w:rPr>
          <w:rFonts w:ascii="Calibri" w:eastAsia="Calibri" w:hAnsi="Calibri" w:cs="Calibri"/>
          <w:b/>
          <w:color w:val="163D82"/>
          <w:szCs w:val="20"/>
          <w:lang w:eastAsia="en-GB"/>
        </w:rPr>
      </w:pPr>
      <w:r>
        <w:rPr>
          <w:rFonts w:ascii="Calibri" w:eastAsia="Calibri" w:hAnsi="Calibri" w:cs="Calibri"/>
          <w:b/>
          <w:color w:val="163D82"/>
          <w:szCs w:val="20"/>
          <w:lang w:eastAsia="en-GB"/>
        </w:rPr>
        <w:t xml:space="preserve">Joint </w:t>
      </w:r>
      <w:r w:rsidR="00E4620C" w:rsidRPr="005F1B6D">
        <w:rPr>
          <w:rFonts w:ascii="Calibri" w:eastAsia="Calibri" w:hAnsi="Calibri" w:cs="Calibri"/>
          <w:b/>
          <w:color w:val="163D82"/>
          <w:szCs w:val="20"/>
          <w:lang w:eastAsia="en-GB"/>
        </w:rPr>
        <w:t>Audit</w:t>
      </w:r>
      <w:r w:rsidR="00923712" w:rsidRPr="005F1B6D">
        <w:rPr>
          <w:rFonts w:ascii="Calibri" w:eastAsia="Calibri" w:hAnsi="Calibri" w:cs="Calibri"/>
          <w:b/>
          <w:color w:val="163D82"/>
          <w:szCs w:val="20"/>
          <w:lang w:eastAsia="en-GB"/>
        </w:rPr>
        <w:t xml:space="preserve"> </w:t>
      </w:r>
      <w:r w:rsidR="00E4620C" w:rsidRPr="005F1B6D">
        <w:rPr>
          <w:rFonts w:ascii="Calibri" w:eastAsia="Calibri" w:hAnsi="Calibri" w:cs="Calibri"/>
          <w:b/>
          <w:color w:val="163D82"/>
          <w:szCs w:val="20"/>
          <w:lang w:eastAsia="en-GB"/>
        </w:rPr>
        <w:t>Committee</w:t>
      </w:r>
      <w:r w:rsidR="00E4620C" w:rsidRPr="00FE095C">
        <w:rPr>
          <w:rFonts w:ascii="Calibri" w:eastAsia="Calibri" w:hAnsi="Calibri" w:cs="Calibri"/>
          <w:b/>
          <w:color w:val="163D82"/>
          <w:szCs w:val="20"/>
          <w:lang w:eastAsia="en-GB"/>
        </w:rPr>
        <w:t xml:space="preserve"> Responsibility</w:t>
      </w:r>
    </w:p>
    <w:p w14:paraId="44D0543F" w14:textId="77777777" w:rsidR="00E4620C" w:rsidRPr="00FE095C" w:rsidRDefault="00E4620C" w:rsidP="00E4620C">
      <w:pPr>
        <w:spacing w:before="120" w:after="120" w:line="271" w:lineRule="auto"/>
        <w:jc w:val="both"/>
        <w:rPr>
          <w:rFonts w:ascii="Calibri" w:hAnsi="Calibri" w:cs="Calibri"/>
          <w:sz w:val="20"/>
          <w:szCs w:val="20"/>
        </w:rPr>
      </w:pPr>
      <w:r w:rsidRPr="00FE095C">
        <w:rPr>
          <w:rFonts w:ascii="Calibri" w:hAnsi="Calibri" w:cs="Calibri"/>
          <w:sz w:val="20"/>
          <w:szCs w:val="20"/>
        </w:rPr>
        <w:t xml:space="preserve">It is the responsibility of the </w:t>
      </w:r>
      <w:r w:rsidR="005F1B6D">
        <w:rPr>
          <w:rFonts w:ascii="Calibri" w:hAnsi="Calibri" w:cs="Calibri"/>
          <w:sz w:val="20"/>
          <w:szCs w:val="20"/>
        </w:rPr>
        <w:t xml:space="preserve">Joint </w:t>
      </w:r>
      <w:r w:rsidRPr="005F1B6D">
        <w:rPr>
          <w:rFonts w:ascii="Calibri" w:hAnsi="Calibri" w:cs="Calibri"/>
          <w:sz w:val="20"/>
          <w:szCs w:val="20"/>
        </w:rPr>
        <w:t>Audit</w:t>
      </w:r>
      <w:r w:rsidR="00923712" w:rsidRPr="005F1B6D">
        <w:rPr>
          <w:rFonts w:ascii="Calibri" w:hAnsi="Calibri" w:cs="Calibri"/>
          <w:sz w:val="20"/>
          <w:szCs w:val="20"/>
        </w:rPr>
        <w:t xml:space="preserve"> </w:t>
      </w:r>
      <w:r w:rsidRPr="005F1B6D">
        <w:rPr>
          <w:rFonts w:ascii="Calibri" w:hAnsi="Calibri" w:cs="Calibri"/>
          <w:sz w:val="20"/>
          <w:szCs w:val="20"/>
        </w:rPr>
        <w:t>Committee</w:t>
      </w:r>
      <w:r w:rsidRPr="00FE095C">
        <w:rPr>
          <w:rFonts w:ascii="Calibri" w:hAnsi="Calibri" w:cs="Calibri"/>
          <w:sz w:val="20"/>
          <w:szCs w:val="20"/>
        </w:rPr>
        <w:t xml:space="preserve"> to determine that the number of audit days to be provided and the planned audit coverage are sufficient to meet the Committee’s requirements and the areas selected for review are appropriate to provide assurance against the key risks within the organisation.</w:t>
      </w:r>
    </w:p>
    <w:p w14:paraId="408EE15E" w14:textId="77777777" w:rsidR="00EF3B56" w:rsidRPr="00FE095C" w:rsidRDefault="00D8563B" w:rsidP="00A86E7A">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Release of Report</w:t>
      </w:r>
    </w:p>
    <w:p w14:paraId="4468A100" w14:textId="77777777" w:rsidR="00EF3B56" w:rsidRPr="00FE095C" w:rsidRDefault="00EF3B56" w:rsidP="00EF3B56">
      <w:pPr>
        <w:spacing w:before="120" w:after="120" w:line="271" w:lineRule="auto"/>
        <w:jc w:val="both"/>
        <w:rPr>
          <w:rFonts w:ascii="Calibri" w:hAnsi="Calibri" w:cs="Calibri"/>
          <w:sz w:val="20"/>
          <w:szCs w:val="20"/>
        </w:rPr>
      </w:pPr>
      <w:r w:rsidRPr="00FE095C">
        <w:rPr>
          <w:rFonts w:ascii="Calibri" w:hAnsi="Calibri" w:cs="Calibri"/>
          <w:sz w:val="20"/>
          <w:szCs w:val="20"/>
        </w:rPr>
        <w:t>The table below sets out the history of this plan.</w:t>
      </w:r>
    </w:p>
    <w:tbl>
      <w:tblPr>
        <w:tblW w:w="764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20" w:type="dxa"/>
          <w:left w:w="60" w:type="dxa"/>
          <w:bottom w:w="120" w:type="dxa"/>
          <w:right w:w="60" w:type="dxa"/>
        </w:tblCellMar>
        <w:tblLook w:val="0000" w:firstRow="0" w:lastRow="0" w:firstColumn="0" w:lastColumn="0" w:noHBand="0" w:noVBand="0"/>
      </w:tblPr>
      <w:tblGrid>
        <w:gridCol w:w="2253"/>
        <w:gridCol w:w="5387"/>
      </w:tblGrid>
      <w:tr w:rsidR="00EF3B56" w:rsidRPr="00FE095C" w14:paraId="5433242C" w14:textId="77777777" w:rsidTr="00010F96">
        <w:tc>
          <w:tcPr>
            <w:tcW w:w="2253" w:type="dxa"/>
            <w:shd w:val="clear" w:color="auto" w:fill="D9D9D9"/>
          </w:tcPr>
          <w:p w14:paraId="7CF54C45" w14:textId="77777777" w:rsidR="00EF3B56" w:rsidRPr="00FE095C" w:rsidRDefault="00EF3B56" w:rsidP="007D4A80">
            <w:pPr>
              <w:spacing w:before="60" w:after="60"/>
              <w:rPr>
                <w:rFonts w:ascii="Calibri" w:hAnsi="Calibri" w:cs="Calibri"/>
                <w:b/>
                <w:color w:val="163D82"/>
                <w:sz w:val="18"/>
                <w:szCs w:val="20"/>
              </w:rPr>
            </w:pPr>
            <w:r w:rsidRPr="00FE095C">
              <w:rPr>
                <w:rFonts w:ascii="Calibri" w:hAnsi="Calibri" w:cs="Calibri"/>
                <w:b/>
                <w:bCs/>
                <w:color w:val="163D82"/>
                <w:sz w:val="18"/>
                <w:szCs w:val="20"/>
              </w:rPr>
              <w:t>Date plan issued:</w:t>
            </w:r>
          </w:p>
        </w:tc>
        <w:tc>
          <w:tcPr>
            <w:tcW w:w="5387" w:type="dxa"/>
            <w:shd w:val="clear" w:color="auto" w:fill="F3F3F3"/>
          </w:tcPr>
          <w:p w14:paraId="697BFA03" w14:textId="60B8908B" w:rsidR="00EF3B56" w:rsidRPr="00FE095C" w:rsidRDefault="00E25529" w:rsidP="00E25529">
            <w:pPr>
              <w:spacing w:before="60" w:after="60"/>
              <w:rPr>
                <w:rFonts w:ascii="Calibri" w:hAnsi="Calibri" w:cs="Calibri"/>
                <w:b/>
                <w:sz w:val="18"/>
                <w:szCs w:val="20"/>
              </w:rPr>
            </w:pPr>
            <w:r>
              <w:rPr>
                <w:rFonts w:ascii="Calibri" w:hAnsi="Calibri" w:cs="Calibri"/>
                <w:b/>
                <w:sz w:val="18"/>
                <w:szCs w:val="20"/>
              </w:rPr>
              <w:t>4</w:t>
            </w:r>
            <w:r w:rsidRPr="00E25529">
              <w:rPr>
                <w:rFonts w:ascii="Calibri" w:hAnsi="Calibri" w:cs="Calibri"/>
                <w:b/>
                <w:sz w:val="18"/>
                <w:szCs w:val="20"/>
                <w:vertAlign w:val="superscript"/>
              </w:rPr>
              <w:t>th</w:t>
            </w:r>
            <w:r>
              <w:rPr>
                <w:rFonts w:ascii="Calibri" w:hAnsi="Calibri" w:cs="Calibri"/>
                <w:b/>
                <w:sz w:val="18"/>
                <w:szCs w:val="20"/>
              </w:rPr>
              <w:t xml:space="preserve"> </w:t>
            </w:r>
            <w:r w:rsidR="002B11F5">
              <w:rPr>
                <w:rFonts w:ascii="Calibri" w:hAnsi="Calibri" w:cs="Calibri"/>
                <w:b/>
                <w:sz w:val="18"/>
                <w:szCs w:val="20"/>
              </w:rPr>
              <w:t xml:space="preserve">February </w:t>
            </w:r>
            <w:r w:rsidR="00EA0556" w:rsidRPr="002B11F5">
              <w:rPr>
                <w:rFonts w:ascii="Calibri" w:hAnsi="Calibri" w:cs="Calibri"/>
                <w:b/>
                <w:sz w:val="18"/>
                <w:szCs w:val="20"/>
              </w:rPr>
              <w:t>2020</w:t>
            </w:r>
          </w:p>
        </w:tc>
      </w:tr>
      <w:tr w:rsidR="00010F96" w:rsidRPr="00FE095C" w14:paraId="1502C6ED" w14:textId="77777777" w:rsidTr="00010F96">
        <w:tc>
          <w:tcPr>
            <w:tcW w:w="2253" w:type="dxa"/>
            <w:shd w:val="clear" w:color="auto" w:fill="D9D9D9"/>
          </w:tcPr>
          <w:p w14:paraId="184C30CE" w14:textId="53F3B144" w:rsidR="00010F96" w:rsidRPr="00FE095C" w:rsidRDefault="00010F96" w:rsidP="007D4A80">
            <w:pPr>
              <w:spacing w:before="60" w:after="60"/>
              <w:rPr>
                <w:rFonts w:ascii="Calibri" w:hAnsi="Calibri" w:cs="Calibri"/>
                <w:b/>
                <w:bCs/>
                <w:color w:val="163D82"/>
                <w:sz w:val="18"/>
                <w:szCs w:val="20"/>
              </w:rPr>
            </w:pPr>
            <w:r>
              <w:rPr>
                <w:rFonts w:ascii="Calibri" w:hAnsi="Calibri" w:cs="Calibri"/>
                <w:b/>
                <w:bCs/>
                <w:color w:val="163D82"/>
                <w:sz w:val="18"/>
                <w:szCs w:val="20"/>
              </w:rPr>
              <w:t>Date updated plan issued:</w:t>
            </w:r>
          </w:p>
        </w:tc>
        <w:tc>
          <w:tcPr>
            <w:tcW w:w="5387" w:type="dxa"/>
            <w:shd w:val="clear" w:color="auto" w:fill="F3F3F3"/>
          </w:tcPr>
          <w:p w14:paraId="3DF9035C" w14:textId="58876876" w:rsidR="00010F96" w:rsidRDefault="00010F96" w:rsidP="00E25529">
            <w:pPr>
              <w:spacing w:before="60" w:after="60"/>
              <w:rPr>
                <w:rFonts w:ascii="Calibri" w:hAnsi="Calibri" w:cs="Calibri"/>
                <w:b/>
                <w:sz w:val="18"/>
                <w:szCs w:val="20"/>
              </w:rPr>
            </w:pPr>
            <w:r>
              <w:rPr>
                <w:rFonts w:ascii="Calibri" w:hAnsi="Calibri" w:cs="Calibri"/>
                <w:b/>
                <w:sz w:val="18"/>
                <w:szCs w:val="20"/>
              </w:rPr>
              <w:t>5</w:t>
            </w:r>
            <w:r w:rsidRPr="00010F96">
              <w:rPr>
                <w:rFonts w:ascii="Calibri" w:hAnsi="Calibri" w:cs="Calibri"/>
                <w:b/>
                <w:sz w:val="18"/>
                <w:szCs w:val="20"/>
                <w:vertAlign w:val="superscript"/>
              </w:rPr>
              <w:t>th</w:t>
            </w:r>
            <w:r>
              <w:rPr>
                <w:rFonts w:ascii="Calibri" w:hAnsi="Calibri" w:cs="Calibri"/>
                <w:b/>
                <w:sz w:val="18"/>
                <w:szCs w:val="20"/>
              </w:rPr>
              <w:t xml:space="preserve"> February 2020</w:t>
            </w:r>
          </w:p>
        </w:tc>
      </w:tr>
    </w:tbl>
    <w:p w14:paraId="59A152AC" w14:textId="77777777" w:rsidR="000D0EA9" w:rsidRDefault="000D0EA9" w:rsidP="00771BE6">
      <w:pPr>
        <w:spacing w:before="120" w:after="120" w:line="271" w:lineRule="auto"/>
        <w:jc w:val="right"/>
        <w:rPr>
          <w:rFonts w:asciiTheme="minorHAnsi" w:eastAsia="Calibri" w:hAnsiTheme="minorHAnsi" w:cstheme="minorHAnsi"/>
          <w:b/>
          <w:color w:val="163D82"/>
          <w:szCs w:val="20"/>
          <w:lang w:eastAsia="en-GB"/>
        </w:rPr>
        <w:sectPr w:rsidR="000D0EA9" w:rsidSect="000D0EA9">
          <w:type w:val="continuous"/>
          <w:pgSz w:w="16839" w:h="11907" w:orient="landscape" w:code="9"/>
          <w:pgMar w:top="567" w:right="567" w:bottom="567" w:left="567" w:header="284" w:footer="284" w:gutter="0"/>
          <w:cols w:num="2" w:space="284"/>
          <w:docGrid w:linePitch="360"/>
        </w:sectPr>
      </w:pPr>
    </w:p>
    <w:p w14:paraId="785EB470" w14:textId="0A90372C" w:rsidR="00771BE6" w:rsidRPr="00771BE6" w:rsidRDefault="00771BE6" w:rsidP="00771BE6">
      <w:pPr>
        <w:spacing w:before="120" w:after="120" w:line="271" w:lineRule="auto"/>
        <w:jc w:val="right"/>
        <w:rPr>
          <w:rFonts w:eastAsia="Calibri" w:cs="Arial"/>
          <w:b/>
          <w:color w:val="163D82"/>
          <w:szCs w:val="20"/>
          <w:lang w:eastAsia="en-GB"/>
        </w:rPr>
      </w:pPr>
      <w:r w:rsidRPr="000D0EA9">
        <w:rPr>
          <w:rFonts w:asciiTheme="minorHAnsi" w:eastAsia="Calibri" w:hAnsiTheme="minorHAnsi" w:cstheme="minorHAnsi"/>
          <w:b/>
          <w:color w:val="163D82"/>
          <w:szCs w:val="20"/>
          <w:lang w:eastAsia="en-GB"/>
        </w:rPr>
        <w:lastRenderedPageBreak/>
        <w:t>Annex A: GUARD Risk Analysis</w:t>
      </w:r>
      <w:r w:rsidRPr="00771BE6">
        <w:rPr>
          <w:rFonts w:eastAsia="Calibri" w:cs="Arial"/>
          <w:b/>
          <w:color w:val="163D82"/>
          <w:szCs w:val="20"/>
          <w:lang w:eastAsia="en-GB"/>
        </w:rPr>
        <w:t xml:space="preserve"> </w:t>
      </w:r>
      <w:r w:rsidR="000D0EA9">
        <w:rPr>
          <w:rFonts w:eastAsia="Calibri" w:cs="Arial"/>
          <w:b/>
          <w:noProof/>
          <w:color w:val="163D82"/>
          <w:szCs w:val="20"/>
          <w:lang w:eastAsia="en-GB"/>
        </w:rPr>
        <mc:AlternateContent>
          <mc:Choice Requires="wpg">
            <w:drawing>
              <wp:inline distT="0" distB="0" distL="0" distR="0" wp14:anchorId="41BEED71" wp14:editId="7C5FEC2D">
                <wp:extent cx="9750445" cy="6130945"/>
                <wp:effectExtent l="0" t="0" r="0" b="0"/>
                <wp:docPr id="26" name="Group 26"/>
                <wp:cNvGraphicFramePr/>
                <a:graphic xmlns:a="http://schemas.openxmlformats.org/drawingml/2006/main">
                  <a:graphicData uri="http://schemas.microsoft.com/office/word/2010/wordprocessingGroup">
                    <wpg:wgp>
                      <wpg:cNvGrpSpPr/>
                      <wpg:grpSpPr>
                        <a:xfrm>
                          <a:off x="0" y="0"/>
                          <a:ext cx="9750445" cy="6130945"/>
                          <a:chOff x="0" y="0"/>
                          <a:chExt cx="9750445" cy="6130945"/>
                        </a:xfrm>
                      </wpg:grpSpPr>
                      <wps:wsp>
                        <wps:cNvPr id="5" name="Straight Arrow Connector 4"/>
                        <wps:cNvCnPr/>
                        <wps:spPr>
                          <a:xfrm flipH="1">
                            <a:off x="4805061" y="487680"/>
                            <a:ext cx="45719" cy="5118735"/>
                          </a:xfrm>
                          <a:prstGeom prst="straightConnector1">
                            <a:avLst/>
                          </a:prstGeom>
                          <a:noFill/>
                          <a:ln w="57150" cap="flat" cmpd="sng" algn="ctr">
                            <a:solidFill>
                              <a:sysClr val="windowText" lastClr="000000">
                                <a:lumMod val="65000"/>
                                <a:lumOff val="35000"/>
                              </a:sysClr>
                            </a:solidFill>
                            <a:prstDash val="solid"/>
                            <a:miter lim="800000"/>
                            <a:headEnd type="triangle"/>
                            <a:tailEnd type="triangle"/>
                          </a:ln>
                          <a:effectLst/>
                        </wps:spPr>
                        <wps:bodyPr/>
                      </wps:wsp>
                      <wps:wsp>
                        <wps:cNvPr id="18" name="Straight Arrow Connector 5"/>
                        <wps:cNvCnPr/>
                        <wps:spPr>
                          <a:xfrm>
                            <a:off x="888381" y="2887980"/>
                            <a:ext cx="8197850" cy="45719"/>
                          </a:xfrm>
                          <a:prstGeom prst="straightConnector1">
                            <a:avLst/>
                          </a:prstGeom>
                          <a:noFill/>
                          <a:ln w="57150" cap="flat" cmpd="sng" algn="ctr">
                            <a:solidFill>
                              <a:sysClr val="windowText" lastClr="000000">
                                <a:lumMod val="65000"/>
                                <a:lumOff val="35000"/>
                              </a:sysClr>
                            </a:solidFill>
                            <a:prstDash val="solid"/>
                            <a:miter lim="800000"/>
                            <a:headEnd type="triangle"/>
                            <a:tailEnd type="triangle"/>
                          </a:ln>
                          <a:effectLst/>
                        </wps:spPr>
                        <wps:bodyPr/>
                      </wps:wsp>
                      <wps:wsp>
                        <wps:cNvPr id="17" name="TextBox 11"/>
                        <wps:cNvSpPr txBox="1"/>
                        <wps:spPr>
                          <a:xfrm>
                            <a:off x="3448701" y="0"/>
                            <a:ext cx="2760453" cy="461665"/>
                          </a:xfrm>
                          <a:prstGeom prst="rect">
                            <a:avLst/>
                          </a:prstGeom>
                          <a:noFill/>
                        </wps:spPr>
                        <wps:txbx>
                          <w:txbxContent>
                            <w:p w14:paraId="3D9B7433" w14:textId="77777777" w:rsidR="00E25529" w:rsidRPr="00F03661" w:rsidRDefault="00E25529" w:rsidP="000D0EA9">
                              <w:pPr>
                                <w:pStyle w:val="NormalWeb"/>
                                <w:jc w:val="center"/>
                                <w:rPr>
                                  <w:color w:val="DC0D15"/>
                                </w:rPr>
                              </w:pPr>
                              <w:r w:rsidRPr="00F03661">
                                <w:rPr>
                                  <w:rFonts w:ascii="Calibri" w:hAnsi="Calibri"/>
                                  <w:b/>
                                  <w:bCs/>
                                  <w:color w:val="DC0D15"/>
                                  <w:spacing w:val="-22"/>
                                  <w:kern w:val="24"/>
                                  <w:sz w:val="48"/>
                                  <w:szCs w:val="48"/>
                                </w:rPr>
                                <w:t>HIGH RISK</w:t>
                              </w:r>
                            </w:p>
                          </w:txbxContent>
                        </wps:txbx>
                        <wps:bodyPr wrap="square" rtlCol="0">
                          <a:spAutoFit/>
                        </wps:bodyPr>
                      </wps:wsp>
                      <wps:wsp>
                        <wps:cNvPr id="13" name="TextBox 12"/>
                        <wps:cNvSpPr txBox="1"/>
                        <wps:spPr>
                          <a:xfrm>
                            <a:off x="3448701" y="5669280"/>
                            <a:ext cx="2760453" cy="461665"/>
                          </a:xfrm>
                          <a:prstGeom prst="rect">
                            <a:avLst/>
                          </a:prstGeom>
                          <a:noFill/>
                        </wps:spPr>
                        <wps:txbx>
                          <w:txbxContent>
                            <w:p w14:paraId="0FC59243" w14:textId="77777777" w:rsidR="00E25529" w:rsidRPr="00F03661" w:rsidRDefault="00E25529" w:rsidP="000D0EA9">
                              <w:pPr>
                                <w:pStyle w:val="NormalWeb"/>
                                <w:jc w:val="center"/>
                                <w:rPr>
                                  <w:color w:val="92D01E"/>
                                </w:rPr>
                              </w:pPr>
                              <w:r w:rsidRPr="00F03661">
                                <w:rPr>
                                  <w:rFonts w:ascii="Calibri" w:hAnsi="Calibri"/>
                                  <w:b/>
                                  <w:bCs/>
                                  <w:color w:val="92D01E"/>
                                  <w:spacing w:val="-22"/>
                                  <w:kern w:val="24"/>
                                  <w:sz w:val="48"/>
                                  <w:szCs w:val="48"/>
                                </w:rPr>
                                <w:t>LOW RISK</w:t>
                              </w:r>
                            </w:p>
                          </w:txbxContent>
                        </wps:txbx>
                        <wps:bodyPr wrap="square" rtlCol="0">
                          <a:spAutoFit/>
                        </wps:bodyPr>
                      </wps:wsp>
                      <wps:wsp>
                        <wps:cNvPr id="14" name="TextBox 13"/>
                        <wps:cNvSpPr txBox="1"/>
                        <wps:spPr>
                          <a:xfrm rot="5400000">
                            <a:off x="8428371" y="2625090"/>
                            <a:ext cx="2182483" cy="461665"/>
                          </a:xfrm>
                          <a:prstGeom prst="rect">
                            <a:avLst/>
                          </a:prstGeom>
                          <a:noFill/>
                        </wps:spPr>
                        <wps:txbx>
                          <w:txbxContent>
                            <w:p w14:paraId="2988BDA1" w14:textId="77777777" w:rsidR="00E25529" w:rsidRPr="00360C94" w:rsidRDefault="00E25529" w:rsidP="000D0EA9">
                              <w:pPr>
                                <w:pStyle w:val="NormalWeb"/>
                                <w:jc w:val="center"/>
                                <w:rPr>
                                  <w:rFonts w:asciiTheme="minorHAnsi" w:hAnsiTheme="minorHAnsi"/>
                                </w:rPr>
                              </w:pPr>
                              <w:r w:rsidRPr="00360C94">
                                <w:rPr>
                                  <w:rFonts w:asciiTheme="minorHAnsi" w:hAnsiTheme="minorHAnsi"/>
                                  <w:color w:val="000000"/>
                                  <w:spacing w:val="-22"/>
                                  <w:kern w:val="24"/>
                                  <w:sz w:val="48"/>
                                  <w:szCs w:val="48"/>
                                  <w14:textFill>
                                    <w14:solidFill>
                                      <w14:srgbClr w14:val="000000">
                                        <w14:lumMod w14:val="50000"/>
                                        <w14:lumOff w14:val="50000"/>
                                      </w14:srgbClr>
                                    </w14:solidFill>
                                  </w14:textFill>
                                </w:rPr>
                                <w:t>External factors</w:t>
                              </w:r>
                            </w:p>
                          </w:txbxContent>
                        </wps:txbx>
                        <wps:bodyPr wrap="square" rtlCol="0">
                          <a:spAutoFit/>
                        </wps:bodyPr>
                      </wps:wsp>
                      <wps:wsp>
                        <wps:cNvPr id="15" name="TextBox 14"/>
                        <wps:cNvSpPr txBox="1"/>
                        <wps:spPr>
                          <a:xfrm rot="16200000">
                            <a:off x="-860409" y="2655570"/>
                            <a:ext cx="2182483" cy="461665"/>
                          </a:xfrm>
                          <a:prstGeom prst="rect">
                            <a:avLst/>
                          </a:prstGeom>
                          <a:noFill/>
                        </wps:spPr>
                        <wps:txbx>
                          <w:txbxContent>
                            <w:p w14:paraId="7DDF802F" w14:textId="77777777" w:rsidR="00E25529" w:rsidRPr="00360C94" w:rsidRDefault="00E25529" w:rsidP="000D0EA9">
                              <w:pPr>
                                <w:pStyle w:val="NormalWeb"/>
                                <w:jc w:val="center"/>
                                <w:rPr>
                                  <w:rFonts w:asciiTheme="minorHAnsi" w:hAnsiTheme="minorHAnsi"/>
                                </w:rPr>
                              </w:pPr>
                              <w:r w:rsidRPr="00360C94">
                                <w:rPr>
                                  <w:rFonts w:asciiTheme="minorHAnsi" w:hAnsiTheme="minorHAnsi"/>
                                  <w:color w:val="000000"/>
                                  <w:spacing w:val="-22"/>
                                  <w:kern w:val="24"/>
                                  <w:sz w:val="48"/>
                                  <w:szCs w:val="48"/>
                                  <w14:textFill>
                                    <w14:solidFill>
                                      <w14:srgbClr w14:val="000000">
                                        <w14:lumMod w14:val="50000"/>
                                        <w14:lumOff w14:val="50000"/>
                                      </w14:srgbClr>
                                    </w14:solidFill>
                                  </w14:textFill>
                                </w:rPr>
                                <w:t>Internal factors</w:t>
                              </w:r>
                            </w:p>
                          </w:txbxContent>
                        </wps:txbx>
                        <wps:bodyPr wrap="square" rtlCol="0">
                          <a:spAutoFit/>
                        </wps:bodyPr>
                      </wps:wsp>
                      <wps:wsp>
                        <wps:cNvPr id="33" name="Rounded Rectangle 32"/>
                        <wps:cNvSpPr/>
                        <wps:spPr>
                          <a:xfrm>
                            <a:off x="3456307" y="761996"/>
                            <a:ext cx="1152220" cy="493297"/>
                          </a:xfrm>
                          <a:prstGeom prst="roundRect">
                            <a:avLst/>
                          </a:prstGeom>
                          <a:solidFill>
                            <a:srgbClr val="163D82"/>
                          </a:solidFill>
                          <a:ln w="12700" cap="flat" cmpd="sng" algn="ctr">
                            <a:noFill/>
                            <a:prstDash val="solid"/>
                            <a:miter lim="800000"/>
                          </a:ln>
                          <a:effectLst/>
                        </wps:spPr>
                        <wps:txbx>
                          <w:txbxContent>
                            <w:p w14:paraId="02457BD8" w14:textId="77777777" w:rsidR="00E25529" w:rsidRPr="00E25529" w:rsidRDefault="00E25529" w:rsidP="000D0EA9">
                              <w:pPr>
                                <w:jc w:val="center"/>
                                <w:rPr>
                                  <w:rFonts w:ascii="Calibri" w:hAnsi="Calibri" w:cs="Calibri"/>
                                </w:rPr>
                              </w:pPr>
                              <w:r w:rsidRPr="00E25529">
                                <w:rPr>
                                  <w:rFonts w:ascii="Calibri" w:hAnsi="Calibri" w:cs="Calibri"/>
                                </w:rPr>
                                <w:t>Risk Management</w:t>
                              </w:r>
                            </w:p>
                          </w:txbxContent>
                        </wps:txbx>
                        <wps:bodyPr wrap="square" rtlCol="0" anchor="ctr">
                          <a:spAutoFit/>
                        </wps:bodyPr>
                      </wps:wsp>
                      <wps:wsp>
                        <wps:cNvPr id="50" name="Rounded Rectangle 49"/>
                        <wps:cNvSpPr/>
                        <wps:spPr>
                          <a:xfrm>
                            <a:off x="5048881" y="632456"/>
                            <a:ext cx="1240217" cy="304704"/>
                          </a:xfrm>
                          <a:prstGeom prst="roundRect">
                            <a:avLst/>
                          </a:prstGeom>
                          <a:solidFill>
                            <a:srgbClr val="163D82"/>
                          </a:solidFill>
                          <a:ln w="12700" cap="flat" cmpd="sng" algn="ctr">
                            <a:noFill/>
                            <a:prstDash val="solid"/>
                            <a:miter lim="800000"/>
                          </a:ln>
                          <a:effectLst/>
                        </wps:spPr>
                        <wps:txbx>
                          <w:txbxContent>
                            <w:p w14:paraId="3EACCF2E" w14:textId="77777777" w:rsidR="00E25529" w:rsidRPr="00E25529" w:rsidRDefault="00E25529" w:rsidP="00E25529">
                              <w:pPr>
                                <w:jc w:val="center"/>
                                <w:rPr>
                                  <w:rFonts w:ascii="Calibri" w:hAnsi="Calibri" w:cs="Calibri"/>
                                </w:rPr>
                              </w:pPr>
                              <w:r w:rsidRPr="00E25529">
                                <w:rPr>
                                  <w:rFonts w:ascii="Calibri" w:hAnsi="Calibri" w:cs="Calibri"/>
                                </w:rPr>
                                <w:t>Cyber Crime</w:t>
                              </w:r>
                            </w:p>
                          </w:txbxContent>
                        </wps:txbx>
                        <wps:bodyPr rtlCol="0" anchor="ctr">
                          <a:spAutoFit/>
                        </wps:bodyPr>
                      </wps:wsp>
                      <wps:wsp>
                        <wps:cNvPr id="52" name="Rounded Rectangle 51"/>
                        <wps:cNvSpPr/>
                        <wps:spPr>
                          <a:xfrm>
                            <a:off x="1543695" y="708656"/>
                            <a:ext cx="1590364" cy="493297"/>
                          </a:xfrm>
                          <a:prstGeom prst="roundRect">
                            <a:avLst/>
                          </a:prstGeom>
                          <a:solidFill>
                            <a:srgbClr val="163D82"/>
                          </a:solidFill>
                          <a:ln w="12700" cap="flat" cmpd="sng" algn="ctr">
                            <a:noFill/>
                            <a:prstDash val="solid"/>
                            <a:miter lim="800000"/>
                          </a:ln>
                          <a:effectLst/>
                        </wps:spPr>
                        <wps:txbx>
                          <w:txbxContent>
                            <w:p w14:paraId="1CBB631D" w14:textId="77777777" w:rsidR="00E25529" w:rsidRPr="00E25529" w:rsidRDefault="00E25529" w:rsidP="000D0EA9">
                              <w:pPr>
                                <w:jc w:val="center"/>
                                <w:rPr>
                                  <w:rFonts w:ascii="Calibri" w:hAnsi="Calibri" w:cs="Calibri"/>
                                </w:rPr>
                              </w:pPr>
                              <w:r w:rsidRPr="00E25529">
                                <w:rPr>
                                  <w:rFonts w:ascii="Calibri" w:hAnsi="Calibri" w:cs="Calibri"/>
                                </w:rPr>
                                <w:t>Infrastructure Management</w:t>
                              </w:r>
                            </w:p>
                          </w:txbxContent>
                        </wps:txbx>
                        <wps:bodyPr rtlCol="0" anchor="ctr">
                          <a:spAutoFit/>
                        </wps:bodyPr>
                      </wps:wsp>
                      <wps:wsp>
                        <wps:cNvPr id="56" name="Rounded Rectangle 55"/>
                        <wps:cNvSpPr/>
                        <wps:spPr>
                          <a:xfrm>
                            <a:off x="2267587" y="2171686"/>
                            <a:ext cx="995378" cy="493297"/>
                          </a:xfrm>
                          <a:prstGeom prst="roundRect">
                            <a:avLst/>
                          </a:prstGeom>
                          <a:solidFill>
                            <a:srgbClr val="163D82"/>
                          </a:solidFill>
                          <a:ln w="12700" cap="flat" cmpd="sng" algn="ctr">
                            <a:noFill/>
                            <a:prstDash val="solid"/>
                            <a:miter lim="800000"/>
                          </a:ln>
                          <a:effectLst/>
                        </wps:spPr>
                        <wps:txbx>
                          <w:txbxContent>
                            <w:p w14:paraId="5BD60F26" w14:textId="77777777" w:rsidR="00E25529" w:rsidRPr="00E25529" w:rsidRDefault="00E25529" w:rsidP="000D0EA9">
                              <w:pPr>
                                <w:jc w:val="center"/>
                                <w:rPr>
                                  <w:rFonts w:ascii="Calibri" w:hAnsi="Calibri" w:cs="Calibri"/>
                                </w:rPr>
                              </w:pPr>
                              <w:r w:rsidRPr="00E25529">
                                <w:rPr>
                                  <w:rFonts w:ascii="Calibri" w:hAnsi="Calibri" w:cs="Calibri"/>
                                </w:rPr>
                                <w:t>Business Planning</w:t>
                              </w:r>
                            </w:p>
                          </w:txbxContent>
                        </wps:txbx>
                        <wps:bodyPr wrap="square" rtlCol="0" anchor="ctr">
                          <a:spAutoFit/>
                        </wps:bodyPr>
                      </wps:wsp>
                      <wps:wsp>
                        <wps:cNvPr id="59" name="Rounded Rectangle 58"/>
                        <wps:cNvSpPr/>
                        <wps:spPr>
                          <a:xfrm>
                            <a:off x="5574659" y="2331704"/>
                            <a:ext cx="1682182" cy="304705"/>
                          </a:xfrm>
                          <a:prstGeom prst="roundRect">
                            <a:avLst/>
                          </a:prstGeom>
                          <a:solidFill>
                            <a:srgbClr val="163D82"/>
                          </a:solidFill>
                          <a:ln w="12700" cap="flat" cmpd="sng" algn="ctr">
                            <a:noFill/>
                            <a:prstDash val="solid"/>
                            <a:miter lim="800000"/>
                          </a:ln>
                          <a:effectLst/>
                        </wps:spPr>
                        <wps:txbx>
                          <w:txbxContent>
                            <w:p w14:paraId="3E1006D0" w14:textId="77777777" w:rsidR="00E25529" w:rsidRPr="00E25529" w:rsidRDefault="00E25529" w:rsidP="00E25529">
                              <w:pPr>
                                <w:pStyle w:val="NormalWeb"/>
                                <w:jc w:val="center"/>
                                <w:rPr>
                                  <w:rFonts w:asciiTheme="minorHAnsi" w:hAnsiTheme="minorHAnsi" w:cstheme="minorHAnsi"/>
                                  <w:sz w:val="22"/>
                                </w:rPr>
                              </w:pPr>
                              <w:r w:rsidRPr="00E25529">
                                <w:rPr>
                                  <w:rFonts w:asciiTheme="minorHAnsi" w:hAnsiTheme="minorHAnsi" w:cstheme="minorHAnsi"/>
                                  <w:sz w:val="22"/>
                                </w:rPr>
                                <w:t>Health &amp; Safety</w:t>
                              </w:r>
                            </w:p>
                          </w:txbxContent>
                        </wps:txbx>
                        <wps:bodyPr rtlCol="0" anchor="ctr">
                          <a:spAutoFit/>
                        </wps:bodyPr>
                      </wps:wsp>
                      <wps:wsp>
                        <wps:cNvPr id="68" name="Rounded Rectangle 67"/>
                        <wps:cNvSpPr/>
                        <wps:spPr>
                          <a:xfrm>
                            <a:off x="1543695" y="3299438"/>
                            <a:ext cx="1538036" cy="304705"/>
                          </a:xfrm>
                          <a:prstGeom prst="roundRect">
                            <a:avLst/>
                          </a:prstGeom>
                          <a:solidFill>
                            <a:srgbClr val="163D82"/>
                          </a:solidFill>
                          <a:ln w="12700" cap="flat" cmpd="sng" algn="ctr">
                            <a:noFill/>
                            <a:prstDash val="solid"/>
                            <a:miter lim="800000"/>
                          </a:ln>
                          <a:effectLst/>
                        </wps:spPr>
                        <wps:txbx>
                          <w:txbxContent>
                            <w:p w14:paraId="07E22385" w14:textId="77777777" w:rsidR="00E25529" w:rsidRPr="00E25529" w:rsidRDefault="00E25529" w:rsidP="000D0EA9">
                              <w:pPr>
                                <w:jc w:val="center"/>
                                <w:rPr>
                                  <w:rFonts w:ascii="Calibri" w:hAnsi="Calibri" w:cs="Calibri"/>
                                </w:rPr>
                              </w:pPr>
                              <w:r w:rsidRPr="00E25529">
                                <w:rPr>
                                  <w:rFonts w:ascii="Calibri" w:hAnsi="Calibri" w:cs="Calibri"/>
                                </w:rPr>
                                <w:t>Asset Management</w:t>
                              </w:r>
                            </w:p>
                          </w:txbxContent>
                        </wps:txbx>
                        <wps:bodyPr rtlCol="0" anchor="ctr">
                          <a:spAutoFit/>
                        </wps:bodyPr>
                      </wps:wsp>
                      <wps:wsp>
                        <wps:cNvPr id="70" name="Rounded Rectangle 69"/>
                        <wps:cNvSpPr/>
                        <wps:spPr>
                          <a:xfrm>
                            <a:off x="3288667" y="3863314"/>
                            <a:ext cx="1220163" cy="493297"/>
                          </a:xfrm>
                          <a:prstGeom prst="roundRect">
                            <a:avLst/>
                          </a:prstGeom>
                          <a:solidFill>
                            <a:srgbClr val="163D82"/>
                          </a:solidFill>
                          <a:ln w="12700" cap="flat" cmpd="sng" algn="ctr">
                            <a:noFill/>
                            <a:prstDash val="solid"/>
                            <a:miter lim="800000"/>
                          </a:ln>
                          <a:effectLst/>
                        </wps:spPr>
                        <wps:txbx>
                          <w:txbxContent>
                            <w:p w14:paraId="09796383" w14:textId="77777777" w:rsidR="00E25529" w:rsidRPr="00E25529" w:rsidRDefault="00E25529" w:rsidP="000D0EA9">
                              <w:pPr>
                                <w:jc w:val="center"/>
                                <w:rPr>
                                  <w:rFonts w:ascii="Calibri" w:hAnsi="Calibri" w:cs="Calibri"/>
                                </w:rPr>
                              </w:pPr>
                              <w:r w:rsidRPr="00E25529">
                                <w:rPr>
                                  <w:rFonts w:ascii="Calibri" w:hAnsi="Calibri" w:cs="Calibri"/>
                                </w:rPr>
                                <w:t>Catering/Other Income</w:t>
                              </w:r>
                            </w:p>
                          </w:txbxContent>
                        </wps:txbx>
                        <wps:bodyPr wrap="square" rtlCol="0" anchor="ctr">
                          <a:spAutoFit/>
                        </wps:bodyPr>
                      </wps:wsp>
                      <wps:wsp>
                        <wps:cNvPr id="72" name="Rounded Rectangle 71"/>
                        <wps:cNvSpPr/>
                        <wps:spPr>
                          <a:xfrm>
                            <a:off x="2938149" y="1493510"/>
                            <a:ext cx="1319223" cy="493297"/>
                          </a:xfrm>
                          <a:prstGeom prst="roundRect">
                            <a:avLst/>
                          </a:prstGeom>
                          <a:solidFill>
                            <a:srgbClr val="163D82"/>
                          </a:solidFill>
                          <a:ln w="12700" cap="flat" cmpd="sng" algn="ctr">
                            <a:noFill/>
                            <a:prstDash val="solid"/>
                            <a:miter lim="800000"/>
                          </a:ln>
                          <a:effectLst/>
                        </wps:spPr>
                        <wps:txbx>
                          <w:txbxContent>
                            <w:p w14:paraId="10EB42ED" w14:textId="77777777" w:rsidR="00E25529" w:rsidRPr="00E25529" w:rsidRDefault="00E25529" w:rsidP="000D0EA9">
                              <w:pPr>
                                <w:jc w:val="center"/>
                                <w:rPr>
                                  <w:rFonts w:ascii="Calibri" w:hAnsi="Calibri" w:cs="Calibri"/>
                                </w:rPr>
                              </w:pPr>
                              <w:r w:rsidRPr="00E25529">
                                <w:rPr>
                                  <w:rFonts w:ascii="Calibri" w:hAnsi="Calibri" w:cs="Calibri"/>
                                </w:rPr>
                                <w:t>Governance Framework</w:t>
                              </w:r>
                            </w:p>
                          </w:txbxContent>
                        </wps:txbx>
                        <wps:bodyPr wrap="square" rtlCol="0" anchor="ctr">
                          <a:spAutoFit/>
                        </wps:bodyPr>
                      </wps:wsp>
                      <wps:wsp>
                        <wps:cNvPr id="74" name="Rounded Rectangle 73"/>
                        <wps:cNvSpPr/>
                        <wps:spPr>
                          <a:xfrm>
                            <a:off x="1216037" y="1348732"/>
                            <a:ext cx="1290647" cy="493297"/>
                          </a:xfrm>
                          <a:prstGeom prst="roundRect">
                            <a:avLst/>
                          </a:prstGeom>
                          <a:solidFill>
                            <a:srgbClr val="163D82"/>
                          </a:solidFill>
                          <a:ln w="12700" cap="flat" cmpd="sng" algn="ctr">
                            <a:noFill/>
                            <a:prstDash val="solid"/>
                            <a:miter lim="800000"/>
                          </a:ln>
                          <a:effectLst/>
                        </wps:spPr>
                        <wps:txbx>
                          <w:txbxContent>
                            <w:p w14:paraId="2C7349A0" w14:textId="77777777" w:rsidR="00E25529" w:rsidRPr="00E25529" w:rsidRDefault="00E25529" w:rsidP="000D0EA9">
                              <w:pPr>
                                <w:jc w:val="center"/>
                                <w:rPr>
                                  <w:rFonts w:ascii="Calibri" w:hAnsi="Calibri" w:cs="Calibri"/>
                                </w:rPr>
                              </w:pPr>
                              <w:r w:rsidRPr="00E25529">
                                <w:rPr>
                                  <w:rFonts w:ascii="Calibri" w:hAnsi="Calibri" w:cs="Calibri"/>
                                </w:rPr>
                                <w:t>Developing Internal Scrutiny</w:t>
                              </w:r>
                            </w:p>
                          </w:txbxContent>
                        </wps:txbx>
                        <wps:bodyPr rtlCol="0" anchor="ctr">
                          <a:spAutoFit/>
                        </wps:bodyPr>
                      </wps:wsp>
                      <wps:wsp>
                        <wps:cNvPr id="76" name="Rounded Rectangle 75"/>
                        <wps:cNvSpPr/>
                        <wps:spPr>
                          <a:xfrm>
                            <a:off x="5757537" y="3299438"/>
                            <a:ext cx="1234768" cy="493297"/>
                          </a:xfrm>
                          <a:prstGeom prst="roundRect">
                            <a:avLst/>
                          </a:prstGeom>
                          <a:solidFill>
                            <a:srgbClr val="163D82"/>
                          </a:solidFill>
                          <a:ln w="12700" cap="flat" cmpd="sng" algn="ctr">
                            <a:noFill/>
                            <a:prstDash val="solid"/>
                            <a:miter lim="800000"/>
                          </a:ln>
                          <a:effectLst/>
                        </wps:spPr>
                        <wps:txbx>
                          <w:txbxContent>
                            <w:p w14:paraId="5DDC5C8F" w14:textId="77777777" w:rsidR="00E25529" w:rsidRPr="00E25529" w:rsidRDefault="00E25529" w:rsidP="000D0EA9">
                              <w:pPr>
                                <w:jc w:val="center"/>
                                <w:rPr>
                                  <w:rFonts w:ascii="Calibri" w:hAnsi="Calibri" w:cs="Calibri"/>
                                </w:rPr>
                              </w:pPr>
                              <w:r w:rsidRPr="00E25529">
                                <w:rPr>
                                  <w:rFonts w:ascii="Calibri" w:hAnsi="Calibri" w:cs="Calibri"/>
                                </w:rPr>
                                <w:t>Commercial Activity</w:t>
                              </w:r>
                            </w:p>
                          </w:txbxContent>
                        </wps:txbx>
                        <wps:bodyPr rtlCol="0" anchor="ctr">
                          <a:spAutoFit/>
                        </wps:bodyPr>
                      </wps:wsp>
                      <wps:wsp>
                        <wps:cNvPr id="80" name="Rounded Rectangle 79"/>
                        <wps:cNvSpPr/>
                        <wps:spPr>
                          <a:xfrm>
                            <a:off x="5170799" y="1447790"/>
                            <a:ext cx="1436436" cy="304704"/>
                          </a:xfrm>
                          <a:prstGeom prst="roundRect">
                            <a:avLst/>
                          </a:prstGeom>
                          <a:solidFill>
                            <a:srgbClr val="163D82"/>
                          </a:solidFill>
                          <a:ln w="12700" cap="flat" cmpd="sng" algn="ctr">
                            <a:noFill/>
                            <a:prstDash val="solid"/>
                            <a:miter lim="800000"/>
                          </a:ln>
                          <a:effectLst/>
                        </wps:spPr>
                        <wps:txbx>
                          <w:txbxContent>
                            <w:p w14:paraId="69D7C731" w14:textId="77777777" w:rsidR="00E25529" w:rsidRPr="00E25529" w:rsidRDefault="00E25529" w:rsidP="000D0EA9">
                              <w:pPr>
                                <w:pStyle w:val="NormalWeb"/>
                                <w:jc w:val="center"/>
                                <w:rPr>
                                  <w:rFonts w:asciiTheme="minorHAnsi" w:hAnsiTheme="minorHAnsi" w:cstheme="minorHAnsi"/>
                                  <w:sz w:val="22"/>
                                </w:rPr>
                              </w:pPr>
                              <w:r w:rsidRPr="00E25529">
                                <w:rPr>
                                  <w:rFonts w:asciiTheme="minorHAnsi" w:hAnsiTheme="minorHAnsi" w:cstheme="minorHAnsi"/>
                                  <w:sz w:val="22"/>
                                </w:rPr>
                                <w:t>BREXIT</w:t>
                              </w:r>
                            </w:p>
                          </w:txbxContent>
                        </wps:txbx>
                        <wps:bodyPr rtlCol="0" anchor="ctr">
                          <a:spAutoFit/>
                        </wps:bodyPr>
                      </wps:wsp>
                      <wps:wsp>
                        <wps:cNvPr id="84" name="Rounded Rectangle 83"/>
                        <wps:cNvSpPr/>
                        <wps:spPr>
                          <a:xfrm>
                            <a:off x="6831953" y="1013454"/>
                            <a:ext cx="1265883" cy="493297"/>
                          </a:xfrm>
                          <a:prstGeom prst="roundRect">
                            <a:avLst/>
                          </a:prstGeom>
                          <a:solidFill>
                            <a:srgbClr val="163D82"/>
                          </a:solidFill>
                          <a:ln w="12700" cap="flat" cmpd="sng" algn="ctr">
                            <a:noFill/>
                            <a:prstDash val="solid"/>
                            <a:miter lim="800000"/>
                          </a:ln>
                          <a:effectLst/>
                        </wps:spPr>
                        <wps:txbx>
                          <w:txbxContent>
                            <w:p w14:paraId="16019C90" w14:textId="77777777" w:rsidR="00E25529" w:rsidRPr="00E25529" w:rsidRDefault="00E25529" w:rsidP="00E25529">
                              <w:pPr>
                                <w:pStyle w:val="NormalWeb"/>
                                <w:jc w:val="center"/>
                                <w:rPr>
                                  <w:rFonts w:asciiTheme="minorHAnsi" w:hAnsiTheme="minorHAnsi" w:cstheme="minorHAnsi"/>
                                  <w:sz w:val="22"/>
                                </w:rPr>
                              </w:pPr>
                              <w:r w:rsidRPr="00E25529">
                                <w:rPr>
                                  <w:rFonts w:asciiTheme="minorHAnsi" w:hAnsiTheme="minorHAnsi" w:cstheme="minorHAnsi"/>
                                  <w:sz w:val="22"/>
                                </w:rPr>
                                <w:t>Funding Reductions</w:t>
                              </w:r>
                            </w:p>
                          </w:txbxContent>
                        </wps:txbx>
                        <wps:bodyPr rtlCol="0" anchor="ctr">
                          <a:spAutoFit/>
                        </wps:bodyPr>
                      </wps:wsp>
                      <wps:wsp>
                        <wps:cNvPr id="86" name="Rounded Rectangle 85"/>
                        <wps:cNvSpPr/>
                        <wps:spPr>
                          <a:xfrm>
                            <a:off x="7106271" y="1783068"/>
                            <a:ext cx="1637097" cy="304705"/>
                          </a:xfrm>
                          <a:prstGeom prst="roundRect">
                            <a:avLst/>
                          </a:prstGeom>
                          <a:solidFill>
                            <a:srgbClr val="163D82"/>
                          </a:solidFill>
                          <a:ln w="12700" cap="flat" cmpd="sng" algn="ctr">
                            <a:noFill/>
                            <a:prstDash val="solid"/>
                            <a:miter lim="800000"/>
                          </a:ln>
                          <a:effectLst/>
                        </wps:spPr>
                        <wps:txbx>
                          <w:txbxContent>
                            <w:p w14:paraId="56DFFA28" w14:textId="77777777" w:rsidR="00E25529" w:rsidRPr="00E25529" w:rsidRDefault="00E25529" w:rsidP="00E25529">
                              <w:pPr>
                                <w:pStyle w:val="NormalWeb"/>
                                <w:jc w:val="center"/>
                                <w:rPr>
                                  <w:rFonts w:asciiTheme="minorHAnsi" w:hAnsiTheme="minorHAnsi" w:cstheme="minorHAnsi"/>
                                  <w:sz w:val="22"/>
                                </w:rPr>
                              </w:pPr>
                              <w:r w:rsidRPr="00E25529">
                                <w:rPr>
                                  <w:rFonts w:asciiTheme="minorHAnsi" w:hAnsiTheme="minorHAnsi" w:cstheme="minorHAnsi"/>
                                  <w:sz w:val="22"/>
                                </w:rPr>
                                <w:t>Payments and Fraud</w:t>
                              </w:r>
                            </w:p>
                          </w:txbxContent>
                        </wps:txbx>
                        <wps:bodyPr rtlCol="0" anchor="ctr">
                          <a:spAutoFit/>
                        </wps:bodyPr>
                      </wps:wsp>
                      <wps:wsp>
                        <wps:cNvPr id="88" name="Rounded Rectangle 87"/>
                        <wps:cNvSpPr/>
                        <wps:spPr>
                          <a:xfrm>
                            <a:off x="774077" y="4137634"/>
                            <a:ext cx="1771083" cy="304705"/>
                          </a:xfrm>
                          <a:prstGeom prst="roundRect">
                            <a:avLst/>
                          </a:prstGeom>
                          <a:solidFill>
                            <a:srgbClr val="163D82"/>
                          </a:solidFill>
                          <a:ln w="12700" cap="flat" cmpd="sng" algn="ctr">
                            <a:noFill/>
                            <a:prstDash val="solid"/>
                            <a:miter lim="800000"/>
                          </a:ln>
                          <a:effectLst/>
                        </wps:spPr>
                        <wps:txbx>
                          <w:txbxContent>
                            <w:p w14:paraId="698CB30F" w14:textId="77777777" w:rsidR="00E25529" w:rsidRPr="00E25529" w:rsidRDefault="00E25529" w:rsidP="000D0EA9">
                              <w:pPr>
                                <w:jc w:val="center"/>
                                <w:rPr>
                                  <w:rFonts w:ascii="Calibri" w:hAnsi="Calibri" w:cs="Calibri"/>
                                </w:rPr>
                              </w:pPr>
                              <w:r w:rsidRPr="00E25529">
                                <w:rPr>
                                  <w:rFonts w:ascii="Calibri" w:hAnsi="Calibri" w:cs="Calibri"/>
                                </w:rPr>
                                <w:t>Recharge Arrangements</w:t>
                              </w:r>
                            </w:p>
                          </w:txbxContent>
                        </wps:txbx>
                        <wps:bodyPr rtlCol="0" anchor="ctr">
                          <a:spAutoFit/>
                        </wps:bodyPr>
                      </wps:wsp>
                      <wps:wsp>
                        <wps:cNvPr id="1" name="Rounded Rectangle 58"/>
                        <wps:cNvSpPr/>
                        <wps:spPr>
                          <a:xfrm>
                            <a:off x="7273911" y="3779496"/>
                            <a:ext cx="1682182" cy="304705"/>
                          </a:xfrm>
                          <a:prstGeom prst="roundRect">
                            <a:avLst/>
                          </a:prstGeom>
                          <a:solidFill>
                            <a:srgbClr val="163D82"/>
                          </a:solidFill>
                          <a:ln w="12700" cap="flat" cmpd="sng" algn="ctr">
                            <a:noFill/>
                            <a:prstDash val="solid"/>
                            <a:miter lim="800000"/>
                          </a:ln>
                          <a:effectLst/>
                        </wps:spPr>
                        <wps:txbx>
                          <w:txbxContent>
                            <w:p w14:paraId="55BE412E" w14:textId="77777777" w:rsidR="00E25529" w:rsidRPr="00E25529" w:rsidRDefault="00E25529" w:rsidP="000D0EA9">
                              <w:pPr>
                                <w:jc w:val="center"/>
                                <w:rPr>
                                  <w:rFonts w:ascii="Calibri" w:hAnsi="Calibri" w:cs="Calibri"/>
                                </w:rPr>
                              </w:pPr>
                              <w:r w:rsidRPr="00E25529">
                                <w:rPr>
                                  <w:rFonts w:ascii="Calibri" w:hAnsi="Calibri" w:cs="Calibri"/>
                                </w:rPr>
                                <w:t>Growth</w:t>
                              </w:r>
                            </w:p>
                          </w:txbxContent>
                        </wps:txbx>
                        <wps:bodyPr rtlCol="0" anchor="ctr">
                          <a:spAutoFit/>
                        </wps:bodyPr>
                      </wps:wsp>
                      <wps:wsp>
                        <wps:cNvPr id="4" name="Rounded Rectangle 67"/>
                        <wps:cNvSpPr/>
                        <wps:spPr>
                          <a:xfrm>
                            <a:off x="1939933" y="4602450"/>
                            <a:ext cx="1537402" cy="304704"/>
                          </a:xfrm>
                          <a:prstGeom prst="roundRect">
                            <a:avLst/>
                          </a:prstGeom>
                          <a:solidFill>
                            <a:srgbClr val="163D82"/>
                          </a:solidFill>
                          <a:ln w="12700" cap="flat" cmpd="sng" algn="ctr">
                            <a:noFill/>
                            <a:prstDash val="solid"/>
                            <a:miter lim="800000"/>
                          </a:ln>
                          <a:effectLst/>
                        </wps:spPr>
                        <wps:txbx>
                          <w:txbxContent>
                            <w:p w14:paraId="7ED76FC7" w14:textId="77777777" w:rsidR="00E25529" w:rsidRPr="00E25529" w:rsidRDefault="00E25529" w:rsidP="000D0EA9">
                              <w:pPr>
                                <w:jc w:val="center"/>
                                <w:rPr>
                                  <w:rFonts w:ascii="Calibri" w:hAnsi="Calibri" w:cs="Calibri"/>
                                </w:rPr>
                              </w:pPr>
                              <w:r w:rsidRPr="00E25529">
                                <w:rPr>
                                  <w:rFonts w:ascii="Calibri" w:hAnsi="Calibri" w:cs="Calibri"/>
                                </w:rPr>
                                <w:t>HR/Staff Retention</w:t>
                              </w:r>
                            </w:p>
                          </w:txbxContent>
                        </wps:txbx>
                        <wps:bodyPr rtlCol="0" anchor="ctr">
                          <a:spAutoFit/>
                        </wps:bodyPr>
                      </wps:wsp>
                      <wps:wsp>
                        <wps:cNvPr id="22" name="Rounded Rectangle 67"/>
                        <wps:cNvSpPr/>
                        <wps:spPr>
                          <a:xfrm>
                            <a:off x="4965051" y="3954741"/>
                            <a:ext cx="1538040" cy="304704"/>
                          </a:xfrm>
                          <a:prstGeom prst="roundRect">
                            <a:avLst/>
                          </a:prstGeom>
                          <a:solidFill>
                            <a:srgbClr val="163D82"/>
                          </a:solidFill>
                          <a:ln w="12700" cap="flat" cmpd="sng" algn="ctr">
                            <a:noFill/>
                            <a:prstDash val="solid"/>
                            <a:miter lim="800000"/>
                          </a:ln>
                          <a:effectLst/>
                        </wps:spPr>
                        <wps:txbx>
                          <w:txbxContent>
                            <w:p w14:paraId="48F9360F" w14:textId="77777777" w:rsidR="00E25529" w:rsidRPr="00E25529" w:rsidRDefault="00E25529" w:rsidP="000D0EA9">
                              <w:pPr>
                                <w:jc w:val="center"/>
                                <w:rPr>
                                  <w:rFonts w:ascii="Calibri" w:hAnsi="Calibri" w:cs="Calibri"/>
                                </w:rPr>
                              </w:pPr>
                              <w:r w:rsidRPr="00E25529">
                                <w:rPr>
                                  <w:rFonts w:ascii="Calibri" w:hAnsi="Calibri" w:cs="Calibri"/>
                                </w:rPr>
                                <w:t>HMICFRS</w:t>
                              </w:r>
                            </w:p>
                          </w:txbxContent>
                        </wps:txbx>
                        <wps:bodyPr rtlCol="0" anchor="ctr">
                          <a:spAutoFit/>
                        </wps:bodyPr>
                      </wps:wsp>
                    </wpg:wgp>
                  </a:graphicData>
                </a:graphic>
              </wp:inline>
            </w:drawing>
          </mc:Choice>
          <mc:Fallback xmlns:w16se="http://schemas.microsoft.com/office/word/2015/wordml/symex" xmlns:cx1="http://schemas.microsoft.com/office/drawing/2015/9/8/chartex" xmlns:cx="http://schemas.microsoft.com/office/drawing/2014/chartex">
            <w:pict>
              <v:group w14:anchorId="41BEED71" id="Group 26" o:spid="_x0000_s1030" style="width:767.75pt;height:482.75pt;mso-position-horizontal-relative:char;mso-position-vertical-relative:line" coordsize="97504,61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">
                <v:shapetype id="_x0000_t32" coordsize="21600,21600" o:spt="32" o:oned="t" path="m,l21600,21600e" filled="f">
                  <v:path arrowok="t" fillok="f" o:connecttype="none"/>
                  <o:lock v:ext="edit" shapetype="t"/>
                </v:shapetype>
                <v:shape id="Straight Arrow Connector 4" o:spid="_x0000_s1031" type="#_x0000_t32" style="position:absolute;left:48050;top:4876;width:457;height:511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" strokecolor="#595959" strokeweight="4.5pt">
                  <v:stroke startarrow="block" endarrow="block" joinstyle="miter"/>
                </v:shape>
                <v:shape id="Straight Arrow Connector 5" o:spid="_x0000_s1032" type="#_x0000_t32" style="position:absolute;left:8883;top:28879;width:81979;height: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" strokecolor="#595959" strokeweight="4.5pt">
                  <v:stroke startarrow="block" endarrow="block" joinstyle="miter"/>
                </v:shape>
                <v:shape id="TextBox 11" o:spid="_x0000_s1033" type="#_x0000_t202" style="position:absolute;left:34487;width:27604;height:4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14:paraId="3D9B7433" w14:textId="77777777" w:rsidR="00E25529" w:rsidRPr="00F03661" w:rsidRDefault="00E25529" w:rsidP="000D0EA9">
                        <w:pPr>
                          <w:pStyle w:val="NormalWeb"/>
                          <w:jc w:val="center"/>
                          <w:rPr>
                            <w:color w:val="DC0D15"/>
                          </w:rPr>
                        </w:pPr>
                        <w:r w:rsidRPr="00F03661">
                          <w:rPr>
                            <w:rFonts w:ascii="Calibri" w:hAnsi="Calibri"/>
                            <w:b/>
                            <w:bCs/>
                            <w:color w:val="DC0D15"/>
                            <w:spacing w:val="-22"/>
                            <w:kern w:val="24"/>
                            <w:sz w:val="48"/>
                            <w:szCs w:val="48"/>
                          </w:rPr>
                          <w:t>HIGH RISK</w:t>
                        </w:r>
                      </w:p>
                    </w:txbxContent>
                  </v:textbox>
                </v:shape>
                <v:shape id="TextBox 12" o:spid="_x0000_s1034" type="#_x0000_t202" style="position:absolute;left:34487;top:56692;width:27604;height:4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lPvwAAANsAAAAPAAAAZHJzL2Rvd25yZXYueG1sRE9La8JA&#10;EL4X/A/LCN7qxkp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A6UflPvwAAANsAAAAPAAAAAAAA&#10;AAAAAAAAAAcCAABkcnMvZG93bnJldi54bWxQSwUGAAAAAAMAAwC3AAAA8wIAAAAA&#10;" filled="f" stroked="f">
                  <v:textbox style="mso-fit-shape-to-text:t">
                    <w:txbxContent>
                      <w:p w14:paraId="0FC59243" w14:textId="77777777" w:rsidR="00E25529" w:rsidRPr="00F03661" w:rsidRDefault="00E25529" w:rsidP="000D0EA9">
                        <w:pPr>
                          <w:pStyle w:val="NormalWeb"/>
                          <w:jc w:val="center"/>
                          <w:rPr>
                            <w:color w:val="92D01E"/>
                          </w:rPr>
                        </w:pPr>
                        <w:r w:rsidRPr="00F03661">
                          <w:rPr>
                            <w:rFonts w:ascii="Calibri" w:hAnsi="Calibri"/>
                            <w:b/>
                            <w:bCs/>
                            <w:color w:val="92D01E"/>
                            <w:spacing w:val="-22"/>
                            <w:kern w:val="24"/>
                            <w:sz w:val="48"/>
                            <w:szCs w:val="48"/>
                          </w:rPr>
                          <w:t>LOW RISK</w:t>
                        </w:r>
                      </w:p>
                    </w:txbxContent>
                  </v:textbox>
                </v:shape>
                <v:shape id="TextBox 13" o:spid="_x0000_s1035" type="#_x0000_t202" style="position:absolute;left:84283;top:26250;width:21825;height:461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" filled="f" stroked="f">
                  <v:textbox style="mso-fit-shape-to-text:t">
                    <w:txbxContent>
                      <w:p w14:paraId="2988BDA1" w14:textId="77777777" w:rsidR="00E25529" w:rsidRPr="00360C94" w:rsidRDefault="00E25529" w:rsidP="000D0EA9">
                        <w:pPr>
                          <w:pStyle w:val="NormalWeb"/>
                          <w:jc w:val="center"/>
                          <w:rPr>
                            <w:rFonts w:asciiTheme="minorHAnsi" w:hAnsiTheme="minorHAnsi"/>
                          </w:rPr>
                        </w:pPr>
                        <w:r w:rsidRPr="00360C94">
                          <w:rPr>
                            <w:rFonts w:asciiTheme="minorHAnsi" w:hAnsiTheme="minorHAnsi"/>
                            <w:color w:val="000000"/>
                            <w:spacing w:val="-22"/>
                            <w:kern w:val="24"/>
                            <w:sz w:val="48"/>
                            <w:szCs w:val="48"/>
                            <w14:textFill>
                              <w14:solidFill>
                                <w14:srgbClr w14:val="000000">
                                  <w14:lumMod w14:val="50000"/>
                                  <w14:lumOff w14:val="50000"/>
                                </w14:srgbClr>
                              </w14:solidFill>
                            </w14:textFill>
                          </w:rPr>
                          <w:t>External factors</w:t>
                        </w:r>
                      </w:p>
                    </w:txbxContent>
                  </v:textbox>
                </v:shape>
                <v:shape id="TextBox 14" o:spid="_x0000_s1036" type="#_x0000_t202" style="position:absolute;left:-8605;top:26556;width:21825;height:461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" filled="f" stroked="f">
                  <v:textbox style="mso-fit-shape-to-text:t">
                    <w:txbxContent>
                      <w:p w14:paraId="7DDF802F" w14:textId="77777777" w:rsidR="00E25529" w:rsidRPr="00360C94" w:rsidRDefault="00E25529" w:rsidP="000D0EA9">
                        <w:pPr>
                          <w:pStyle w:val="NormalWeb"/>
                          <w:jc w:val="center"/>
                          <w:rPr>
                            <w:rFonts w:asciiTheme="minorHAnsi" w:hAnsiTheme="minorHAnsi"/>
                          </w:rPr>
                        </w:pPr>
                        <w:r w:rsidRPr="00360C94">
                          <w:rPr>
                            <w:rFonts w:asciiTheme="minorHAnsi" w:hAnsiTheme="minorHAnsi"/>
                            <w:color w:val="000000"/>
                            <w:spacing w:val="-22"/>
                            <w:kern w:val="24"/>
                            <w:sz w:val="48"/>
                            <w:szCs w:val="48"/>
                            <w14:textFill>
                              <w14:solidFill>
                                <w14:srgbClr w14:val="000000">
                                  <w14:lumMod w14:val="50000"/>
                                  <w14:lumOff w14:val="50000"/>
                                </w14:srgbClr>
                              </w14:solidFill>
                            </w14:textFill>
                          </w:rPr>
                          <w:t>Internal factors</w:t>
                        </w:r>
                      </w:p>
                    </w:txbxContent>
                  </v:textbox>
                </v:shape>
                <v:roundrect id="Rounded Rectangle 32" o:spid="_x0000_s1037" style="position:absolute;left:34563;top:7619;width:11522;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" fillcolor="#163d82" stroked="f" strokeweight="1pt">
                  <v:stroke joinstyle="miter"/>
                  <v:textbox style="mso-fit-shape-to-text:t">
                    <w:txbxContent>
                      <w:p w14:paraId="02457BD8" w14:textId="77777777" w:rsidR="00E25529" w:rsidRPr="00E25529" w:rsidRDefault="00E25529" w:rsidP="000D0EA9">
                        <w:pPr>
                          <w:jc w:val="center"/>
                          <w:rPr>
                            <w:rFonts w:ascii="Calibri" w:hAnsi="Calibri" w:cs="Calibri"/>
                          </w:rPr>
                        </w:pPr>
                        <w:r w:rsidRPr="00E25529">
                          <w:rPr>
                            <w:rFonts w:ascii="Calibri" w:hAnsi="Calibri" w:cs="Calibri"/>
                          </w:rPr>
                          <w:t>Risk Management</w:t>
                        </w:r>
                      </w:p>
                    </w:txbxContent>
                  </v:textbox>
                </v:roundrect>
                <v:roundrect id="Rounded Rectangle 49" o:spid="_x0000_s1038" style="position:absolute;left:50488;top:6324;width:12402;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" fillcolor="#163d82" stroked="f" strokeweight="1pt">
                  <v:stroke joinstyle="miter"/>
                  <v:textbox style="mso-fit-shape-to-text:t">
                    <w:txbxContent>
                      <w:p w14:paraId="3EACCF2E" w14:textId="77777777" w:rsidR="00E25529" w:rsidRPr="00E25529" w:rsidRDefault="00E25529" w:rsidP="00E25529">
                        <w:pPr>
                          <w:jc w:val="center"/>
                          <w:rPr>
                            <w:rFonts w:ascii="Calibri" w:hAnsi="Calibri" w:cs="Calibri"/>
                          </w:rPr>
                        </w:pPr>
                        <w:r w:rsidRPr="00E25529">
                          <w:rPr>
                            <w:rFonts w:ascii="Calibri" w:hAnsi="Calibri" w:cs="Calibri"/>
                          </w:rPr>
                          <w:t>Cyber Crime</w:t>
                        </w:r>
                      </w:p>
                    </w:txbxContent>
                  </v:textbox>
                </v:roundrect>
                <v:roundrect id="Rounded Rectangle 51" o:spid="_x0000_s1039" style="position:absolute;left:15436;top:7086;width:15904;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" fillcolor="#163d82" stroked="f" strokeweight="1pt">
                  <v:stroke joinstyle="miter"/>
                  <v:textbox style="mso-fit-shape-to-text:t">
                    <w:txbxContent>
                      <w:p w14:paraId="1CBB631D" w14:textId="77777777" w:rsidR="00E25529" w:rsidRPr="00E25529" w:rsidRDefault="00E25529" w:rsidP="000D0EA9">
                        <w:pPr>
                          <w:jc w:val="center"/>
                          <w:rPr>
                            <w:rFonts w:ascii="Calibri" w:hAnsi="Calibri" w:cs="Calibri"/>
                          </w:rPr>
                        </w:pPr>
                        <w:r w:rsidRPr="00E25529">
                          <w:rPr>
                            <w:rFonts w:ascii="Calibri" w:hAnsi="Calibri" w:cs="Calibri"/>
                          </w:rPr>
                          <w:t>Infrastructure Management</w:t>
                        </w:r>
                      </w:p>
                    </w:txbxContent>
                  </v:textbox>
                </v:roundrect>
                <v:roundrect id="Rounded Rectangle 55" o:spid="_x0000_s1040" style="position:absolute;left:22675;top:21716;width:9954;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" fillcolor="#163d82" stroked="f" strokeweight="1pt">
                  <v:stroke joinstyle="miter"/>
                  <v:textbox style="mso-fit-shape-to-text:t">
                    <w:txbxContent>
                      <w:p w14:paraId="5BD60F26" w14:textId="77777777" w:rsidR="00E25529" w:rsidRPr="00E25529" w:rsidRDefault="00E25529" w:rsidP="000D0EA9">
                        <w:pPr>
                          <w:jc w:val="center"/>
                          <w:rPr>
                            <w:rFonts w:ascii="Calibri" w:hAnsi="Calibri" w:cs="Calibri"/>
                          </w:rPr>
                        </w:pPr>
                        <w:r w:rsidRPr="00E25529">
                          <w:rPr>
                            <w:rFonts w:ascii="Calibri" w:hAnsi="Calibri" w:cs="Calibri"/>
                          </w:rPr>
                          <w:t>Business Planning</w:t>
                        </w:r>
                      </w:p>
                    </w:txbxContent>
                  </v:textbox>
                </v:roundrect>
                <v:roundrect id="Rounded Rectangle 58" o:spid="_x0000_s1041" style="position:absolute;left:55746;top:23317;width:16822;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" fillcolor="#163d82" stroked="f" strokeweight="1pt">
                  <v:stroke joinstyle="miter"/>
                  <v:textbox style="mso-fit-shape-to-text:t">
                    <w:txbxContent>
                      <w:p w14:paraId="3E1006D0" w14:textId="77777777" w:rsidR="00E25529" w:rsidRPr="00E25529" w:rsidRDefault="00E25529" w:rsidP="00E25529">
                        <w:pPr>
                          <w:pStyle w:val="NormalWeb"/>
                          <w:jc w:val="center"/>
                          <w:rPr>
                            <w:rFonts w:asciiTheme="minorHAnsi" w:hAnsiTheme="minorHAnsi" w:cstheme="minorHAnsi"/>
                            <w:sz w:val="22"/>
                          </w:rPr>
                        </w:pPr>
                        <w:r w:rsidRPr="00E25529">
                          <w:rPr>
                            <w:rFonts w:asciiTheme="minorHAnsi" w:hAnsiTheme="minorHAnsi" w:cstheme="minorHAnsi"/>
                            <w:sz w:val="22"/>
                          </w:rPr>
                          <w:t>Health &amp; Safety</w:t>
                        </w:r>
                      </w:p>
                    </w:txbxContent>
                  </v:textbox>
                </v:roundrect>
                <v:roundrect id="Rounded Rectangle 67" o:spid="_x0000_s1042" style="position:absolute;left:15436;top:32994;width:15381;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" fillcolor="#163d82" stroked="f" strokeweight="1pt">
                  <v:stroke joinstyle="miter"/>
                  <v:textbox style="mso-fit-shape-to-text:t">
                    <w:txbxContent>
                      <w:p w14:paraId="07E22385" w14:textId="77777777" w:rsidR="00E25529" w:rsidRPr="00E25529" w:rsidRDefault="00E25529" w:rsidP="000D0EA9">
                        <w:pPr>
                          <w:jc w:val="center"/>
                          <w:rPr>
                            <w:rFonts w:ascii="Calibri" w:hAnsi="Calibri" w:cs="Calibri"/>
                          </w:rPr>
                        </w:pPr>
                        <w:r w:rsidRPr="00E25529">
                          <w:rPr>
                            <w:rFonts w:ascii="Calibri" w:hAnsi="Calibri" w:cs="Calibri"/>
                          </w:rPr>
                          <w:t>Asset Management</w:t>
                        </w:r>
                      </w:p>
                    </w:txbxContent>
                  </v:textbox>
                </v:roundrect>
                <v:roundrect id="Rounded Rectangle 69" o:spid="_x0000_s1043" style="position:absolute;left:32886;top:38633;width:12202;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" fillcolor="#163d82" stroked="f" strokeweight="1pt">
                  <v:stroke joinstyle="miter"/>
                  <v:textbox style="mso-fit-shape-to-text:t">
                    <w:txbxContent>
                      <w:p w14:paraId="09796383" w14:textId="77777777" w:rsidR="00E25529" w:rsidRPr="00E25529" w:rsidRDefault="00E25529" w:rsidP="000D0EA9">
                        <w:pPr>
                          <w:jc w:val="center"/>
                          <w:rPr>
                            <w:rFonts w:ascii="Calibri" w:hAnsi="Calibri" w:cs="Calibri"/>
                          </w:rPr>
                        </w:pPr>
                        <w:r w:rsidRPr="00E25529">
                          <w:rPr>
                            <w:rFonts w:ascii="Calibri" w:hAnsi="Calibri" w:cs="Calibri"/>
                          </w:rPr>
                          <w:t>Catering/Other Income</w:t>
                        </w:r>
                      </w:p>
                    </w:txbxContent>
                  </v:textbox>
                </v:roundrect>
                <v:roundrect id="Rounded Rectangle 71" o:spid="_x0000_s1044" style="position:absolute;left:29381;top:14935;width:13192;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" fillcolor="#163d82" stroked="f" strokeweight="1pt">
                  <v:stroke joinstyle="miter"/>
                  <v:textbox style="mso-fit-shape-to-text:t">
                    <w:txbxContent>
                      <w:p w14:paraId="10EB42ED" w14:textId="77777777" w:rsidR="00E25529" w:rsidRPr="00E25529" w:rsidRDefault="00E25529" w:rsidP="000D0EA9">
                        <w:pPr>
                          <w:jc w:val="center"/>
                          <w:rPr>
                            <w:rFonts w:ascii="Calibri" w:hAnsi="Calibri" w:cs="Calibri"/>
                          </w:rPr>
                        </w:pPr>
                        <w:r w:rsidRPr="00E25529">
                          <w:rPr>
                            <w:rFonts w:ascii="Calibri" w:hAnsi="Calibri" w:cs="Calibri"/>
                          </w:rPr>
                          <w:t>Governance Framework</w:t>
                        </w:r>
                      </w:p>
                    </w:txbxContent>
                  </v:textbox>
                </v:roundrect>
                <v:roundrect id="Rounded Rectangle 73" o:spid="_x0000_s1045" style="position:absolute;left:12160;top:13487;width:12906;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" fillcolor="#163d82" stroked="f" strokeweight="1pt">
                  <v:stroke joinstyle="miter"/>
                  <v:textbox style="mso-fit-shape-to-text:t">
                    <w:txbxContent>
                      <w:p w14:paraId="2C7349A0" w14:textId="77777777" w:rsidR="00E25529" w:rsidRPr="00E25529" w:rsidRDefault="00E25529" w:rsidP="000D0EA9">
                        <w:pPr>
                          <w:jc w:val="center"/>
                          <w:rPr>
                            <w:rFonts w:ascii="Calibri" w:hAnsi="Calibri" w:cs="Calibri"/>
                          </w:rPr>
                        </w:pPr>
                        <w:r w:rsidRPr="00E25529">
                          <w:rPr>
                            <w:rFonts w:ascii="Calibri" w:hAnsi="Calibri" w:cs="Calibri"/>
                          </w:rPr>
                          <w:t>Developing Internal Scrutiny</w:t>
                        </w:r>
                      </w:p>
                    </w:txbxContent>
                  </v:textbox>
                </v:roundrect>
                <v:roundrect id="Rounded Rectangle 75" o:spid="_x0000_s1046" style="position:absolute;left:57575;top:32994;width:12348;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" fillcolor="#163d82" stroked="f" strokeweight="1pt">
                  <v:stroke joinstyle="miter"/>
                  <v:textbox style="mso-fit-shape-to-text:t">
                    <w:txbxContent>
                      <w:p w14:paraId="5DDC5C8F" w14:textId="77777777" w:rsidR="00E25529" w:rsidRPr="00E25529" w:rsidRDefault="00E25529" w:rsidP="000D0EA9">
                        <w:pPr>
                          <w:jc w:val="center"/>
                          <w:rPr>
                            <w:rFonts w:ascii="Calibri" w:hAnsi="Calibri" w:cs="Calibri"/>
                          </w:rPr>
                        </w:pPr>
                        <w:r w:rsidRPr="00E25529">
                          <w:rPr>
                            <w:rFonts w:ascii="Calibri" w:hAnsi="Calibri" w:cs="Calibri"/>
                          </w:rPr>
                          <w:t>Commercial Activity</w:t>
                        </w:r>
                      </w:p>
                    </w:txbxContent>
                  </v:textbox>
                </v:roundrect>
                <v:roundrect id="Rounded Rectangle 79" o:spid="_x0000_s1047" style="position:absolute;left:51707;top:14477;width:14365;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" fillcolor="#163d82" stroked="f" strokeweight="1pt">
                  <v:stroke joinstyle="miter"/>
                  <v:textbox style="mso-fit-shape-to-text:t">
                    <w:txbxContent>
                      <w:p w14:paraId="69D7C731" w14:textId="77777777" w:rsidR="00E25529" w:rsidRPr="00E25529" w:rsidRDefault="00E25529" w:rsidP="000D0EA9">
                        <w:pPr>
                          <w:pStyle w:val="NormalWeb"/>
                          <w:jc w:val="center"/>
                          <w:rPr>
                            <w:rFonts w:asciiTheme="minorHAnsi" w:hAnsiTheme="minorHAnsi" w:cstheme="minorHAnsi"/>
                            <w:sz w:val="22"/>
                          </w:rPr>
                        </w:pPr>
                        <w:r w:rsidRPr="00E25529">
                          <w:rPr>
                            <w:rFonts w:asciiTheme="minorHAnsi" w:hAnsiTheme="minorHAnsi" w:cstheme="minorHAnsi"/>
                            <w:sz w:val="22"/>
                          </w:rPr>
                          <w:t>BREXIT</w:t>
                        </w:r>
                      </w:p>
                    </w:txbxContent>
                  </v:textbox>
                </v:roundrect>
                <v:roundrect id="Rounded Rectangle 83" o:spid="_x0000_s1048" style="position:absolute;left:68319;top:10134;width:12659;height:49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" fillcolor="#163d82" stroked="f" strokeweight="1pt">
                  <v:stroke joinstyle="miter"/>
                  <v:textbox style="mso-fit-shape-to-text:t">
                    <w:txbxContent>
                      <w:p w14:paraId="16019C90" w14:textId="77777777" w:rsidR="00E25529" w:rsidRPr="00E25529" w:rsidRDefault="00E25529" w:rsidP="00E25529">
                        <w:pPr>
                          <w:pStyle w:val="NormalWeb"/>
                          <w:jc w:val="center"/>
                          <w:rPr>
                            <w:rFonts w:asciiTheme="minorHAnsi" w:hAnsiTheme="minorHAnsi" w:cstheme="minorHAnsi"/>
                            <w:sz w:val="22"/>
                          </w:rPr>
                        </w:pPr>
                        <w:r w:rsidRPr="00E25529">
                          <w:rPr>
                            <w:rFonts w:asciiTheme="minorHAnsi" w:hAnsiTheme="minorHAnsi" w:cstheme="minorHAnsi"/>
                            <w:sz w:val="22"/>
                          </w:rPr>
                          <w:t>Funding Reductions</w:t>
                        </w:r>
                      </w:p>
                    </w:txbxContent>
                  </v:textbox>
                </v:roundrect>
                <v:roundrect id="Rounded Rectangle 85" o:spid="_x0000_s1049" style="position:absolute;left:71062;top:17830;width:16371;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" fillcolor="#163d82" stroked="f" strokeweight="1pt">
                  <v:stroke joinstyle="miter"/>
                  <v:textbox style="mso-fit-shape-to-text:t">
                    <w:txbxContent>
                      <w:p w14:paraId="56DFFA28" w14:textId="77777777" w:rsidR="00E25529" w:rsidRPr="00E25529" w:rsidRDefault="00E25529" w:rsidP="00E25529">
                        <w:pPr>
                          <w:pStyle w:val="NormalWeb"/>
                          <w:jc w:val="center"/>
                          <w:rPr>
                            <w:rFonts w:asciiTheme="minorHAnsi" w:hAnsiTheme="minorHAnsi" w:cstheme="minorHAnsi"/>
                            <w:sz w:val="22"/>
                          </w:rPr>
                        </w:pPr>
                        <w:r w:rsidRPr="00E25529">
                          <w:rPr>
                            <w:rFonts w:asciiTheme="minorHAnsi" w:hAnsiTheme="minorHAnsi" w:cstheme="minorHAnsi"/>
                            <w:sz w:val="22"/>
                          </w:rPr>
                          <w:t>Payments and Fraud</w:t>
                        </w:r>
                      </w:p>
                    </w:txbxContent>
                  </v:textbox>
                </v:roundrect>
                <v:roundrect id="Rounded Rectangle 87" o:spid="_x0000_s1050" style="position:absolute;left:7740;top:41376;width:17711;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" fillcolor="#163d82" stroked="f" strokeweight="1pt">
                  <v:stroke joinstyle="miter"/>
                  <v:textbox style="mso-fit-shape-to-text:t">
                    <w:txbxContent>
                      <w:p w14:paraId="698CB30F" w14:textId="77777777" w:rsidR="00E25529" w:rsidRPr="00E25529" w:rsidRDefault="00E25529" w:rsidP="000D0EA9">
                        <w:pPr>
                          <w:jc w:val="center"/>
                          <w:rPr>
                            <w:rFonts w:ascii="Calibri" w:hAnsi="Calibri" w:cs="Calibri"/>
                          </w:rPr>
                        </w:pPr>
                        <w:r w:rsidRPr="00E25529">
                          <w:rPr>
                            <w:rFonts w:ascii="Calibri" w:hAnsi="Calibri" w:cs="Calibri"/>
                          </w:rPr>
                          <w:t>Recharge Arrangements</w:t>
                        </w:r>
                      </w:p>
                    </w:txbxContent>
                  </v:textbox>
                </v:roundrect>
                <v:roundrect id="Rounded Rectangle 58" o:spid="_x0000_s1051" style="position:absolute;left:72739;top:37794;width:16821;height:3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" fillcolor="#163d82" stroked="f" strokeweight="1pt">
                  <v:stroke joinstyle="miter"/>
                  <v:textbox style="mso-fit-shape-to-text:t">
                    <w:txbxContent>
                      <w:p w14:paraId="55BE412E" w14:textId="77777777" w:rsidR="00E25529" w:rsidRPr="00E25529" w:rsidRDefault="00E25529" w:rsidP="000D0EA9">
                        <w:pPr>
                          <w:jc w:val="center"/>
                          <w:rPr>
                            <w:rFonts w:ascii="Calibri" w:hAnsi="Calibri" w:cs="Calibri"/>
                          </w:rPr>
                        </w:pPr>
                        <w:r w:rsidRPr="00E25529">
                          <w:rPr>
                            <w:rFonts w:ascii="Calibri" w:hAnsi="Calibri" w:cs="Calibri"/>
                          </w:rPr>
                          <w:t>Growth</w:t>
                        </w:r>
                      </w:p>
                    </w:txbxContent>
                  </v:textbox>
                </v:roundrect>
                <v:roundrect id="Rounded Rectangle 67" o:spid="_x0000_s1052" style="position:absolute;left:19399;top:46024;width:15374;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" fillcolor="#163d82" stroked="f" strokeweight="1pt">
                  <v:stroke joinstyle="miter"/>
                  <v:textbox style="mso-fit-shape-to-text:t">
                    <w:txbxContent>
                      <w:p w14:paraId="7ED76FC7" w14:textId="77777777" w:rsidR="00E25529" w:rsidRPr="00E25529" w:rsidRDefault="00E25529" w:rsidP="000D0EA9">
                        <w:pPr>
                          <w:jc w:val="center"/>
                          <w:rPr>
                            <w:rFonts w:ascii="Calibri" w:hAnsi="Calibri" w:cs="Calibri"/>
                          </w:rPr>
                        </w:pPr>
                        <w:r w:rsidRPr="00E25529">
                          <w:rPr>
                            <w:rFonts w:ascii="Calibri" w:hAnsi="Calibri" w:cs="Calibri"/>
                          </w:rPr>
                          <w:t>HR/Staff Retention</w:t>
                        </w:r>
                      </w:p>
                    </w:txbxContent>
                  </v:textbox>
                </v:roundrect>
                <v:roundrect id="Rounded Rectangle 67" o:spid="_x0000_s1053" style="position:absolute;left:49650;top:39547;width:15380;height:3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" fillcolor="#163d82" stroked="f" strokeweight="1pt">
                  <v:stroke joinstyle="miter"/>
                  <v:textbox style="mso-fit-shape-to-text:t">
                    <w:txbxContent>
                      <w:p w14:paraId="48F9360F" w14:textId="77777777" w:rsidR="00E25529" w:rsidRPr="00E25529" w:rsidRDefault="00E25529" w:rsidP="000D0EA9">
                        <w:pPr>
                          <w:jc w:val="center"/>
                          <w:rPr>
                            <w:rFonts w:ascii="Calibri" w:hAnsi="Calibri" w:cs="Calibri"/>
                          </w:rPr>
                        </w:pPr>
                        <w:r w:rsidRPr="00E25529">
                          <w:rPr>
                            <w:rFonts w:ascii="Calibri" w:hAnsi="Calibri" w:cs="Calibri"/>
                          </w:rPr>
                          <w:t>HMICFRS</w:t>
                        </w:r>
                      </w:p>
                    </w:txbxContent>
                  </v:textbox>
                </v:roundrect>
                <w10:anchorlock/>
              </v:group>
            </w:pict>
          </mc:Fallback>
        </mc:AlternateContent>
      </w:r>
    </w:p>
    <w:p w14:paraId="22EEC90F" w14:textId="77777777" w:rsidR="002B11F5" w:rsidRPr="00E25529" w:rsidRDefault="002B11F5" w:rsidP="002B11F5">
      <w:pPr>
        <w:spacing w:before="120" w:after="120" w:line="271" w:lineRule="auto"/>
        <w:jc w:val="right"/>
        <w:rPr>
          <w:rFonts w:ascii="Calibri" w:eastAsia="Calibri" w:hAnsi="Calibri" w:cs="Calibri"/>
          <w:b/>
          <w:color w:val="163D82"/>
          <w:szCs w:val="20"/>
          <w:lang w:eastAsia="en-GB"/>
        </w:rPr>
      </w:pPr>
      <w:r w:rsidRPr="00E25529">
        <w:rPr>
          <w:rFonts w:ascii="Calibri" w:eastAsia="Calibri" w:hAnsi="Calibri" w:cs="Calibri"/>
          <w:b/>
          <w:color w:val="163D82"/>
          <w:szCs w:val="20"/>
          <w:lang w:eastAsia="en-GB"/>
        </w:rPr>
        <w:lastRenderedPageBreak/>
        <w:t>Annex B: Rolling Strategic Plan</w:t>
      </w:r>
    </w:p>
    <w:p w14:paraId="3DA40543" w14:textId="77777777" w:rsidR="002B11F5" w:rsidRPr="00923712" w:rsidRDefault="002B11F5" w:rsidP="002B11F5">
      <w:pPr>
        <w:rPr>
          <w:rFonts w:cs="Arial"/>
          <w:sz w:val="18"/>
          <w:szCs w:val="18"/>
        </w:rPr>
      </w:pPr>
    </w:p>
    <w:tbl>
      <w:tblPr>
        <w:tblW w:w="4998"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000" w:firstRow="0" w:lastRow="0" w:firstColumn="0" w:lastColumn="0" w:noHBand="0" w:noVBand="0"/>
      </w:tblPr>
      <w:tblGrid>
        <w:gridCol w:w="7359"/>
        <w:gridCol w:w="1421"/>
        <w:gridCol w:w="1907"/>
        <w:gridCol w:w="1665"/>
        <w:gridCol w:w="1665"/>
        <w:gridCol w:w="1662"/>
      </w:tblGrid>
      <w:tr w:rsidR="002B11F5" w:rsidRPr="00E25529" w14:paraId="6056707D" w14:textId="77777777" w:rsidTr="002B11F5">
        <w:trPr>
          <w:tblHeader/>
        </w:trPr>
        <w:tc>
          <w:tcPr>
            <w:tcW w:w="2347" w:type="pct"/>
            <w:shd w:val="clear" w:color="auto" w:fill="163D82"/>
            <w:vAlign w:val="center"/>
          </w:tcPr>
          <w:p w14:paraId="586AB9C0" w14:textId="77777777" w:rsidR="002B11F5" w:rsidRPr="00E25529" w:rsidRDefault="002B11F5" w:rsidP="00E25529">
            <w:pPr>
              <w:spacing w:before="60" w:after="60" w:line="271" w:lineRule="auto"/>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Fundamental Review Areas</w:t>
            </w:r>
          </w:p>
          <w:p w14:paraId="1164CF7F" w14:textId="77777777" w:rsidR="002B11F5" w:rsidRPr="00E25529" w:rsidRDefault="002B11F5" w:rsidP="00E25529">
            <w:pPr>
              <w:spacing w:before="60" w:after="60" w:line="271" w:lineRule="auto"/>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To support the Head of Internal Audit opinion</w:t>
            </w:r>
          </w:p>
        </w:tc>
        <w:tc>
          <w:tcPr>
            <w:tcW w:w="453" w:type="pct"/>
            <w:shd w:val="clear" w:color="auto" w:fill="163D82"/>
            <w:vAlign w:val="center"/>
          </w:tcPr>
          <w:p w14:paraId="6378FF52" w14:textId="77777777" w:rsidR="002B11F5" w:rsidRPr="00E25529" w:rsidRDefault="002B11F5" w:rsidP="00E25529">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BAF / Risk Ref.</w:t>
            </w:r>
          </w:p>
        </w:tc>
        <w:tc>
          <w:tcPr>
            <w:tcW w:w="608" w:type="pct"/>
            <w:shd w:val="clear" w:color="auto" w:fill="163D82"/>
            <w:vAlign w:val="center"/>
          </w:tcPr>
          <w:p w14:paraId="33E7D1DE" w14:textId="77777777" w:rsidR="002B11F5" w:rsidRPr="00E25529" w:rsidRDefault="002B11F5" w:rsidP="00E25529">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Type</w:t>
            </w:r>
          </w:p>
        </w:tc>
        <w:tc>
          <w:tcPr>
            <w:tcW w:w="531" w:type="pct"/>
            <w:shd w:val="clear" w:color="auto" w:fill="163D82"/>
            <w:vAlign w:val="center"/>
          </w:tcPr>
          <w:p w14:paraId="5F6B0CC2" w14:textId="77777777" w:rsidR="002B11F5" w:rsidRPr="00E25529" w:rsidRDefault="002B11F5" w:rsidP="00E25529">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 xml:space="preserve">Yr1 </w:t>
            </w:r>
          </w:p>
        </w:tc>
        <w:tc>
          <w:tcPr>
            <w:tcW w:w="531" w:type="pct"/>
            <w:shd w:val="clear" w:color="auto" w:fill="163D82"/>
            <w:vAlign w:val="center"/>
          </w:tcPr>
          <w:p w14:paraId="28D569E3" w14:textId="77777777" w:rsidR="002B11F5" w:rsidRPr="00E25529" w:rsidRDefault="002B11F5" w:rsidP="00E25529">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 xml:space="preserve">Yr2 </w:t>
            </w:r>
          </w:p>
        </w:tc>
        <w:tc>
          <w:tcPr>
            <w:tcW w:w="530" w:type="pct"/>
            <w:shd w:val="clear" w:color="auto" w:fill="163D82"/>
            <w:vAlign w:val="center"/>
          </w:tcPr>
          <w:p w14:paraId="1E4BE329" w14:textId="77777777" w:rsidR="002B11F5" w:rsidRPr="00E25529" w:rsidRDefault="002B11F5" w:rsidP="00E25529">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Yr3</w:t>
            </w:r>
          </w:p>
        </w:tc>
      </w:tr>
      <w:tr w:rsidR="002B11F5" w:rsidRPr="00E25529" w14:paraId="69B74886" w14:textId="77777777" w:rsidTr="002B11F5">
        <w:tc>
          <w:tcPr>
            <w:tcW w:w="2347" w:type="pct"/>
            <w:shd w:val="clear" w:color="auto" w:fill="D9D9D9"/>
            <w:vAlign w:val="center"/>
          </w:tcPr>
          <w:p w14:paraId="6F264805" w14:textId="77777777" w:rsidR="002B11F5" w:rsidRPr="00E25529" w:rsidRDefault="002B11F5" w:rsidP="00E25529">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Governance</w:t>
            </w:r>
          </w:p>
        </w:tc>
        <w:tc>
          <w:tcPr>
            <w:tcW w:w="453" w:type="pct"/>
            <w:shd w:val="clear" w:color="auto" w:fill="F2F2F2" w:themeFill="background1" w:themeFillShade="F2"/>
          </w:tcPr>
          <w:p w14:paraId="2AA5D523"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36EE7A27"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5D10D38"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6FF5227D"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2A390D13"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r>
      <w:tr w:rsidR="002B11F5" w:rsidRPr="00E25529" w14:paraId="1E742C36" w14:textId="77777777" w:rsidTr="002B11F5">
        <w:tc>
          <w:tcPr>
            <w:tcW w:w="2347" w:type="pct"/>
            <w:shd w:val="clear" w:color="auto" w:fill="F2F2F2" w:themeFill="background1" w:themeFillShade="F2"/>
            <w:vAlign w:val="center"/>
          </w:tcPr>
          <w:p w14:paraId="3766267B" w14:textId="77777777" w:rsidR="002B11F5" w:rsidRPr="00E25529" w:rsidRDefault="002B11F5" w:rsidP="00E25529">
            <w:pPr>
              <w:spacing w:before="60" w:after="60" w:line="271" w:lineRule="auto"/>
              <w:jc w:val="both"/>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Key governance areas will be reviewed on a rotational basis each year such as strategic planning, strategic control, regulatory compliance, performance management, board assurance, partnership working, management of conflicts, health and safety, subsidiary governance and third party assurances.</w:t>
            </w:r>
          </w:p>
        </w:tc>
        <w:tc>
          <w:tcPr>
            <w:tcW w:w="453" w:type="pct"/>
            <w:shd w:val="clear" w:color="auto" w:fill="F2F2F2" w:themeFill="background1" w:themeFillShade="F2"/>
          </w:tcPr>
          <w:p w14:paraId="64DF0271"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5A6D8702"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r w:rsidRPr="00E25529">
              <w:rPr>
                <w:rFonts w:asciiTheme="minorHAnsi" w:hAnsiTheme="minorHAnsi" w:cstheme="minorHAnsi"/>
                <w:color w:val="000000"/>
                <w:sz w:val="18"/>
                <w:szCs w:val="18"/>
              </w:rPr>
              <w:t>Assurance</w:t>
            </w:r>
          </w:p>
        </w:tc>
        <w:tc>
          <w:tcPr>
            <w:tcW w:w="531" w:type="pct"/>
            <w:shd w:val="clear" w:color="auto" w:fill="F2F2F2" w:themeFill="background1" w:themeFillShade="F2"/>
            <w:vAlign w:val="center"/>
          </w:tcPr>
          <w:p w14:paraId="36E14F63"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CAF65DF"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6FE42534"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r>
      <w:tr w:rsidR="002B11F5" w:rsidRPr="00E25529" w14:paraId="6E1E0FFA" w14:textId="77777777" w:rsidTr="002B11F5">
        <w:tc>
          <w:tcPr>
            <w:tcW w:w="2347" w:type="pct"/>
            <w:shd w:val="clear" w:color="auto" w:fill="D9D9D9"/>
            <w:vAlign w:val="center"/>
          </w:tcPr>
          <w:p w14:paraId="69D0D1E1" w14:textId="77777777" w:rsidR="002B11F5" w:rsidRPr="00E25529" w:rsidRDefault="002B11F5" w:rsidP="00E25529">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Risk</w:t>
            </w:r>
          </w:p>
        </w:tc>
        <w:tc>
          <w:tcPr>
            <w:tcW w:w="453" w:type="pct"/>
            <w:shd w:val="clear" w:color="auto" w:fill="F2F2F2" w:themeFill="background1" w:themeFillShade="F2"/>
          </w:tcPr>
          <w:p w14:paraId="0B10A2C5"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184126FA"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1680FC45"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6D5AA66D"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49AF88C0"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r>
      <w:tr w:rsidR="002B11F5" w:rsidRPr="00E25529" w14:paraId="08E692FF" w14:textId="77777777" w:rsidTr="002B11F5">
        <w:tc>
          <w:tcPr>
            <w:tcW w:w="2347" w:type="pct"/>
            <w:shd w:val="clear" w:color="auto" w:fill="F2F2F2" w:themeFill="background1" w:themeFillShade="F2"/>
            <w:vAlign w:val="center"/>
          </w:tcPr>
          <w:p w14:paraId="1257EF0C" w14:textId="77777777" w:rsidR="002B11F5" w:rsidRPr="00E25529" w:rsidRDefault="002B11F5" w:rsidP="00E25529">
            <w:pPr>
              <w:spacing w:before="60" w:after="60" w:line="271" w:lineRule="auto"/>
              <w:jc w:val="both"/>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A robust risk management framework is critical to all organisations to ensure risks are effectively management and emerging risks identified our cyclical annual reviews will cover embedding risk, risk identification, risk mitigation and risk workshops. </w:t>
            </w:r>
          </w:p>
        </w:tc>
        <w:tc>
          <w:tcPr>
            <w:tcW w:w="453" w:type="pct"/>
            <w:shd w:val="clear" w:color="auto" w:fill="F2F2F2" w:themeFill="background1" w:themeFillShade="F2"/>
          </w:tcPr>
          <w:p w14:paraId="527A5156"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398F3000"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r w:rsidRPr="00E25529">
              <w:rPr>
                <w:rFonts w:asciiTheme="minorHAnsi" w:hAnsiTheme="minorHAnsi" w:cstheme="minorHAnsi"/>
                <w:color w:val="000000"/>
                <w:sz w:val="18"/>
                <w:szCs w:val="18"/>
              </w:rPr>
              <w:t>Appraisal</w:t>
            </w:r>
          </w:p>
        </w:tc>
        <w:tc>
          <w:tcPr>
            <w:tcW w:w="531" w:type="pct"/>
            <w:shd w:val="clear" w:color="auto" w:fill="F2F2F2" w:themeFill="background1" w:themeFillShade="F2"/>
            <w:vAlign w:val="center"/>
          </w:tcPr>
          <w:p w14:paraId="45314F16"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0FB3C5BA"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7EB53606"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r>
      <w:tr w:rsidR="002B11F5" w:rsidRPr="00E25529" w14:paraId="3DCD7FE9" w14:textId="77777777" w:rsidTr="002B11F5">
        <w:tc>
          <w:tcPr>
            <w:tcW w:w="2347" w:type="pct"/>
            <w:shd w:val="clear" w:color="auto" w:fill="D9D9D9"/>
            <w:vAlign w:val="center"/>
          </w:tcPr>
          <w:p w14:paraId="10A1FC35" w14:textId="77777777" w:rsidR="002B11F5" w:rsidRPr="00E25529" w:rsidRDefault="002B11F5" w:rsidP="00E25529">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Financial systems - Cost Control and Income Maximisation</w:t>
            </w:r>
          </w:p>
        </w:tc>
        <w:tc>
          <w:tcPr>
            <w:tcW w:w="453" w:type="pct"/>
            <w:shd w:val="clear" w:color="auto" w:fill="F2F2F2" w:themeFill="background1" w:themeFillShade="F2"/>
          </w:tcPr>
          <w:p w14:paraId="3155403E"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2E8E4CD6"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24267E11"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3BF2139"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066A79C0"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r>
      <w:tr w:rsidR="002B11F5" w:rsidRPr="00E25529" w14:paraId="6A418804" w14:textId="77777777" w:rsidTr="002B11F5">
        <w:tc>
          <w:tcPr>
            <w:tcW w:w="2347" w:type="pct"/>
            <w:shd w:val="clear" w:color="auto" w:fill="F2F2F2"/>
          </w:tcPr>
          <w:p w14:paraId="0FB0DA39" w14:textId="77777777" w:rsidR="002B11F5" w:rsidRPr="00E25529" w:rsidRDefault="002B11F5" w:rsidP="00E25529">
            <w:pPr>
              <w:spacing w:before="60" w:after="60" w:line="271" w:lineRule="auto"/>
              <w:jc w:val="both"/>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Cost control, income maximisation and robust financial systems are essential to financial well-being of any organisation. Our reviews of key financial systems are designed to ensure compliance with IIA standards and help protect against potential frauds. We will carry out a high level review of key financial systems each year supported by a rolling programme of financial system reviews such as payments health check, income, payroll, budgetary control/management reporting, cost improvement planning and nominal ledger.</w:t>
            </w:r>
          </w:p>
        </w:tc>
        <w:tc>
          <w:tcPr>
            <w:tcW w:w="453" w:type="pct"/>
            <w:shd w:val="clear" w:color="auto" w:fill="F2F2F2" w:themeFill="background1" w:themeFillShade="F2"/>
          </w:tcPr>
          <w:p w14:paraId="0EB0889D"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2575A296"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r w:rsidRPr="00E25529">
              <w:rPr>
                <w:rFonts w:asciiTheme="minorHAnsi" w:hAnsiTheme="minorHAnsi" w:cstheme="minorHAnsi"/>
                <w:color w:val="000000"/>
                <w:sz w:val="18"/>
                <w:szCs w:val="18"/>
              </w:rPr>
              <w:t>Assurance</w:t>
            </w:r>
          </w:p>
        </w:tc>
        <w:tc>
          <w:tcPr>
            <w:tcW w:w="531" w:type="pct"/>
            <w:shd w:val="clear" w:color="auto" w:fill="F2F2F2" w:themeFill="background1" w:themeFillShade="F2"/>
            <w:vAlign w:val="center"/>
          </w:tcPr>
          <w:p w14:paraId="2CEB2D22"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552F469E"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11B5105D"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r>
      <w:tr w:rsidR="002B11F5" w:rsidRPr="00E25529" w14:paraId="65981956" w14:textId="77777777" w:rsidTr="002B11F5">
        <w:tc>
          <w:tcPr>
            <w:tcW w:w="2347" w:type="pct"/>
            <w:shd w:val="clear" w:color="auto" w:fill="D9D9D9"/>
          </w:tcPr>
          <w:p w14:paraId="6F0BDF30" w14:textId="77777777" w:rsidR="002B11F5" w:rsidRPr="00E25529" w:rsidRDefault="002B11F5" w:rsidP="00E25529">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 xml:space="preserve">ICT </w:t>
            </w:r>
          </w:p>
        </w:tc>
        <w:tc>
          <w:tcPr>
            <w:tcW w:w="453" w:type="pct"/>
            <w:shd w:val="clear" w:color="auto" w:fill="F2F2F2" w:themeFill="background1" w:themeFillShade="F2"/>
          </w:tcPr>
          <w:p w14:paraId="357E1732"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414C9C3A"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312265A"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5A5616E5"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33B944FB"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r>
      <w:tr w:rsidR="002B11F5" w:rsidRPr="00E25529" w14:paraId="53546E51" w14:textId="77777777" w:rsidTr="002B11F5">
        <w:tc>
          <w:tcPr>
            <w:tcW w:w="2347" w:type="pct"/>
            <w:shd w:val="clear" w:color="auto" w:fill="F2F2F2"/>
          </w:tcPr>
          <w:p w14:paraId="1710F560" w14:textId="77777777" w:rsidR="002B11F5" w:rsidRPr="00E25529" w:rsidRDefault="002B11F5" w:rsidP="00E25529">
            <w:pPr>
              <w:spacing w:before="60" w:after="60" w:line="271" w:lineRule="auto"/>
              <w:jc w:val="both"/>
              <w:rPr>
                <w:rFonts w:asciiTheme="minorHAnsi" w:hAnsiTheme="minorHAnsi" w:cstheme="minorHAnsi"/>
                <w:sz w:val="18"/>
                <w:szCs w:val="18"/>
              </w:rPr>
            </w:pPr>
            <w:r w:rsidRPr="00E25529">
              <w:rPr>
                <w:rFonts w:asciiTheme="minorHAnsi" w:hAnsiTheme="minorHAnsi" w:cstheme="minorHAnsi"/>
                <w:sz w:val="18"/>
                <w:szCs w:val="18"/>
              </w:rPr>
              <w:t xml:space="preserve">We will use our risk assessment to continue to review ICT risks and controls in place within the organisation. The rolling programme of reviews will include data protection, ICT governance, ICT management and business support, application reviews, network security, data quality and cyber security. The audit areas will be reviewed as systems implementation develops, within areas including Chronicle, ERP upgrade, shared service transaction centre, outcomes of the budget round, impact review of </w:t>
            </w:r>
            <w:proofErr w:type="spellStart"/>
            <w:r w:rsidRPr="00E25529">
              <w:rPr>
                <w:rFonts w:asciiTheme="minorHAnsi" w:hAnsiTheme="minorHAnsi" w:cstheme="minorHAnsi"/>
                <w:sz w:val="18"/>
                <w:szCs w:val="18"/>
              </w:rPr>
              <w:t>Brexit</w:t>
            </w:r>
            <w:proofErr w:type="spellEnd"/>
            <w:r w:rsidRPr="00E25529">
              <w:rPr>
                <w:rFonts w:asciiTheme="minorHAnsi" w:hAnsiTheme="minorHAnsi" w:cstheme="minorHAnsi"/>
                <w:sz w:val="18"/>
                <w:szCs w:val="18"/>
              </w:rPr>
              <w:t xml:space="preserve"> and the OPCC plan, HR solutions.</w:t>
            </w:r>
          </w:p>
        </w:tc>
        <w:tc>
          <w:tcPr>
            <w:tcW w:w="453" w:type="pct"/>
            <w:shd w:val="clear" w:color="auto" w:fill="F2F2F2" w:themeFill="background1" w:themeFillShade="F2"/>
          </w:tcPr>
          <w:p w14:paraId="00A22464"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675AD2DD"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r w:rsidRPr="00E25529">
              <w:rPr>
                <w:rFonts w:asciiTheme="minorHAnsi" w:hAnsiTheme="minorHAnsi" w:cstheme="minorHAnsi"/>
                <w:color w:val="000000"/>
                <w:sz w:val="18"/>
                <w:szCs w:val="18"/>
              </w:rPr>
              <w:t>Assurance</w:t>
            </w:r>
          </w:p>
        </w:tc>
        <w:tc>
          <w:tcPr>
            <w:tcW w:w="531" w:type="pct"/>
            <w:shd w:val="clear" w:color="auto" w:fill="F2F2F2" w:themeFill="background1" w:themeFillShade="F2"/>
            <w:vAlign w:val="center"/>
          </w:tcPr>
          <w:p w14:paraId="22584D84"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0A28F1B"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6758C397"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r>
      <w:tr w:rsidR="002B11F5" w:rsidRPr="00E25529" w14:paraId="0653E1EF" w14:textId="77777777" w:rsidTr="002B11F5">
        <w:tc>
          <w:tcPr>
            <w:tcW w:w="2347" w:type="pct"/>
            <w:shd w:val="clear" w:color="auto" w:fill="D9D9D9"/>
          </w:tcPr>
          <w:p w14:paraId="6918F9EE" w14:textId="77777777" w:rsidR="002B11F5" w:rsidRPr="00E25529" w:rsidRDefault="002B11F5" w:rsidP="00E25529">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Follow Up</w:t>
            </w:r>
          </w:p>
        </w:tc>
        <w:tc>
          <w:tcPr>
            <w:tcW w:w="453" w:type="pct"/>
            <w:shd w:val="clear" w:color="auto" w:fill="F2F2F2" w:themeFill="background1" w:themeFillShade="F2"/>
          </w:tcPr>
          <w:p w14:paraId="7E391DDD"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703B9188"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84AFE20"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003E4DF"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20701149" w14:textId="77777777" w:rsidR="002B11F5" w:rsidRPr="00E25529" w:rsidRDefault="002B11F5" w:rsidP="00E25529">
            <w:pPr>
              <w:spacing w:before="60" w:after="60" w:line="271" w:lineRule="auto"/>
              <w:ind w:right="35"/>
              <w:jc w:val="center"/>
              <w:rPr>
                <w:rFonts w:asciiTheme="minorHAnsi" w:hAnsiTheme="minorHAnsi" w:cstheme="minorHAnsi"/>
                <w:color w:val="000000"/>
                <w:sz w:val="18"/>
                <w:szCs w:val="18"/>
              </w:rPr>
            </w:pPr>
          </w:p>
        </w:tc>
      </w:tr>
      <w:tr w:rsidR="002B11F5" w:rsidRPr="00E25529" w14:paraId="5D3E4C6D" w14:textId="77777777" w:rsidTr="002B11F5">
        <w:tc>
          <w:tcPr>
            <w:tcW w:w="2347" w:type="pct"/>
            <w:shd w:val="clear" w:color="auto" w:fill="F2F2F2" w:themeFill="background1" w:themeFillShade="F2"/>
            <w:vAlign w:val="center"/>
          </w:tcPr>
          <w:p w14:paraId="5B0F3B14" w14:textId="77777777" w:rsidR="002B11F5" w:rsidRPr="00E25529" w:rsidRDefault="002B11F5" w:rsidP="00E25529">
            <w:pPr>
              <w:spacing w:before="60" w:after="60" w:line="271" w:lineRule="auto"/>
              <w:jc w:val="both"/>
              <w:rPr>
                <w:rFonts w:asciiTheme="minorHAnsi" w:hAnsiTheme="minorHAnsi" w:cstheme="minorHAnsi"/>
                <w:color w:val="000000"/>
                <w:sz w:val="18"/>
                <w:szCs w:val="18"/>
                <w:lang w:eastAsia="en-GB"/>
              </w:rPr>
            </w:pPr>
            <w:r w:rsidRPr="00E25529">
              <w:rPr>
                <w:rFonts w:asciiTheme="minorHAnsi" w:hAnsiTheme="minorHAnsi" w:cstheme="minorHAnsi"/>
                <w:color w:val="000000"/>
                <w:sz w:val="18"/>
                <w:szCs w:val="18"/>
                <w:lang w:eastAsia="en-GB"/>
              </w:rPr>
              <w:t>We will carry out a bi-annual follow up of internal audit recommendations. Updates will be provided bi-annually to the Audit Committee.</w:t>
            </w:r>
          </w:p>
        </w:tc>
        <w:tc>
          <w:tcPr>
            <w:tcW w:w="453" w:type="pct"/>
            <w:shd w:val="clear" w:color="auto" w:fill="F2F2F2" w:themeFill="background1" w:themeFillShade="F2"/>
          </w:tcPr>
          <w:p w14:paraId="725A6360"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p>
        </w:tc>
        <w:tc>
          <w:tcPr>
            <w:tcW w:w="608" w:type="pct"/>
            <w:shd w:val="clear" w:color="auto" w:fill="F2F2F2" w:themeFill="background1" w:themeFillShade="F2"/>
            <w:vAlign w:val="center"/>
          </w:tcPr>
          <w:p w14:paraId="10A35669" w14:textId="77777777" w:rsidR="002B11F5" w:rsidRPr="00E25529" w:rsidRDefault="002B11F5" w:rsidP="00E25529">
            <w:pPr>
              <w:spacing w:before="60" w:after="60" w:line="271" w:lineRule="auto"/>
              <w:jc w:val="center"/>
              <w:rPr>
                <w:rFonts w:asciiTheme="minorHAnsi" w:hAnsiTheme="minorHAnsi" w:cstheme="minorHAnsi"/>
                <w:color w:val="000000"/>
                <w:sz w:val="18"/>
                <w:szCs w:val="18"/>
              </w:rPr>
            </w:pPr>
            <w:r w:rsidRPr="00E25529">
              <w:rPr>
                <w:rFonts w:asciiTheme="minorHAnsi" w:hAnsiTheme="minorHAnsi" w:cstheme="minorHAnsi"/>
                <w:color w:val="000000"/>
                <w:sz w:val="18"/>
                <w:szCs w:val="18"/>
              </w:rPr>
              <w:t>Follow Up</w:t>
            </w:r>
          </w:p>
        </w:tc>
        <w:tc>
          <w:tcPr>
            <w:tcW w:w="531" w:type="pct"/>
            <w:shd w:val="clear" w:color="auto" w:fill="F2F2F2" w:themeFill="background1" w:themeFillShade="F2"/>
            <w:vAlign w:val="center"/>
          </w:tcPr>
          <w:p w14:paraId="6536A96C" w14:textId="77777777" w:rsidR="002B11F5" w:rsidRPr="00E25529" w:rsidDel="00C62517"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D0E85AC"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312B17D6" w14:textId="77777777" w:rsidR="002B11F5" w:rsidRPr="00E25529" w:rsidRDefault="002B11F5" w:rsidP="00E25529">
            <w:pPr>
              <w:pStyle w:val="ListParagraph"/>
              <w:numPr>
                <w:ilvl w:val="0"/>
                <w:numId w:val="10"/>
              </w:numPr>
              <w:spacing w:before="60" w:after="60" w:line="271" w:lineRule="auto"/>
              <w:ind w:right="35"/>
              <w:jc w:val="center"/>
              <w:rPr>
                <w:rFonts w:asciiTheme="minorHAnsi" w:hAnsiTheme="minorHAnsi" w:cstheme="minorHAnsi"/>
                <w:color w:val="000000"/>
                <w:sz w:val="18"/>
                <w:szCs w:val="18"/>
              </w:rPr>
            </w:pPr>
          </w:p>
        </w:tc>
      </w:tr>
    </w:tbl>
    <w:p w14:paraId="31753C56" w14:textId="77777777" w:rsidR="002B11F5" w:rsidRDefault="002B11F5" w:rsidP="002B11F5">
      <w:pPr>
        <w:rPr>
          <w:rFonts w:eastAsia="Calibri" w:cs="Arial"/>
          <w:b/>
          <w:color w:val="163D82"/>
          <w:szCs w:val="20"/>
          <w:lang w:eastAsia="en-GB"/>
        </w:rPr>
      </w:pPr>
      <w:r>
        <w:rPr>
          <w:rFonts w:eastAsia="Calibri" w:cs="Arial"/>
          <w:b/>
          <w:color w:val="163D82"/>
          <w:szCs w:val="20"/>
          <w:lang w:eastAsia="en-GB"/>
        </w:rPr>
        <w:br w:type="page"/>
      </w:r>
    </w:p>
    <w:p w14:paraId="68B3801F" w14:textId="77777777" w:rsidR="002B11F5" w:rsidRPr="007448A7" w:rsidRDefault="002B11F5" w:rsidP="002B11F5">
      <w:pPr>
        <w:rPr>
          <w:sz w:val="18"/>
          <w:szCs w:val="18"/>
        </w:rPr>
      </w:pPr>
    </w:p>
    <w:tbl>
      <w:tblPr>
        <w:tblW w:w="4998"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000" w:firstRow="0" w:lastRow="0" w:firstColumn="0" w:lastColumn="0" w:noHBand="0" w:noVBand="0"/>
      </w:tblPr>
      <w:tblGrid>
        <w:gridCol w:w="7360"/>
        <w:gridCol w:w="1662"/>
        <w:gridCol w:w="1665"/>
        <w:gridCol w:w="1665"/>
        <w:gridCol w:w="1665"/>
        <w:gridCol w:w="1662"/>
      </w:tblGrid>
      <w:tr w:rsidR="002B11F5" w:rsidRPr="00E25529" w14:paraId="6C7FCCC9" w14:textId="77777777" w:rsidTr="00E25529">
        <w:trPr>
          <w:tblHeader/>
        </w:trPr>
        <w:tc>
          <w:tcPr>
            <w:tcW w:w="2347" w:type="pct"/>
            <w:shd w:val="clear" w:color="auto" w:fill="163D82"/>
            <w:vAlign w:val="center"/>
          </w:tcPr>
          <w:p w14:paraId="49471BB9" w14:textId="77777777" w:rsidR="002B11F5" w:rsidRPr="00E25529" w:rsidRDefault="002B11F5" w:rsidP="002B11F5">
            <w:pPr>
              <w:spacing w:before="60" w:after="60" w:line="271" w:lineRule="auto"/>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 xml:space="preserve">Review Area </w:t>
            </w:r>
          </w:p>
        </w:tc>
        <w:tc>
          <w:tcPr>
            <w:tcW w:w="530" w:type="pct"/>
            <w:shd w:val="clear" w:color="auto" w:fill="163D82"/>
            <w:vAlign w:val="center"/>
          </w:tcPr>
          <w:p w14:paraId="47FF68B7" w14:textId="77777777" w:rsidR="002B11F5" w:rsidRPr="00E25529" w:rsidRDefault="002B11F5" w:rsidP="002B11F5">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BAF / Risk Ref.</w:t>
            </w:r>
          </w:p>
        </w:tc>
        <w:tc>
          <w:tcPr>
            <w:tcW w:w="531" w:type="pct"/>
            <w:shd w:val="clear" w:color="auto" w:fill="163D82"/>
            <w:vAlign w:val="center"/>
          </w:tcPr>
          <w:p w14:paraId="2C610C86" w14:textId="77777777" w:rsidR="002B11F5" w:rsidRPr="00E25529" w:rsidRDefault="002B11F5" w:rsidP="002B11F5">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Type</w:t>
            </w:r>
          </w:p>
        </w:tc>
        <w:tc>
          <w:tcPr>
            <w:tcW w:w="531" w:type="pct"/>
            <w:shd w:val="clear" w:color="auto" w:fill="163D82"/>
            <w:vAlign w:val="center"/>
          </w:tcPr>
          <w:p w14:paraId="222A3491" w14:textId="77777777" w:rsidR="002B11F5" w:rsidRPr="00E25529" w:rsidRDefault="002B11F5" w:rsidP="002B11F5">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2020/21</w:t>
            </w:r>
          </w:p>
        </w:tc>
        <w:tc>
          <w:tcPr>
            <w:tcW w:w="531" w:type="pct"/>
            <w:shd w:val="clear" w:color="auto" w:fill="163D82"/>
            <w:vAlign w:val="center"/>
          </w:tcPr>
          <w:p w14:paraId="482F67E1" w14:textId="77777777" w:rsidR="002B11F5" w:rsidRPr="00E25529" w:rsidRDefault="002B11F5" w:rsidP="002B11F5">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2021/22</w:t>
            </w:r>
          </w:p>
        </w:tc>
        <w:tc>
          <w:tcPr>
            <w:tcW w:w="530" w:type="pct"/>
            <w:shd w:val="clear" w:color="auto" w:fill="163D82"/>
            <w:vAlign w:val="center"/>
          </w:tcPr>
          <w:p w14:paraId="5DB10E55" w14:textId="77777777" w:rsidR="002B11F5" w:rsidRPr="00E25529" w:rsidRDefault="002B11F5" w:rsidP="002B11F5">
            <w:pPr>
              <w:spacing w:before="60" w:after="60" w:line="271" w:lineRule="auto"/>
              <w:jc w:val="center"/>
              <w:rPr>
                <w:rFonts w:asciiTheme="minorHAnsi" w:hAnsiTheme="minorHAnsi" w:cstheme="minorHAnsi"/>
                <w:b/>
                <w:color w:val="FFFFFF"/>
                <w:sz w:val="20"/>
                <w:szCs w:val="18"/>
              </w:rPr>
            </w:pPr>
            <w:r w:rsidRPr="00E25529">
              <w:rPr>
                <w:rFonts w:asciiTheme="minorHAnsi" w:hAnsiTheme="minorHAnsi" w:cstheme="minorHAnsi"/>
                <w:b/>
                <w:color w:val="FFFFFF"/>
                <w:sz w:val="20"/>
                <w:szCs w:val="18"/>
              </w:rPr>
              <w:t>2022/23</w:t>
            </w:r>
          </w:p>
        </w:tc>
      </w:tr>
      <w:tr w:rsidR="002B11F5" w:rsidRPr="007448A7" w14:paraId="105898C6" w14:textId="77777777" w:rsidTr="002B11F5">
        <w:tc>
          <w:tcPr>
            <w:tcW w:w="2347" w:type="pct"/>
            <w:shd w:val="clear" w:color="auto" w:fill="D9D9D9"/>
            <w:vAlign w:val="center"/>
          </w:tcPr>
          <w:p w14:paraId="7DE02929"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Governance</w:t>
            </w:r>
          </w:p>
        </w:tc>
        <w:tc>
          <w:tcPr>
            <w:tcW w:w="530" w:type="pct"/>
            <w:shd w:val="clear" w:color="auto" w:fill="F2F2F2" w:themeFill="background1" w:themeFillShade="F2"/>
          </w:tcPr>
          <w:p w14:paraId="1B980AB3"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2DF31CC"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7861E80"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2F4CE19A"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3377A744"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3A2F0FDA" w14:textId="77777777" w:rsidTr="002B11F5">
        <w:tc>
          <w:tcPr>
            <w:tcW w:w="2347" w:type="pct"/>
            <w:shd w:val="clear" w:color="auto" w:fill="F2F2F2" w:themeFill="background1" w:themeFillShade="F2"/>
            <w:vAlign w:val="center"/>
          </w:tcPr>
          <w:p w14:paraId="31E998D5"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Governance – OPCC Contingency</w:t>
            </w:r>
          </w:p>
          <w:p w14:paraId="6998DFFE"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to include: SARC contract</w:t>
            </w:r>
          </w:p>
          <w:p w14:paraId="28D61174"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Commissioner Grants </w:t>
            </w:r>
          </w:p>
          <w:p w14:paraId="3768647C"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(provider justification of grant/ how effective is the</w:t>
            </w:r>
          </w:p>
          <w:p w14:paraId="3AE3BE9E"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process/ KPIs and the providers systems)</w:t>
            </w:r>
          </w:p>
        </w:tc>
        <w:tc>
          <w:tcPr>
            <w:tcW w:w="530" w:type="pct"/>
            <w:shd w:val="clear" w:color="auto" w:fill="F2F2F2" w:themeFill="background1" w:themeFillShade="F2"/>
          </w:tcPr>
          <w:p w14:paraId="4E14778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239945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75FC867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10</w:t>
            </w:r>
          </w:p>
        </w:tc>
        <w:tc>
          <w:tcPr>
            <w:tcW w:w="531" w:type="pct"/>
            <w:shd w:val="clear" w:color="auto" w:fill="F2F2F2" w:themeFill="background1" w:themeFillShade="F2"/>
            <w:vAlign w:val="center"/>
          </w:tcPr>
          <w:p w14:paraId="73BFCAF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10</w:t>
            </w:r>
          </w:p>
        </w:tc>
        <w:tc>
          <w:tcPr>
            <w:tcW w:w="530" w:type="pct"/>
            <w:shd w:val="clear" w:color="auto" w:fill="F2F2F2" w:themeFill="background1" w:themeFillShade="F2"/>
            <w:vAlign w:val="center"/>
          </w:tcPr>
          <w:p w14:paraId="1FDB4692"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10</w:t>
            </w:r>
          </w:p>
        </w:tc>
      </w:tr>
      <w:tr w:rsidR="002B11F5" w:rsidRPr="007448A7" w14:paraId="38785A8C" w14:textId="77777777" w:rsidTr="002B11F5">
        <w:tc>
          <w:tcPr>
            <w:tcW w:w="2347" w:type="pct"/>
            <w:shd w:val="clear" w:color="auto" w:fill="F2F2F2" w:themeFill="background1" w:themeFillShade="F2"/>
            <w:vAlign w:val="center"/>
          </w:tcPr>
          <w:p w14:paraId="3A7FFC9B"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Governance – Strategic Control and Corporate Governance</w:t>
            </w:r>
          </w:p>
        </w:tc>
        <w:tc>
          <w:tcPr>
            <w:tcW w:w="530" w:type="pct"/>
            <w:shd w:val="clear" w:color="auto" w:fill="F2F2F2" w:themeFill="background1" w:themeFillShade="F2"/>
          </w:tcPr>
          <w:p w14:paraId="5B0A9B0D"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0EB2C45"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190E382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8</w:t>
            </w:r>
          </w:p>
        </w:tc>
        <w:tc>
          <w:tcPr>
            <w:tcW w:w="531" w:type="pct"/>
            <w:shd w:val="clear" w:color="auto" w:fill="F2F2F2" w:themeFill="background1" w:themeFillShade="F2"/>
            <w:vAlign w:val="center"/>
          </w:tcPr>
          <w:p w14:paraId="518CBE8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1F7722A2"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6E76E8B1" w14:textId="77777777" w:rsidTr="002B11F5">
        <w:tc>
          <w:tcPr>
            <w:tcW w:w="2347" w:type="pct"/>
            <w:shd w:val="clear" w:color="auto" w:fill="F2F2F2" w:themeFill="background1" w:themeFillShade="F2"/>
            <w:vAlign w:val="center"/>
          </w:tcPr>
          <w:p w14:paraId="7C368173"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Governance – Data Quality</w:t>
            </w:r>
          </w:p>
        </w:tc>
        <w:tc>
          <w:tcPr>
            <w:tcW w:w="530" w:type="pct"/>
            <w:shd w:val="clear" w:color="auto" w:fill="F2F2F2" w:themeFill="background1" w:themeFillShade="F2"/>
          </w:tcPr>
          <w:p w14:paraId="52111BC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75628211"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5F24C6E7"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0EF6828"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1B7B910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4C566405" w14:textId="77777777" w:rsidTr="002B11F5">
        <w:tc>
          <w:tcPr>
            <w:tcW w:w="2347" w:type="pct"/>
            <w:shd w:val="clear" w:color="auto" w:fill="F2F2F2" w:themeFill="background1" w:themeFillShade="F2"/>
            <w:vAlign w:val="center"/>
          </w:tcPr>
          <w:p w14:paraId="62C9CEE0"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Governance – Ethical Standards</w:t>
            </w:r>
          </w:p>
        </w:tc>
        <w:tc>
          <w:tcPr>
            <w:tcW w:w="530" w:type="pct"/>
            <w:shd w:val="clear" w:color="auto" w:fill="F2F2F2" w:themeFill="background1" w:themeFillShade="F2"/>
          </w:tcPr>
          <w:p w14:paraId="73125BE3"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25BFE9D"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3E439D4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2F5C19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691100B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391CDBED" w14:textId="77777777" w:rsidTr="002B11F5">
        <w:tc>
          <w:tcPr>
            <w:tcW w:w="2347" w:type="pct"/>
            <w:shd w:val="clear" w:color="auto" w:fill="F2F2F2" w:themeFill="background1" w:themeFillShade="F2"/>
            <w:vAlign w:val="center"/>
          </w:tcPr>
          <w:p w14:paraId="2947FC58"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Governance – Performance Management</w:t>
            </w:r>
          </w:p>
        </w:tc>
        <w:tc>
          <w:tcPr>
            <w:tcW w:w="530" w:type="pct"/>
            <w:shd w:val="clear" w:color="auto" w:fill="F2F2F2" w:themeFill="background1" w:themeFillShade="F2"/>
          </w:tcPr>
          <w:p w14:paraId="49A87E5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60044059"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1E2587A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0D0D12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05F5933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8</w:t>
            </w:r>
          </w:p>
        </w:tc>
      </w:tr>
      <w:tr w:rsidR="002B11F5" w:rsidRPr="007448A7" w14:paraId="4A1FD574" w14:textId="77777777" w:rsidTr="002B11F5">
        <w:tc>
          <w:tcPr>
            <w:tcW w:w="2347" w:type="pct"/>
            <w:shd w:val="clear" w:color="auto" w:fill="D9D9D9"/>
            <w:vAlign w:val="center"/>
          </w:tcPr>
          <w:p w14:paraId="5CB33A03"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Risk Management</w:t>
            </w:r>
          </w:p>
        </w:tc>
        <w:tc>
          <w:tcPr>
            <w:tcW w:w="530" w:type="pct"/>
            <w:shd w:val="clear" w:color="auto" w:fill="F2F2F2" w:themeFill="background1" w:themeFillShade="F2"/>
          </w:tcPr>
          <w:p w14:paraId="62C57FAC"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4DBFC99E"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51A68DF6"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DA0EEDB"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21F83541"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2C77A98B" w14:textId="77777777" w:rsidTr="002B11F5">
        <w:tc>
          <w:tcPr>
            <w:tcW w:w="2347" w:type="pct"/>
            <w:shd w:val="clear" w:color="auto" w:fill="F2F2F2"/>
            <w:vAlign w:val="center"/>
          </w:tcPr>
          <w:p w14:paraId="424CB0FC"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Risk Management – Contingency</w:t>
            </w:r>
          </w:p>
          <w:p w14:paraId="132E9854"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to include: Mitigating Controls</w:t>
            </w:r>
          </w:p>
          <w:p w14:paraId="7D968DC0"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Embedding Culture</w:t>
            </w:r>
          </w:p>
        </w:tc>
        <w:tc>
          <w:tcPr>
            <w:tcW w:w="530" w:type="pct"/>
            <w:shd w:val="clear" w:color="auto" w:fill="F2F2F2" w:themeFill="background1" w:themeFillShade="F2"/>
          </w:tcPr>
          <w:p w14:paraId="13C90AA5"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1439</w:t>
            </w:r>
          </w:p>
        </w:tc>
        <w:tc>
          <w:tcPr>
            <w:tcW w:w="531" w:type="pct"/>
            <w:shd w:val="clear" w:color="auto" w:fill="F2F2F2" w:themeFill="background1" w:themeFillShade="F2"/>
            <w:vAlign w:val="center"/>
          </w:tcPr>
          <w:p w14:paraId="22AA143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71D6454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442C1FE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6BD02DB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2A6488EC" w14:textId="77777777" w:rsidTr="002B11F5">
        <w:tc>
          <w:tcPr>
            <w:tcW w:w="2347" w:type="pct"/>
            <w:shd w:val="clear" w:color="auto" w:fill="F2F2F2"/>
            <w:vAlign w:val="center"/>
          </w:tcPr>
          <w:p w14:paraId="05AFF2F8"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Risk Management – Projects/Property</w:t>
            </w:r>
          </w:p>
        </w:tc>
        <w:tc>
          <w:tcPr>
            <w:tcW w:w="530" w:type="pct"/>
            <w:shd w:val="clear" w:color="auto" w:fill="F2F2F2" w:themeFill="background1" w:themeFillShade="F2"/>
          </w:tcPr>
          <w:p w14:paraId="4A08D3C8"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FB188A1"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68D374AF"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13304281"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3D741C0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56DE34F2" w14:textId="77777777" w:rsidTr="002B11F5">
        <w:tc>
          <w:tcPr>
            <w:tcW w:w="2347" w:type="pct"/>
            <w:shd w:val="clear" w:color="auto" w:fill="D9D9D9"/>
            <w:vAlign w:val="center"/>
          </w:tcPr>
          <w:p w14:paraId="6DE57EAD"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ICT</w:t>
            </w:r>
          </w:p>
        </w:tc>
        <w:tc>
          <w:tcPr>
            <w:tcW w:w="530" w:type="pct"/>
            <w:shd w:val="clear" w:color="auto" w:fill="F2F2F2" w:themeFill="background1" w:themeFillShade="F2"/>
          </w:tcPr>
          <w:p w14:paraId="1839B4DA"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8DBC85D"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22A28854"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5054D1C3"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60FFF81C"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254DB2E7" w14:textId="77777777" w:rsidTr="002B11F5">
        <w:tc>
          <w:tcPr>
            <w:tcW w:w="2347" w:type="pct"/>
            <w:shd w:val="clear" w:color="auto" w:fill="F2F2F2" w:themeFill="background1" w:themeFillShade="F2"/>
            <w:vAlign w:val="center"/>
          </w:tcPr>
          <w:p w14:paraId="6C7F7C29"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ICT – Disaster Recovery</w:t>
            </w:r>
          </w:p>
        </w:tc>
        <w:tc>
          <w:tcPr>
            <w:tcW w:w="530" w:type="pct"/>
            <w:shd w:val="clear" w:color="auto" w:fill="F2F2F2" w:themeFill="background1" w:themeFillShade="F2"/>
          </w:tcPr>
          <w:p w14:paraId="71CB290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1523</w:t>
            </w:r>
          </w:p>
        </w:tc>
        <w:tc>
          <w:tcPr>
            <w:tcW w:w="531" w:type="pct"/>
            <w:shd w:val="clear" w:color="auto" w:fill="F2F2F2" w:themeFill="background1" w:themeFillShade="F2"/>
            <w:vAlign w:val="center"/>
          </w:tcPr>
          <w:p w14:paraId="19F0EBCC"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4A92C242"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7B332CF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7550515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7338041C" w14:textId="77777777" w:rsidTr="002B11F5">
        <w:tc>
          <w:tcPr>
            <w:tcW w:w="2347" w:type="pct"/>
            <w:shd w:val="clear" w:color="auto" w:fill="F2F2F2" w:themeFill="background1" w:themeFillShade="F2"/>
            <w:vAlign w:val="center"/>
          </w:tcPr>
          <w:p w14:paraId="30D50D3A"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ICT – Data Assurance</w:t>
            </w:r>
          </w:p>
        </w:tc>
        <w:tc>
          <w:tcPr>
            <w:tcW w:w="530" w:type="pct"/>
            <w:shd w:val="clear" w:color="auto" w:fill="F2F2F2" w:themeFill="background1" w:themeFillShade="F2"/>
          </w:tcPr>
          <w:p w14:paraId="78694495"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1523/1552/1569</w:t>
            </w:r>
          </w:p>
        </w:tc>
        <w:tc>
          <w:tcPr>
            <w:tcW w:w="531" w:type="pct"/>
            <w:shd w:val="clear" w:color="auto" w:fill="F2F2F2" w:themeFill="background1" w:themeFillShade="F2"/>
            <w:vAlign w:val="center"/>
          </w:tcPr>
          <w:p w14:paraId="7978F226"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2FEE9CE8"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700648EB"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3C285B01"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223D6FC2" w14:textId="77777777" w:rsidTr="002B11F5">
        <w:tc>
          <w:tcPr>
            <w:tcW w:w="2347" w:type="pct"/>
            <w:shd w:val="clear" w:color="auto" w:fill="F2F2F2" w:themeFill="background1" w:themeFillShade="F2"/>
            <w:vAlign w:val="center"/>
          </w:tcPr>
          <w:p w14:paraId="4702A2B4"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ICT – Cyber Security</w:t>
            </w:r>
          </w:p>
        </w:tc>
        <w:tc>
          <w:tcPr>
            <w:tcW w:w="530" w:type="pct"/>
            <w:shd w:val="clear" w:color="auto" w:fill="F2F2F2" w:themeFill="background1" w:themeFillShade="F2"/>
          </w:tcPr>
          <w:p w14:paraId="4B28A909"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71E98958"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2746F55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683E2A78"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33F03C1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4BD91C5F" w14:textId="77777777" w:rsidTr="002B11F5">
        <w:tc>
          <w:tcPr>
            <w:tcW w:w="2347" w:type="pct"/>
            <w:shd w:val="clear" w:color="auto" w:fill="F2F2F2" w:themeFill="background1" w:themeFillShade="F2"/>
            <w:vAlign w:val="center"/>
          </w:tcPr>
          <w:p w14:paraId="29F52A90"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ICT – Business Continuity</w:t>
            </w:r>
          </w:p>
        </w:tc>
        <w:tc>
          <w:tcPr>
            <w:tcW w:w="530" w:type="pct"/>
            <w:shd w:val="clear" w:color="auto" w:fill="F2F2F2" w:themeFill="background1" w:themeFillShade="F2"/>
          </w:tcPr>
          <w:p w14:paraId="3D6E9BEC"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57607CC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2B9EF80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C9D8D9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134EA9E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60D982E7" w14:textId="77777777" w:rsidTr="002B11F5">
        <w:tc>
          <w:tcPr>
            <w:tcW w:w="2347" w:type="pct"/>
            <w:shd w:val="clear" w:color="auto" w:fill="F2F2F2" w:themeFill="background1" w:themeFillShade="F2"/>
            <w:vAlign w:val="center"/>
          </w:tcPr>
          <w:p w14:paraId="63224259"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ICT – Network Security</w:t>
            </w:r>
          </w:p>
        </w:tc>
        <w:tc>
          <w:tcPr>
            <w:tcW w:w="530" w:type="pct"/>
            <w:shd w:val="clear" w:color="auto" w:fill="F2F2F2" w:themeFill="background1" w:themeFillShade="F2"/>
          </w:tcPr>
          <w:p w14:paraId="3458485E"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9DD178A"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71DCD75B"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03EB02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3FF97A6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5ACCBFCF" w14:textId="77777777" w:rsidTr="002B11F5">
        <w:tc>
          <w:tcPr>
            <w:tcW w:w="2347" w:type="pct"/>
            <w:shd w:val="clear" w:color="auto" w:fill="F2F2F2" w:themeFill="background1" w:themeFillShade="F2"/>
            <w:vAlign w:val="center"/>
          </w:tcPr>
          <w:p w14:paraId="137FCEAF"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ICT – Firewall</w:t>
            </w:r>
          </w:p>
        </w:tc>
        <w:tc>
          <w:tcPr>
            <w:tcW w:w="530" w:type="pct"/>
            <w:shd w:val="clear" w:color="auto" w:fill="F2F2F2" w:themeFill="background1" w:themeFillShade="F2"/>
          </w:tcPr>
          <w:p w14:paraId="2928BF3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1B3D01FE"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0E8232A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3DE388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6F2ADF7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2BABD127" w14:textId="77777777" w:rsidTr="002B11F5">
        <w:tc>
          <w:tcPr>
            <w:tcW w:w="2347" w:type="pct"/>
            <w:shd w:val="clear" w:color="auto" w:fill="D9D9D9"/>
          </w:tcPr>
          <w:p w14:paraId="7BE75CB6"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Finance</w:t>
            </w:r>
          </w:p>
        </w:tc>
        <w:tc>
          <w:tcPr>
            <w:tcW w:w="530" w:type="pct"/>
            <w:shd w:val="clear" w:color="auto" w:fill="F2F2F2" w:themeFill="background1" w:themeFillShade="F2"/>
          </w:tcPr>
          <w:p w14:paraId="75DC9D43"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2B8A09F4"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69AC9DCB"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1E2E71E1"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76D38540"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26FCA693" w14:textId="77777777" w:rsidTr="002B11F5">
        <w:tc>
          <w:tcPr>
            <w:tcW w:w="2347" w:type="pct"/>
            <w:shd w:val="clear" w:color="auto" w:fill="F2F2F2" w:themeFill="background1" w:themeFillShade="F2"/>
            <w:vAlign w:val="center"/>
          </w:tcPr>
          <w:p w14:paraId="79838408"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Key Financial Controls</w:t>
            </w:r>
          </w:p>
        </w:tc>
        <w:tc>
          <w:tcPr>
            <w:tcW w:w="530" w:type="pct"/>
            <w:shd w:val="clear" w:color="auto" w:fill="F2F2F2" w:themeFill="background1" w:themeFillShade="F2"/>
          </w:tcPr>
          <w:p w14:paraId="456D0FF5"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1435</w:t>
            </w:r>
          </w:p>
        </w:tc>
        <w:tc>
          <w:tcPr>
            <w:tcW w:w="531" w:type="pct"/>
            <w:shd w:val="clear" w:color="auto" w:fill="F2F2F2" w:themeFill="background1" w:themeFillShade="F2"/>
            <w:vAlign w:val="center"/>
          </w:tcPr>
          <w:p w14:paraId="0409F6F6"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0D53DD6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6560E44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51222BF1"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1EA67C82" w14:textId="77777777" w:rsidTr="002B11F5">
        <w:tc>
          <w:tcPr>
            <w:tcW w:w="2347" w:type="pct"/>
            <w:shd w:val="clear" w:color="auto" w:fill="F2F2F2" w:themeFill="background1" w:themeFillShade="F2"/>
            <w:vAlign w:val="center"/>
          </w:tcPr>
          <w:p w14:paraId="04EF9DA6"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Payroll</w:t>
            </w:r>
          </w:p>
        </w:tc>
        <w:tc>
          <w:tcPr>
            <w:tcW w:w="530" w:type="pct"/>
            <w:shd w:val="clear" w:color="auto" w:fill="F2F2F2" w:themeFill="background1" w:themeFillShade="F2"/>
          </w:tcPr>
          <w:p w14:paraId="777FAA31"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77B0FF2D"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5C3A5868"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455E7FBF"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5557A6C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4DED3DA2" w14:textId="77777777" w:rsidTr="002B11F5">
        <w:tc>
          <w:tcPr>
            <w:tcW w:w="2347" w:type="pct"/>
            <w:shd w:val="clear" w:color="auto" w:fill="F2F2F2" w:themeFill="background1" w:themeFillShade="F2"/>
            <w:vAlign w:val="center"/>
          </w:tcPr>
          <w:p w14:paraId="74035AFE"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Purchase/Credit Cards</w:t>
            </w:r>
          </w:p>
        </w:tc>
        <w:tc>
          <w:tcPr>
            <w:tcW w:w="530" w:type="pct"/>
            <w:shd w:val="clear" w:color="auto" w:fill="F2F2F2" w:themeFill="background1" w:themeFillShade="F2"/>
          </w:tcPr>
          <w:p w14:paraId="3FC6C553"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78CCF2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7FF3E86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4B26A99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2544729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322F550F" w14:textId="77777777" w:rsidTr="002B11F5">
        <w:tc>
          <w:tcPr>
            <w:tcW w:w="2347" w:type="pct"/>
            <w:shd w:val="clear" w:color="auto" w:fill="F2F2F2" w:themeFill="background1" w:themeFillShade="F2"/>
            <w:vAlign w:val="center"/>
          </w:tcPr>
          <w:p w14:paraId="579C4A64"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Pensions Administration</w:t>
            </w:r>
          </w:p>
        </w:tc>
        <w:tc>
          <w:tcPr>
            <w:tcW w:w="530" w:type="pct"/>
            <w:shd w:val="clear" w:color="auto" w:fill="F2F2F2" w:themeFill="background1" w:themeFillShade="F2"/>
          </w:tcPr>
          <w:p w14:paraId="21DEC7E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7AA7C02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1082C2A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373371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4</w:t>
            </w:r>
          </w:p>
        </w:tc>
        <w:tc>
          <w:tcPr>
            <w:tcW w:w="530" w:type="pct"/>
            <w:shd w:val="clear" w:color="auto" w:fill="F2F2F2" w:themeFill="background1" w:themeFillShade="F2"/>
            <w:vAlign w:val="center"/>
          </w:tcPr>
          <w:p w14:paraId="7615822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57DDFDDC" w14:textId="77777777" w:rsidTr="002B11F5">
        <w:tc>
          <w:tcPr>
            <w:tcW w:w="2347" w:type="pct"/>
            <w:shd w:val="clear" w:color="auto" w:fill="F2F2F2" w:themeFill="background1" w:themeFillShade="F2"/>
            <w:vAlign w:val="center"/>
          </w:tcPr>
          <w:p w14:paraId="5CDEE528"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Accounts Payable</w:t>
            </w:r>
          </w:p>
        </w:tc>
        <w:tc>
          <w:tcPr>
            <w:tcW w:w="530" w:type="pct"/>
            <w:shd w:val="clear" w:color="auto" w:fill="F2F2F2" w:themeFill="background1" w:themeFillShade="F2"/>
          </w:tcPr>
          <w:p w14:paraId="6E0A1F06"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15550DD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Compliance</w:t>
            </w:r>
          </w:p>
        </w:tc>
        <w:tc>
          <w:tcPr>
            <w:tcW w:w="531" w:type="pct"/>
            <w:shd w:val="clear" w:color="auto" w:fill="F2F2F2" w:themeFill="background1" w:themeFillShade="F2"/>
            <w:vAlign w:val="center"/>
          </w:tcPr>
          <w:p w14:paraId="7AFF95F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A280CE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2D84B9F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43228491" w14:textId="77777777" w:rsidTr="002B11F5">
        <w:tc>
          <w:tcPr>
            <w:tcW w:w="2347" w:type="pct"/>
            <w:shd w:val="clear" w:color="auto" w:fill="F2F2F2" w:themeFill="background1" w:themeFillShade="F2"/>
            <w:vAlign w:val="center"/>
          </w:tcPr>
          <w:p w14:paraId="7A60BA4F"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Overtime, Expenses and Additional Payments</w:t>
            </w:r>
          </w:p>
        </w:tc>
        <w:tc>
          <w:tcPr>
            <w:tcW w:w="530" w:type="pct"/>
            <w:shd w:val="clear" w:color="auto" w:fill="F2F2F2" w:themeFill="background1" w:themeFillShade="F2"/>
          </w:tcPr>
          <w:p w14:paraId="6BD85D49"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667FABA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Compliance</w:t>
            </w:r>
          </w:p>
        </w:tc>
        <w:tc>
          <w:tcPr>
            <w:tcW w:w="531" w:type="pct"/>
            <w:shd w:val="clear" w:color="auto" w:fill="F2F2F2" w:themeFill="background1" w:themeFillShade="F2"/>
            <w:vAlign w:val="center"/>
          </w:tcPr>
          <w:p w14:paraId="4AE8584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E8F108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617AE7FB"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1C3C7773" w14:textId="77777777" w:rsidTr="002B11F5">
        <w:tc>
          <w:tcPr>
            <w:tcW w:w="2347" w:type="pct"/>
            <w:shd w:val="clear" w:color="auto" w:fill="F2F2F2" w:themeFill="background1" w:themeFillShade="F2"/>
            <w:vAlign w:val="center"/>
          </w:tcPr>
          <w:p w14:paraId="1E44763C"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Budgetary Control</w:t>
            </w:r>
          </w:p>
        </w:tc>
        <w:tc>
          <w:tcPr>
            <w:tcW w:w="530" w:type="pct"/>
            <w:shd w:val="clear" w:color="auto" w:fill="F2F2F2" w:themeFill="background1" w:themeFillShade="F2"/>
          </w:tcPr>
          <w:p w14:paraId="4378A12E"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5CC433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083A94B5"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A67986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034F820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761A8006" w14:textId="77777777" w:rsidTr="002B11F5">
        <w:tc>
          <w:tcPr>
            <w:tcW w:w="2347" w:type="pct"/>
            <w:shd w:val="clear" w:color="auto" w:fill="D9D9D9"/>
          </w:tcPr>
          <w:p w14:paraId="3ACD528E"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Estate Management</w:t>
            </w:r>
          </w:p>
        </w:tc>
        <w:tc>
          <w:tcPr>
            <w:tcW w:w="530" w:type="pct"/>
            <w:shd w:val="clear" w:color="auto" w:fill="F2F2F2" w:themeFill="background1" w:themeFillShade="F2"/>
          </w:tcPr>
          <w:p w14:paraId="71E4D458"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2B32E19"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5EFC7848"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169F3E19"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761DF3AF"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2C2DE698" w14:textId="77777777" w:rsidTr="002B11F5">
        <w:tc>
          <w:tcPr>
            <w:tcW w:w="2347" w:type="pct"/>
            <w:shd w:val="clear" w:color="auto" w:fill="F2F2F2"/>
            <w:vAlign w:val="center"/>
          </w:tcPr>
          <w:p w14:paraId="71AE6555"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Estate Management – Contingency</w:t>
            </w:r>
          </w:p>
          <w:p w14:paraId="4A725129"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to include: Procurement</w:t>
            </w:r>
          </w:p>
          <w:p w14:paraId="1EA05F4C"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Maintenance and Repairs</w:t>
            </w:r>
          </w:p>
          <w:p w14:paraId="0974B271"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Strategy</w:t>
            </w:r>
          </w:p>
        </w:tc>
        <w:tc>
          <w:tcPr>
            <w:tcW w:w="530" w:type="pct"/>
            <w:shd w:val="clear" w:color="auto" w:fill="F2F2F2" w:themeFill="background1" w:themeFillShade="F2"/>
            <w:vAlign w:val="center"/>
          </w:tcPr>
          <w:p w14:paraId="5CEE45A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BF2349D"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55D93FEE"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0A765F9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7A3DB3F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2DE50165" w14:textId="77777777" w:rsidTr="002B11F5">
        <w:tc>
          <w:tcPr>
            <w:tcW w:w="2347" w:type="pct"/>
            <w:shd w:val="clear" w:color="auto" w:fill="F2F2F2"/>
            <w:vAlign w:val="center"/>
          </w:tcPr>
          <w:p w14:paraId="77F4235E"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Estate Management – Value for money out of estate/Benefits Realisation</w:t>
            </w:r>
          </w:p>
        </w:tc>
        <w:tc>
          <w:tcPr>
            <w:tcW w:w="530" w:type="pct"/>
            <w:shd w:val="clear" w:color="auto" w:fill="F2F2F2" w:themeFill="background1" w:themeFillShade="F2"/>
            <w:vAlign w:val="center"/>
          </w:tcPr>
          <w:p w14:paraId="6BFDB84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7F940BD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6D97BF13"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718A391B"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5EBDAEB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1611BF75" w14:textId="77777777" w:rsidTr="002B11F5">
        <w:tc>
          <w:tcPr>
            <w:tcW w:w="2347" w:type="pct"/>
            <w:shd w:val="clear" w:color="auto" w:fill="D9D9D9"/>
            <w:vAlign w:val="center"/>
          </w:tcPr>
          <w:p w14:paraId="457341C7"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Fleet Management (Low priority – not planned)</w:t>
            </w:r>
          </w:p>
        </w:tc>
        <w:tc>
          <w:tcPr>
            <w:tcW w:w="530" w:type="pct"/>
            <w:shd w:val="clear" w:color="auto" w:fill="F2F2F2" w:themeFill="background1" w:themeFillShade="F2"/>
          </w:tcPr>
          <w:p w14:paraId="71AF5112"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6DC62150"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64F8EAFA"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C5B6ED5"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1AB7BE71"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37A15BF3" w14:textId="77777777" w:rsidTr="002B11F5">
        <w:tc>
          <w:tcPr>
            <w:tcW w:w="2347" w:type="pct"/>
            <w:shd w:val="clear" w:color="auto" w:fill="F2F2F2" w:themeFill="background1" w:themeFillShade="F2"/>
            <w:vAlign w:val="center"/>
          </w:tcPr>
          <w:p w14:paraId="41EAAD24"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Fleet Management - Procurement</w:t>
            </w:r>
          </w:p>
        </w:tc>
        <w:tc>
          <w:tcPr>
            <w:tcW w:w="530" w:type="pct"/>
            <w:shd w:val="clear" w:color="auto" w:fill="F2F2F2" w:themeFill="background1" w:themeFillShade="F2"/>
          </w:tcPr>
          <w:p w14:paraId="63011C69"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CABDC49"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282EA4D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076175C"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6D6ADCB1"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4C524989" w14:textId="77777777" w:rsidTr="002B11F5">
        <w:tc>
          <w:tcPr>
            <w:tcW w:w="2347" w:type="pct"/>
            <w:shd w:val="clear" w:color="auto" w:fill="F2F2F2" w:themeFill="background1" w:themeFillShade="F2"/>
            <w:vAlign w:val="center"/>
          </w:tcPr>
          <w:p w14:paraId="4451579D"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Fleet Management – Maintenance, Repairs, Disposal &amp; Fuel Use</w:t>
            </w:r>
          </w:p>
        </w:tc>
        <w:tc>
          <w:tcPr>
            <w:tcW w:w="530" w:type="pct"/>
            <w:shd w:val="clear" w:color="auto" w:fill="F2F2F2" w:themeFill="background1" w:themeFillShade="F2"/>
          </w:tcPr>
          <w:p w14:paraId="7F9AEFCF"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75EEC6DE"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6450176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6F9F964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5854E7E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41AFA07A" w14:textId="77777777" w:rsidTr="002B11F5">
        <w:tc>
          <w:tcPr>
            <w:tcW w:w="2347" w:type="pct"/>
            <w:shd w:val="clear" w:color="auto" w:fill="D9D9D9" w:themeFill="background1" w:themeFillShade="D9"/>
            <w:vAlign w:val="center"/>
          </w:tcPr>
          <w:p w14:paraId="0BDBEFD4"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HR Management (to include effectiveness of operational outcomes)</w:t>
            </w:r>
          </w:p>
        </w:tc>
        <w:tc>
          <w:tcPr>
            <w:tcW w:w="530" w:type="pct"/>
            <w:shd w:val="clear" w:color="auto" w:fill="F2F2F2" w:themeFill="background1" w:themeFillShade="F2"/>
          </w:tcPr>
          <w:p w14:paraId="0F8C5071"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14F6A9EA"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55E12596"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96BD272"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787528EA"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1F8FEE61" w14:textId="77777777" w:rsidTr="002B11F5">
        <w:tc>
          <w:tcPr>
            <w:tcW w:w="2347" w:type="pct"/>
            <w:shd w:val="clear" w:color="auto" w:fill="F2F2F2" w:themeFill="background1" w:themeFillShade="F2"/>
            <w:vAlign w:val="center"/>
          </w:tcPr>
          <w:p w14:paraId="09AC51C0"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HR Management – The system to manage people</w:t>
            </w:r>
          </w:p>
        </w:tc>
        <w:tc>
          <w:tcPr>
            <w:tcW w:w="530" w:type="pct"/>
            <w:shd w:val="clear" w:color="auto" w:fill="F2F2F2" w:themeFill="background1" w:themeFillShade="F2"/>
          </w:tcPr>
          <w:p w14:paraId="32C8D5A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1439</w:t>
            </w:r>
          </w:p>
        </w:tc>
        <w:tc>
          <w:tcPr>
            <w:tcW w:w="531" w:type="pct"/>
            <w:shd w:val="clear" w:color="auto" w:fill="F2F2F2" w:themeFill="background1" w:themeFillShade="F2"/>
            <w:vAlign w:val="center"/>
          </w:tcPr>
          <w:p w14:paraId="5DB9CD5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3C06B894"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68E3CDE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065FAD81"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r>
      <w:tr w:rsidR="002B11F5" w:rsidRPr="007448A7" w14:paraId="7D0FE287" w14:textId="77777777" w:rsidTr="002B11F5">
        <w:tc>
          <w:tcPr>
            <w:tcW w:w="2347" w:type="pct"/>
            <w:shd w:val="clear" w:color="auto" w:fill="F2F2F2" w:themeFill="background1" w:themeFillShade="F2"/>
            <w:vAlign w:val="center"/>
          </w:tcPr>
          <w:p w14:paraId="6FB8C1C6"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HR Management – Change process/Complaints/Grievance (dealing with litigation)</w:t>
            </w:r>
          </w:p>
        </w:tc>
        <w:tc>
          <w:tcPr>
            <w:tcW w:w="530" w:type="pct"/>
            <w:shd w:val="clear" w:color="auto" w:fill="F2F2F2" w:themeFill="background1" w:themeFillShade="F2"/>
          </w:tcPr>
          <w:p w14:paraId="1DEEAE29"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1439</w:t>
            </w:r>
          </w:p>
        </w:tc>
        <w:tc>
          <w:tcPr>
            <w:tcW w:w="531" w:type="pct"/>
            <w:shd w:val="clear" w:color="auto" w:fill="F2F2F2" w:themeFill="background1" w:themeFillShade="F2"/>
            <w:vAlign w:val="center"/>
          </w:tcPr>
          <w:p w14:paraId="689C1DA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482A89CD"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22F55A29"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3990A4D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r>
      <w:tr w:rsidR="002B11F5" w:rsidRPr="007448A7" w14:paraId="6236F705" w14:textId="77777777" w:rsidTr="002B11F5">
        <w:tc>
          <w:tcPr>
            <w:tcW w:w="2347" w:type="pct"/>
            <w:shd w:val="clear" w:color="auto" w:fill="F2F2F2" w:themeFill="background1" w:themeFillShade="F2"/>
            <w:vAlign w:val="center"/>
          </w:tcPr>
          <w:p w14:paraId="657257DE"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HR Management – Recruitment</w:t>
            </w:r>
          </w:p>
        </w:tc>
        <w:tc>
          <w:tcPr>
            <w:tcW w:w="530" w:type="pct"/>
            <w:shd w:val="clear" w:color="auto" w:fill="F2F2F2" w:themeFill="background1" w:themeFillShade="F2"/>
          </w:tcPr>
          <w:p w14:paraId="6EA1BF2E"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E303841"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2AEAE8DC"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10F4123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7E6ACC9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r>
      <w:tr w:rsidR="002B11F5" w:rsidRPr="007448A7" w14:paraId="281203E4" w14:textId="77777777" w:rsidTr="002B11F5">
        <w:tc>
          <w:tcPr>
            <w:tcW w:w="2347" w:type="pct"/>
            <w:shd w:val="clear" w:color="auto" w:fill="F2F2F2" w:themeFill="background1" w:themeFillShade="F2"/>
            <w:vAlign w:val="center"/>
          </w:tcPr>
          <w:p w14:paraId="71AF6FED"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HR Management – Learning and Development</w:t>
            </w:r>
          </w:p>
        </w:tc>
        <w:tc>
          <w:tcPr>
            <w:tcW w:w="530" w:type="pct"/>
            <w:shd w:val="clear" w:color="auto" w:fill="F2F2F2" w:themeFill="background1" w:themeFillShade="F2"/>
          </w:tcPr>
          <w:p w14:paraId="7265D3A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47749D2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5FBCEC81"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6DC9F1D1"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774EE0C6"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75CE6D03" w14:textId="77777777" w:rsidTr="002B11F5">
        <w:tc>
          <w:tcPr>
            <w:tcW w:w="2347" w:type="pct"/>
            <w:shd w:val="clear" w:color="auto" w:fill="F2F2F2" w:themeFill="background1" w:themeFillShade="F2"/>
            <w:vAlign w:val="center"/>
          </w:tcPr>
          <w:p w14:paraId="562C1453"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HR Management – Absence Management &amp; Occupational Health</w:t>
            </w:r>
          </w:p>
        </w:tc>
        <w:tc>
          <w:tcPr>
            <w:tcW w:w="530" w:type="pct"/>
            <w:shd w:val="clear" w:color="auto" w:fill="F2F2F2" w:themeFill="background1" w:themeFillShade="F2"/>
          </w:tcPr>
          <w:p w14:paraId="74148D7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5383FBDA"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0961AA26"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2C92004"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78DDF35F"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772C217D" w14:textId="77777777" w:rsidTr="002B11F5">
        <w:tc>
          <w:tcPr>
            <w:tcW w:w="2347" w:type="pct"/>
            <w:shd w:val="clear" w:color="auto" w:fill="D9D9D9" w:themeFill="background1" w:themeFillShade="D9"/>
            <w:vAlign w:val="center"/>
          </w:tcPr>
          <w:p w14:paraId="2BA9D23E" w14:textId="77777777" w:rsidR="002B11F5" w:rsidRPr="00E25529" w:rsidRDefault="002B11F5" w:rsidP="002B11F5">
            <w:pPr>
              <w:spacing w:before="60" w:after="60" w:line="271" w:lineRule="auto"/>
              <w:rPr>
                <w:rFonts w:asciiTheme="minorHAnsi" w:hAnsiTheme="minorHAnsi" w:cstheme="minorHAnsi"/>
                <w:sz w:val="18"/>
                <w:szCs w:val="18"/>
              </w:rPr>
            </w:pPr>
            <w:r w:rsidRPr="00E25529">
              <w:rPr>
                <w:rFonts w:asciiTheme="minorHAnsi" w:hAnsiTheme="minorHAnsi" w:cstheme="minorHAnsi"/>
                <w:b/>
                <w:color w:val="163D82"/>
                <w:sz w:val="18"/>
                <w:szCs w:val="18"/>
              </w:rPr>
              <w:t>Services</w:t>
            </w:r>
          </w:p>
        </w:tc>
        <w:tc>
          <w:tcPr>
            <w:tcW w:w="530" w:type="pct"/>
            <w:shd w:val="clear" w:color="auto" w:fill="F2F2F2" w:themeFill="background1" w:themeFillShade="F2"/>
          </w:tcPr>
          <w:p w14:paraId="2CF36FB6"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12117522"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42C74EED"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732BAF10"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6DE7F843"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7A449D84" w14:textId="77777777" w:rsidTr="002B11F5">
        <w:tc>
          <w:tcPr>
            <w:tcW w:w="2347" w:type="pct"/>
            <w:shd w:val="clear" w:color="auto" w:fill="F2F2F2" w:themeFill="background1" w:themeFillShade="F2"/>
            <w:vAlign w:val="center"/>
          </w:tcPr>
          <w:p w14:paraId="730DC20D"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Seized Cash</w:t>
            </w:r>
          </w:p>
        </w:tc>
        <w:tc>
          <w:tcPr>
            <w:tcW w:w="530" w:type="pct"/>
            <w:shd w:val="clear" w:color="auto" w:fill="F2F2F2" w:themeFill="background1" w:themeFillShade="F2"/>
          </w:tcPr>
          <w:p w14:paraId="71DA607C"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61B4675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Compliance</w:t>
            </w:r>
          </w:p>
        </w:tc>
        <w:tc>
          <w:tcPr>
            <w:tcW w:w="531" w:type="pct"/>
            <w:shd w:val="clear" w:color="auto" w:fill="F2F2F2" w:themeFill="background1" w:themeFillShade="F2"/>
            <w:vAlign w:val="center"/>
          </w:tcPr>
          <w:p w14:paraId="60EC420D"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4</w:t>
            </w:r>
          </w:p>
        </w:tc>
        <w:tc>
          <w:tcPr>
            <w:tcW w:w="531" w:type="pct"/>
            <w:shd w:val="clear" w:color="auto" w:fill="F2F2F2" w:themeFill="background1" w:themeFillShade="F2"/>
            <w:vAlign w:val="center"/>
          </w:tcPr>
          <w:p w14:paraId="62AECC5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4</w:t>
            </w:r>
          </w:p>
        </w:tc>
        <w:tc>
          <w:tcPr>
            <w:tcW w:w="530" w:type="pct"/>
            <w:shd w:val="clear" w:color="auto" w:fill="F2F2F2" w:themeFill="background1" w:themeFillShade="F2"/>
            <w:vAlign w:val="center"/>
          </w:tcPr>
          <w:p w14:paraId="66E1AA0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4</w:t>
            </w:r>
          </w:p>
        </w:tc>
      </w:tr>
      <w:tr w:rsidR="002B11F5" w:rsidRPr="007448A7" w14:paraId="390D8C81" w14:textId="77777777" w:rsidTr="002B11F5">
        <w:tc>
          <w:tcPr>
            <w:tcW w:w="2347" w:type="pct"/>
            <w:shd w:val="clear" w:color="auto" w:fill="F2F2F2" w:themeFill="background1" w:themeFillShade="F2"/>
            <w:vAlign w:val="center"/>
          </w:tcPr>
          <w:p w14:paraId="355BBC07" w14:textId="77777777" w:rsidR="002B11F5" w:rsidRPr="00E25529" w:rsidDel="00067256"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FOI/Data Protection/Document Security</w:t>
            </w:r>
          </w:p>
        </w:tc>
        <w:tc>
          <w:tcPr>
            <w:tcW w:w="530" w:type="pct"/>
            <w:shd w:val="clear" w:color="auto" w:fill="F2F2F2" w:themeFill="background1" w:themeFillShade="F2"/>
          </w:tcPr>
          <w:p w14:paraId="1B4921C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1552</w:t>
            </w:r>
          </w:p>
        </w:tc>
        <w:tc>
          <w:tcPr>
            <w:tcW w:w="531" w:type="pct"/>
            <w:shd w:val="clear" w:color="auto" w:fill="F2F2F2" w:themeFill="background1" w:themeFillShade="F2"/>
            <w:vAlign w:val="center"/>
          </w:tcPr>
          <w:p w14:paraId="5FA087FB" w14:textId="77777777" w:rsidR="002B11F5" w:rsidRPr="00E25529" w:rsidDel="00067256"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2C8DA218"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50903A8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48211ACA" w14:textId="77777777" w:rsidR="002B11F5" w:rsidRPr="00E25529" w:rsidDel="00067256"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03354E85" w14:textId="77777777" w:rsidTr="002B11F5">
        <w:tc>
          <w:tcPr>
            <w:tcW w:w="2347" w:type="pct"/>
            <w:shd w:val="clear" w:color="auto" w:fill="F2F2F2" w:themeFill="background1" w:themeFillShade="F2"/>
            <w:vAlign w:val="center"/>
          </w:tcPr>
          <w:p w14:paraId="2DB09262"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Duty Management System (New ERP system – Benefits realisation)</w:t>
            </w:r>
          </w:p>
        </w:tc>
        <w:tc>
          <w:tcPr>
            <w:tcW w:w="530" w:type="pct"/>
            <w:shd w:val="clear" w:color="auto" w:fill="F2F2F2" w:themeFill="background1" w:themeFillShade="F2"/>
          </w:tcPr>
          <w:p w14:paraId="69EC7EC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0C7CB6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7BD393C5"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7ED8ECD7"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8</w:t>
            </w:r>
          </w:p>
        </w:tc>
        <w:tc>
          <w:tcPr>
            <w:tcW w:w="530" w:type="pct"/>
            <w:shd w:val="clear" w:color="auto" w:fill="F2F2F2" w:themeFill="background1" w:themeFillShade="F2"/>
            <w:vAlign w:val="center"/>
          </w:tcPr>
          <w:p w14:paraId="6302F31B"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19C32E8F" w14:textId="77777777" w:rsidTr="002B11F5">
        <w:tc>
          <w:tcPr>
            <w:tcW w:w="2347" w:type="pct"/>
            <w:shd w:val="clear" w:color="auto" w:fill="F2F2F2" w:themeFill="background1" w:themeFillShade="F2"/>
            <w:vAlign w:val="center"/>
          </w:tcPr>
          <w:p w14:paraId="54F6DDC0"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Corporate Communications</w:t>
            </w:r>
          </w:p>
        </w:tc>
        <w:tc>
          <w:tcPr>
            <w:tcW w:w="530" w:type="pct"/>
            <w:shd w:val="clear" w:color="auto" w:fill="F2F2F2" w:themeFill="background1" w:themeFillShade="F2"/>
          </w:tcPr>
          <w:p w14:paraId="1DA5F375"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27987C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Appraisal</w:t>
            </w:r>
          </w:p>
        </w:tc>
        <w:tc>
          <w:tcPr>
            <w:tcW w:w="531" w:type="pct"/>
            <w:shd w:val="clear" w:color="auto" w:fill="F2F2F2" w:themeFill="background1" w:themeFillShade="F2"/>
            <w:vAlign w:val="center"/>
          </w:tcPr>
          <w:p w14:paraId="0B5AA095"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ECF2BF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5CD6067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65672B34" w14:textId="77777777" w:rsidTr="002B11F5">
        <w:tc>
          <w:tcPr>
            <w:tcW w:w="2347" w:type="pct"/>
            <w:shd w:val="clear" w:color="auto" w:fill="F2F2F2" w:themeFill="background1" w:themeFillShade="F2"/>
            <w:vAlign w:val="center"/>
          </w:tcPr>
          <w:p w14:paraId="6FDDD09B"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Collaborations (low priority)</w:t>
            </w:r>
          </w:p>
        </w:tc>
        <w:tc>
          <w:tcPr>
            <w:tcW w:w="530" w:type="pct"/>
            <w:shd w:val="clear" w:color="auto" w:fill="F2F2F2" w:themeFill="background1" w:themeFillShade="F2"/>
          </w:tcPr>
          <w:p w14:paraId="2B98AE0A"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1B59867C"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Appraisal</w:t>
            </w:r>
          </w:p>
        </w:tc>
        <w:tc>
          <w:tcPr>
            <w:tcW w:w="531" w:type="pct"/>
            <w:shd w:val="clear" w:color="auto" w:fill="F2F2F2" w:themeFill="background1" w:themeFillShade="F2"/>
            <w:vAlign w:val="center"/>
          </w:tcPr>
          <w:p w14:paraId="5488F62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557E50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37F8F8A2"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r>
      <w:tr w:rsidR="002B11F5" w:rsidRPr="007448A7" w14:paraId="7060DCC4" w14:textId="77777777" w:rsidTr="002B11F5">
        <w:tc>
          <w:tcPr>
            <w:tcW w:w="2347" w:type="pct"/>
            <w:shd w:val="clear" w:color="auto" w:fill="F2F2F2" w:themeFill="background1" w:themeFillShade="F2"/>
            <w:vAlign w:val="center"/>
          </w:tcPr>
          <w:p w14:paraId="41F14740"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Lone/Agile Working</w:t>
            </w:r>
          </w:p>
        </w:tc>
        <w:tc>
          <w:tcPr>
            <w:tcW w:w="530" w:type="pct"/>
            <w:shd w:val="clear" w:color="auto" w:fill="F2F2F2" w:themeFill="background1" w:themeFillShade="F2"/>
          </w:tcPr>
          <w:p w14:paraId="60474887"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9B63A9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4EF15FC8"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1CF461B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665545BA"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143DF017" w14:textId="77777777" w:rsidTr="002B11F5">
        <w:tc>
          <w:tcPr>
            <w:tcW w:w="2347" w:type="pct"/>
            <w:shd w:val="clear" w:color="auto" w:fill="F2F2F2" w:themeFill="background1" w:themeFillShade="F2"/>
            <w:vAlign w:val="center"/>
          </w:tcPr>
          <w:p w14:paraId="4F023022"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Digital Data</w:t>
            </w:r>
          </w:p>
        </w:tc>
        <w:tc>
          <w:tcPr>
            <w:tcW w:w="530" w:type="pct"/>
            <w:shd w:val="clear" w:color="auto" w:fill="F2F2F2" w:themeFill="background1" w:themeFillShade="F2"/>
          </w:tcPr>
          <w:p w14:paraId="21FD559B"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EC9D934"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Assurance</w:t>
            </w:r>
          </w:p>
        </w:tc>
        <w:tc>
          <w:tcPr>
            <w:tcW w:w="531" w:type="pct"/>
            <w:shd w:val="clear" w:color="auto" w:fill="F2F2F2" w:themeFill="background1" w:themeFillShade="F2"/>
            <w:vAlign w:val="center"/>
          </w:tcPr>
          <w:p w14:paraId="709E54B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524CC7F"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p>
        </w:tc>
        <w:tc>
          <w:tcPr>
            <w:tcW w:w="530" w:type="pct"/>
            <w:shd w:val="clear" w:color="auto" w:fill="F2F2F2" w:themeFill="background1" w:themeFillShade="F2"/>
            <w:vAlign w:val="center"/>
          </w:tcPr>
          <w:p w14:paraId="6FC5D9B5"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7392AEFF" w14:textId="77777777" w:rsidTr="002B11F5">
        <w:tc>
          <w:tcPr>
            <w:tcW w:w="2347" w:type="pct"/>
            <w:shd w:val="clear" w:color="auto" w:fill="D9D9D9"/>
            <w:vAlign w:val="center"/>
          </w:tcPr>
          <w:p w14:paraId="18AFD542" w14:textId="77777777" w:rsidR="002B11F5" w:rsidRPr="00E25529" w:rsidRDefault="002B11F5" w:rsidP="002B11F5">
            <w:pPr>
              <w:spacing w:before="60" w:after="60" w:line="271" w:lineRule="auto"/>
              <w:rPr>
                <w:rFonts w:asciiTheme="minorHAnsi" w:hAnsiTheme="minorHAnsi" w:cstheme="minorHAnsi"/>
                <w:color w:val="163D82"/>
                <w:sz w:val="18"/>
                <w:szCs w:val="18"/>
              </w:rPr>
            </w:pPr>
            <w:r w:rsidRPr="00E25529">
              <w:rPr>
                <w:rFonts w:asciiTheme="minorHAnsi" w:hAnsiTheme="minorHAnsi" w:cstheme="minorHAnsi"/>
                <w:b/>
                <w:color w:val="163D82"/>
                <w:sz w:val="18"/>
                <w:szCs w:val="18"/>
              </w:rPr>
              <w:t>Management and Planning</w:t>
            </w:r>
          </w:p>
        </w:tc>
        <w:tc>
          <w:tcPr>
            <w:tcW w:w="530" w:type="pct"/>
            <w:shd w:val="clear" w:color="auto" w:fill="F2F2F2" w:themeFill="background1" w:themeFillShade="F2"/>
          </w:tcPr>
          <w:p w14:paraId="2C950318"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6BA47972"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1FD4006E"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232132BC"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c>
          <w:tcPr>
            <w:tcW w:w="530" w:type="pct"/>
            <w:shd w:val="clear" w:color="auto" w:fill="F2F2F2" w:themeFill="background1" w:themeFillShade="F2"/>
            <w:vAlign w:val="center"/>
          </w:tcPr>
          <w:p w14:paraId="4BA427AB" w14:textId="77777777" w:rsidR="002B11F5" w:rsidRPr="00E25529" w:rsidRDefault="002B11F5" w:rsidP="002B11F5">
            <w:pPr>
              <w:spacing w:before="60" w:after="60" w:line="271" w:lineRule="auto"/>
              <w:ind w:right="35"/>
              <w:jc w:val="center"/>
              <w:rPr>
                <w:rFonts w:asciiTheme="minorHAnsi" w:hAnsiTheme="minorHAnsi" w:cstheme="minorHAnsi"/>
                <w:color w:val="000000"/>
                <w:sz w:val="18"/>
                <w:szCs w:val="18"/>
              </w:rPr>
            </w:pPr>
          </w:p>
        </w:tc>
      </w:tr>
      <w:tr w:rsidR="002B11F5" w:rsidRPr="007448A7" w14:paraId="47ACC3B0" w14:textId="77777777" w:rsidTr="002B11F5">
        <w:tc>
          <w:tcPr>
            <w:tcW w:w="2347" w:type="pct"/>
            <w:shd w:val="clear" w:color="auto" w:fill="F2F2F2" w:themeFill="background1" w:themeFillShade="F2"/>
            <w:vAlign w:val="center"/>
          </w:tcPr>
          <w:p w14:paraId="5D5071B5"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Follow up (twice a year)</w:t>
            </w:r>
          </w:p>
        </w:tc>
        <w:tc>
          <w:tcPr>
            <w:tcW w:w="530" w:type="pct"/>
            <w:shd w:val="clear" w:color="auto" w:fill="F2F2F2" w:themeFill="background1" w:themeFillShade="F2"/>
          </w:tcPr>
          <w:p w14:paraId="72271D5E"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619E9F93"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F/Up</w:t>
            </w:r>
          </w:p>
        </w:tc>
        <w:tc>
          <w:tcPr>
            <w:tcW w:w="531" w:type="pct"/>
            <w:shd w:val="clear" w:color="auto" w:fill="F2F2F2" w:themeFill="background1" w:themeFillShade="F2"/>
            <w:vAlign w:val="center"/>
          </w:tcPr>
          <w:p w14:paraId="1D5CB122"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1" w:type="pct"/>
            <w:shd w:val="clear" w:color="auto" w:fill="F2F2F2" w:themeFill="background1" w:themeFillShade="F2"/>
            <w:vAlign w:val="center"/>
          </w:tcPr>
          <w:p w14:paraId="080419F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c>
          <w:tcPr>
            <w:tcW w:w="530" w:type="pct"/>
            <w:shd w:val="clear" w:color="auto" w:fill="F2F2F2" w:themeFill="background1" w:themeFillShade="F2"/>
            <w:vAlign w:val="center"/>
          </w:tcPr>
          <w:p w14:paraId="20646CC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6</w:t>
            </w:r>
          </w:p>
        </w:tc>
      </w:tr>
      <w:tr w:rsidR="002B11F5" w:rsidRPr="007448A7" w14:paraId="04D94F54" w14:textId="77777777" w:rsidTr="002B11F5">
        <w:tc>
          <w:tcPr>
            <w:tcW w:w="2347" w:type="pct"/>
            <w:shd w:val="clear" w:color="auto" w:fill="F2F2F2" w:themeFill="background1" w:themeFillShade="F2"/>
            <w:vAlign w:val="center"/>
          </w:tcPr>
          <w:p w14:paraId="49DC0AC8"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Strategic and Annual Plan</w:t>
            </w:r>
          </w:p>
        </w:tc>
        <w:tc>
          <w:tcPr>
            <w:tcW w:w="530" w:type="pct"/>
            <w:shd w:val="clear" w:color="auto" w:fill="F2F2F2" w:themeFill="background1" w:themeFillShade="F2"/>
          </w:tcPr>
          <w:p w14:paraId="19967E5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D788CDE"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54C0F74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w:t>
            </w:r>
          </w:p>
        </w:tc>
        <w:tc>
          <w:tcPr>
            <w:tcW w:w="531" w:type="pct"/>
            <w:shd w:val="clear" w:color="auto" w:fill="F2F2F2" w:themeFill="background1" w:themeFillShade="F2"/>
            <w:vAlign w:val="center"/>
          </w:tcPr>
          <w:p w14:paraId="09DAC4A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w:t>
            </w:r>
          </w:p>
        </w:tc>
        <w:tc>
          <w:tcPr>
            <w:tcW w:w="530" w:type="pct"/>
            <w:shd w:val="clear" w:color="auto" w:fill="F2F2F2" w:themeFill="background1" w:themeFillShade="F2"/>
            <w:vAlign w:val="center"/>
          </w:tcPr>
          <w:p w14:paraId="28B6B8B9"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w:t>
            </w:r>
          </w:p>
        </w:tc>
      </w:tr>
      <w:tr w:rsidR="002B11F5" w:rsidRPr="007448A7" w14:paraId="4D26D2D8" w14:textId="77777777" w:rsidTr="002B11F5">
        <w:tc>
          <w:tcPr>
            <w:tcW w:w="2347" w:type="pct"/>
            <w:shd w:val="clear" w:color="auto" w:fill="F2F2F2" w:themeFill="background1" w:themeFillShade="F2"/>
            <w:vAlign w:val="center"/>
          </w:tcPr>
          <w:p w14:paraId="1FC4ECE2"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Annual Report </w:t>
            </w:r>
          </w:p>
        </w:tc>
        <w:tc>
          <w:tcPr>
            <w:tcW w:w="530" w:type="pct"/>
            <w:shd w:val="clear" w:color="auto" w:fill="F2F2F2" w:themeFill="background1" w:themeFillShade="F2"/>
          </w:tcPr>
          <w:p w14:paraId="60C069C0"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50A5C7CF"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02EF40F8"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w:t>
            </w:r>
          </w:p>
        </w:tc>
        <w:tc>
          <w:tcPr>
            <w:tcW w:w="531" w:type="pct"/>
            <w:shd w:val="clear" w:color="auto" w:fill="F2F2F2" w:themeFill="background1" w:themeFillShade="F2"/>
            <w:vAlign w:val="center"/>
          </w:tcPr>
          <w:p w14:paraId="2F9C2BBB"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w:t>
            </w:r>
          </w:p>
        </w:tc>
        <w:tc>
          <w:tcPr>
            <w:tcW w:w="530" w:type="pct"/>
            <w:shd w:val="clear" w:color="auto" w:fill="F2F2F2" w:themeFill="background1" w:themeFillShade="F2"/>
            <w:vAlign w:val="center"/>
          </w:tcPr>
          <w:p w14:paraId="15468346"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w:t>
            </w:r>
          </w:p>
        </w:tc>
      </w:tr>
      <w:tr w:rsidR="002B11F5" w:rsidRPr="007448A7" w14:paraId="10BFCA37" w14:textId="77777777" w:rsidTr="002B11F5">
        <w:tc>
          <w:tcPr>
            <w:tcW w:w="2347" w:type="pct"/>
            <w:shd w:val="clear" w:color="auto" w:fill="F2F2F2" w:themeFill="background1" w:themeFillShade="F2"/>
            <w:vAlign w:val="center"/>
          </w:tcPr>
          <w:p w14:paraId="65738E12" w14:textId="77777777" w:rsidR="002B11F5" w:rsidRPr="00E25529" w:rsidRDefault="002B11F5"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Audit Management</w:t>
            </w:r>
          </w:p>
        </w:tc>
        <w:tc>
          <w:tcPr>
            <w:tcW w:w="530" w:type="pct"/>
            <w:shd w:val="clear" w:color="auto" w:fill="F2F2F2" w:themeFill="background1" w:themeFillShade="F2"/>
          </w:tcPr>
          <w:p w14:paraId="1D1E2E12"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29DA20BD" w14:textId="77777777" w:rsidR="002B11F5" w:rsidRPr="00E25529" w:rsidRDefault="002B11F5" w:rsidP="002B11F5">
            <w:pPr>
              <w:spacing w:before="60" w:after="60" w:line="271" w:lineRule="auto"/>
              <w:jc w:val="center"/>
              <w:rPr>
                <w:rFonts w:asciiTheme="minorHAnsi" w:hAnsiTheme="minorHAnsi" w:cstheme="minorHAnsi"/>
                <w:color w:val="000000" w:themeColor="text1"/>
                <w:sz w:val="18"/>
                <w:szCs w:val="18"/>
              </w:rPr>
            </w:pPr>
          </w:p>
        </w:tc>
        <w:tc>
          <w:tcPr>
            <w:tcW w:w="531" w:type="pct"/>
            <w:shd w:val="clear" w:color="auto" w:fill="F2F2F2" w:themeFill="background1" w:themeFillShade="F2"/>
            <w:vAlign w:val="center"/>
          </w:tcPr>
          <w:p w14:paraId="3026AEFB"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8</w:t>
            </w:r>
          </w:p>
        </w:tc>
        <w:tc>
          <w:tcPr>
            <w:tcW w:w="531" w:type="pct"/>
            <w:shd w:val="clear" w:color="auto" w:fill="F2F2F2" w:themeFill="background1" w:themeFillShade="F2"/>
            <w:vAlign w:val="center"/>
          </w:tcPr>
          <w:p w14:paraId="57138F20"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8</w:t>
            </w:r>
          </w:p>
        </w:tc>
        <w:tc>
          <w:tcPr>
            <w:tcW w:w="530" w:type="pct"/>
            <w:shd w:val="clear" w:color="auto" w:fill="F2F2F2" w:themeFill="background1" w:themeFillShade="F2"/>
            <w:vAlign w:val="center"/>
          </w:tcPr>
          <w:p w14:paraId="2466A474" w14:textId="77777777" w:rsidR="002B11F5" w:rsidRPr="00E25529" w:rsidRDefault="002B11F5" w:rsidP="002B11F5">
            <w:pPr>
              <w:spacing w:before="60" w:after="60" w:line="271" w:lineRule="auto"/>
              <w:ind w:right="35"/>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8</w:t>
            </w:r>
          </w:p>
        </w:tc>
      </w:tr>
      <w:tr w:rsidR="002B11F5" w:rsidRPr="007448A7" w14:paraId="6FB90690" w14:textId="77777777" w:rsidTr="002B11F5">
        <w:tc>
          <w:tcPr>
            <w:tcW w:w="2347" w:type="pct"/>
            <w:shd w:val="clear" w:color="auto" w:fill="auto"/>
            <w:vAlign w:val="center"/>
          </w:tcPr>
          <w:p w14:paraId="28BD4BD1" w14:textId="77777777" w:rsidR="002B11F5" w:rsidRPr="00E25529" w:rsidRDefault="002B11F5" w:rsidP="002B11F5">
            <w:pPr>
              <w:spacing w:before="60" w:after="60" w:line="271" w:lineRule="auto"/>
              <w:rPr>
                <w:rFonts w:asciiTheme="minorHAnsi" w:hAnsiTheme="minorHAnsi" w:cstheme="minorHAnsi"/>
                <w:sz w:val="18"/>
                <w:szCs w:val="18"/>
              </w:rPr>
            </w:pPr>
          </w:p>
        </w:tc>
        <w:tc>
          <w:tcPr>
            <w:tcW w:w="530" w:type="pct"/>
            <w:shd w:val="clear" w:color="auto" w:fill="auto"/>
          </w:tcPr>
          <w:p w14:paraId="01124E5F" w14:textId="77777777" w:rsidR="002B11F5" w:rsidRPr="00E25529" w:rsidRDefault="002B11F5" w:rsidP="002B11F5">
            <w:pPr>
              <w:spacing w:before="60" w:after="60" w:line="271" w:lineRule="auto"/>
              <w:jc w:val="center"/>
              <w:rPr>
                <w:rFonts w:asciiTheme="minorHAnsi" w:hAnsiTheme="minorHAnsi" w:cstheme="minorHAnsi"/>
                <w:color w:val="000000"/>
                <w:sz w:val="18"/>
                <w:szCs w:val="18"/>
              </w:rPr>
            </w:pPr>
          </w:p>
        </w:tc>
        <w:tc>
          <w:tcPr>
            <w:tcW w:w="531" w:type="pct"/>
            <w:shd w:val="clear" w:color="auto" w:fill="F2F2F2" w:themeFill="background1" w:themeFillShade="F2"/>
            <w:vAlign w:val="center"/>
          </w:tcPr>
          <w:p w14:paraId="365543E4" w14:textId="77777777" w:rsidR="002B11F5" w:rsidRPr="00E25529" w:rsidRDefault="002B11F5" w:rsidP="002B11F5">
            <w:pPr>
              <w:spacing w:before="60" w:after="60" w:line="271" w:lineRule="auto"/>
              <w:jc w:val="right"/>
              <w:rPr>
                <w:rFonts w:asciiTheme="minorHAnsi" w:hAnsiTheme="minorHAnsi" w:cstheme="minorHAnsi"/>
                <w:color w:val="000000"/>
                <w:sz w:val="18"/>
                <w:szCs w:val="18"/>
              </w:rPr>
            </w:pPr>
            <w:r w:rsidRPr="00E25529">
              <w:rPr>
                <w:rFonts w:asciiTheme="minorHAnsi" w:hAnsiTheme="minorHAnsi" w:cstheme="minorHAnsi"/>
                <w:b/>
                <w:color w:val="000000"/>
                <w:sz w:val="18"/>
                <w:szCs w:val="18"/>
              </w:rPr>
              <w:t>Totals</w:t>
            </w:r>
          </w:p>
        </w:tc>
        <w:tc>
          <w:tcPr>
            <w:tcW w:w="531" w:type="pct"/>
            <w:shd w:val="clear" w:color="auto" w:fill="F2F2F2" w:themeFill="background1" w:themeFillShade="F2"/>
            <w:vAlign w:val="center"/>
          </w:tcPr>
          <w:p w14:paraId="001A5035" w14:textId="77777777" w:rsidR="002B11F5" w:rsidRPr="00E25529" w:rsidRDefault="002B11F5" w:rsidP="002B11F5">
            <w:pPr>
              <w:spacing w:before="60" w:after="60" w:line="271" w:lineRule="auto"/>
              <w:ind w:right="35"/>
              <w:jc w:val="center"/>
              <w:rPr>
                <w:rFonts w:asciiTheme="minorHAnsi" w:hAnsiTheme="minorHAnsi" w:cstheme="minorHAnsi"/>
                <w:b/>
                <w:color w:val="000000"/>
                <w:sz w:val="18"/>
                <w:szCs w:val="18"/>
              </w:rPr>
            </w:pPr>
            <w:r w:rsidRPr="00E25529">
              <w:rPr>
                <w:rFonts w:asciiTheme="minorHAnsi" w:hAnsiTheme="minorHAnsi" w:cstheme="minorHAnsi"/>
                <w:b/>
                <w:color w:val="000000"/>
                <w:sz w:val="18"/>
                <w:szCs w:val="18"/>
              </w:rPr>
              <w:t>110</w:t>
            </w:r>
          </w:p>
        </w:tc>
        <w:tc>
          <w:tcPr>
            <w:tcW w:w="531" w:type="pct"/>
            <w:shd w:val="clear" w:color="auto" w:fill="F2F2F2" w:themeFill="background1" w:themeFillShade="F2"/>
            <w:vAlign w:val="center"/>
          </w:tcPr>
          <w:p w14:paraId="0C83C00C" w14:textId="77777777" w:rsidR="002B11F5" w:rsidRPr="00E25529" w:rsidRDefault="002B11F5" w:rsidP="002B11F5">
            <w:pPr>
              <w:spacing w:before="60" w:after="60" w:line="271" w:lineRule="auto"/>
              <w:ind w:right="35"/>
              <w:jc w:val="center"/>
              <w:rPr>
                <w:rFonts w:asciiTheme="minorHAnsi" w:hAnsiTheme="minorHAnsi" w:cstheme="minorHAnsi"/>
                <w:b/>
                <w:color w:val="000000"/>
                <w:sz w:val="18"/>
                <w:szCs w:val="18"/>
              </w:rPr>
            </w:pPr>
            <w:r w:rsidRPr="00E25529">
              <w:rPr>
                <w:rFonts w:asciiTheme="minorHAnsi" w:hAnsiTheme="minorHAnsi" w:cstheme="minorHAnsi"/>
                <w:b/>
                <w:color w:val="000000"/>
                <w:sz w:val="18"/>
                <w:szCs w:val="18"/>
              </w:rPr>
              <w:t>110</w:t>
            </w:r>
          </w:p>
        </w:tc>
        <w:tc>
          <w:tcPr>
            <w:tcW w:w="530" w:type="pct"/>
            <w:shd w:val="clear" w:color="auto" w:fill="F2F2F2" w:themeFill="background1" w:themeFillShade="F2"/>
            <w:vAlign w:val="center"/>
          </w:tcPr>
          <w:p w14:paraId="356B4814" w14:textId="77777777" w:rsidR="002B11F5" w:rsidRPr="00E25529" w:rsidRDefault="002B11F5" w:rsidP="002B11F5">
            <w:pPr>
              <w:spacing w:before="60" w:after="60" w:line="271" w:lineRule="auto"/>
              <w:ind w:right="35"/>
              <w:jc w:val="center"/>
              <w:rPr>
                <w:rFonts w:asciiTheme="minorHAnsi" w:hAnsiTheme="minorHAnsi" w:cstheme="minorHAnsi"/>
                <w:b/>
                <w:color w:val="000000"/>
                <w:sz w:val="18"/>
                <w:szCs w:val="18"/>
                <w:highlight w:val="yellow"/>
              </w:rPr>
            </w:pPr>
            <w:r w:rsidRPr="00E25529">
              <w:rPr>
                <w:rFonts w:asciiTheme="minorHAnsi" w:hAnsiTheme="minorHAnsi" w:cstheme="minorHAnsi"/>
                <w:b/>
                <w:color w:val="000000"/>
                <w:sz w:val="18"/>
                <w:szCs w:val="18"/>
              </w:rPr>
              <w:t>110</w:t>
            </w:r>
          </w:p>
        </w:tc>
      </w:tr>
    </w:tbl>
    <w:p w14:paraId="283DB508" w14:textId="77777777" w:rsidR="002B11F5" w:rsidRPr="007448A7" w:rsidRDefault="002B11F5" w:rsidP="002B11F5">
      <w:pPr>
        <w:spacing w:before="120" w:after="120" w:line="283" w:lineRule="auto"/>
        <w:rPr>
          <w:b/>
        </w:rPr>
      </w:pPr>
    </w:p>
    <w:p w14:paraId="6256AAFA" w14:textId="77777777" w:rsidR="002B11F5" w:rsidRPr="007448A7" w:rsidRDefault="002B11F5" w:rsidP="002B11F5">
      <w:pPr>
        <w:rPr>
          <w:rFonts w:ascii="Arial Black" w:eastAsia="Calibri" w:hAnsi="Arial Black" w:cs="Arial"/>
          <w:b/>
          <w:color w:val="DC0D15"/>
          <w:szCs w:val="20"/>
          <w:lang w:eastAsia="en-GB"/>
        </w:rPr>
      </w:pPr>
    </w:p>
    <w:p w14:paraId="31EA2611" w14:textId="77777777" w:rsidR="002B11F5" w:rsidRDefault="002B11F5" w:rsidP="002B11F5">
      <w:r>
        <w:br w:type="page"/>
      </w:r>
    </w:p>
    <w:p w14:paraId="20B81A40" w14:textId="77777777" w:rsidR="002B11F5" w:rsidRPr="00E25529" w:rsidRDefault="002B11F5" w:rsidP="002B11F5">
      <w:pPr>
        <w:spacing w:before="120" w:after="120" w:line="271" w:lineRule="auto"/>
        <w:jc w:val="right"/>
        <w:rPr>
          <w:rFonts w:ascii="Calibri" w:eastAsia="Calibri" w:hAnsi="Calibri" w:cs="Calibri"/>
          <w:b/>
          <w:color w:val="163D82"/>
          <w:szCs w:val="20"/>
          <w:lang w:eastAsia="en-GB"/>
        </w:rPr>
      </w:pPr>
      <w:r w:rsidRPr="00E25529">
        <w:rPr>
          <w:rFonts w:ascii="Calibri" w:eastAsia="Calibri" w:hAnsi="Calibri" w:cs="Calibri"/>
          <w:b/>
          <w:color w:val="163D82"/>
          <w:szCs w:val="20"/>
          <w:lang w:eastAsia="en-GB"/>
        </w:rPr>
        <w:lastRenderedPageBreak/>
        <w:t>Annex C: Annual Plan – 2020/21</w:t>
      </w:r>
    </w:p>
    <w:tbl>
      <w:tblPr>
        <w:tblW w:w="4293" w:type="pct"/>
        <w:jc w:val="cente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000" w:firstRow="0" w:lastRow="0" w:firstColumn="0" w:lastColumn="0" w:noHBand="0" w:noVBand="0"/>
      </w:tblPr>
      <w:tblGrid>
        <w:gridCol w:w="975"/>
        <w:gridCol w:w="3353"/>
        <w:gridCol w:w="1673"/>
        <w:gridCol w:w="1096"/>
        <w:gridCol w:w="6370"/>
      </w:tblGrid>
      <w:tr w:rsidR="00E25529" w:rsidRPr="00E25529" w14:paraId="11A669D2" w14:textId="77777777" w:rsidTr="00E25529">
        <w:trPr>
          <w:cantSplit/>
          <w:tblHeader/>
          <w:jc w:val="center"/>
        </w:trPr>
        <w:tc>
          <w:tcPr>
            <w:tcW w:w="362" w:type="pct"/>
            <w:shd w:val="clear" w:color="auto" w:fill="163D82"/>
            <w:vAlign w:val="center"/>
          </w:tcPr>
          <w:p w14:paraId="44496E3E" w14:textId="77777777" w:rsidR="00E25529" w:rsidRPr="00E25529" w:rsidRDefault="00E25529" w:rsidP="002B11F5">
            <w:pPr>
              <w:spacing w:before="40" w:after="40"/>
              <w:rPr>
                <w:rFonts w:asciiTheme="minorHAnsi" w:hAnsiTheme="minorHAnsi" w:cstheme="minorHAnsi"/>
                <w:b/>
                <w:color w:val="FFFFFF" w:themeColor="background1"/>
                <w:sz w:val="20"/>
                <w:szCs w:val="18"/>
              </w:rPr>
            </w:pPr>
            <w:r w:rsidRPr="00E25529">
              <w:rPr>
                <w:rFonts w:asciiTheme="minorHAnsi" w:hAnsiTheme="minorHAnsi" w:cstheme="minorHAnsi"/>
                <w:b/>
                <w:color w:val="FFFFFF" w:themeColor="background1"/>
                <w:sz w:val="20"/>
                <w:szCs w:val="18"/>
              </w:rPr>
              <w:t>Quarter</w:t>
            </w:r>
          </w:p>
        </w:tc>
        <w:tc>
          <w:tcPr>
            <w:tcW w:w="1245" w:type="pct"/>
            <w:shd w:val="clear" w:color="auto" w:fill="163D82"/>
            <w:vAlign w:val="center"/>
          </w:tcPr>
          <w:p w14:paraId="5017083B" w14:textId="77777777" w:rsidR="00E25529" w:rsidRPr="00E25529" w:rsidRDefault="00E25529" w:rsidP="002B11F5">
            <w:pPr>
              <w:spacing w:before="40" w:after="40"/>
              <w:rPr>
                <w:rFonts w:asciiTheme="minorHAnsi" w:hAnsiTheme="minorHAnsi" w:cstheme="minorHAnsi"/>
                <w:b/>
                <w:color w:val="FFFFFF" w:themeColor="background1"/>
                <w:sz w:val="20"/>
                <w:szCs w:val="18"/>
              </w:rPr>
            </w:pPr>
            <w:r w:rsidRPr="00E25529">
              <w:rPr>
                <w:rFonts w:asciiTheme="minorHAnsi" w:hAnsiTheme="minorHAnsi" w:cstheme="minorHAnsi"/>
                <w:b/>
                <w:color w:val="FFFFFF" w:themeColor="background1"/>
                <w:sz w:val="20"/>
                <w:szCs w:val="18"/>
              </w:rPr>
              <w:t>Audit</w:t>
            </w:r>
          </w:p>
        </w:tc>
        <w:tc>
          <w:tcPr>
            <w:tcW w:w="621" w:type="pct"/>
            <w:shd w:val="clear" w:color="auto" w:fill="163D82"/>
            <w:vAlign w:val="center"/>
          </w:tcPr>
          <w:p w14:paraId="1EA392C2" w14:textId="77777777" w:rsidR="00E25529" w:rsidRPr="00E25529" w:rsidRDefault="00E25529" w:rsidP="002B11F5">
            <w:pPr>
              <w:spacing w:before="40" w:after="40"/>
              <w:jc w:val="center"/>
              <w:rPr>
                <w:rFonts w:asciiTheme="minorHAnsi" w:hAnsiTheme="minorHAnsi" w:cstheme="minorHAnsi"/>
                <w:b/>
                <w:color w:val="FFFFFF" w:themeColor="background1"/>
                <w:sz w:val="20"/>
                <w:szCs w:val="18"/>
              </w:rPr>
            </w:pPr>
            <w:r w:rsidRPr="00E25529">
              <w:rPr>
                <w:rFonts w:asciiTheme="minorHAnsi" w:hAnsiTheme="minorHAnsi" w:cstheme="minorHAnsi"/>
                <w:b/>
                <w:color w:val="FFFFFF" w:themeColor="background1"/>
                <w:sz w:val="20"/>
                <w:szCs w:val="18"/>
              </w:rPr>
              <w:t>Type</w:t>
            </w:r>
          </w:p>
        </w:tc>
        <w:tc>
          <w:tcPr>
            <w:tcW w:w="407" w:type="pct"/>
            <w:shd w:val="clear" w:color="auto" w:fill="163D82"/>
            <w:vAlign w:val="center"/>
          </w:tcPr>
          <w:p w14:paraId="0441CF5B" w14:textId="77777777" w:rsidR="00E25529" w:rsidRPr="00E25529" w:rsidRDefault="00E25529" w:rsidP="002B11F5">
            <w:pPr>
              <w:spacing w:before="40" w:after="40"/>
              <w:jc w:val="center"/>
              <w:rPr>
                <w:rFonts w:asciiTheme="minorHAnsi" w:hAnsiTheme="minorHAnsi" w:cstheme="minorHAnsi"/>
                <w:b/>
                <w:color w:val="FFFFFF" w:themeColor="background1"/>
                <w:sz w:val="20"/>
                <w:szCs w:val="18"/>
              </w:rPr>
            </w:pPr>
            <w:r w:rsidRPr="00E25529">
              <w:rPr>
                <w:rFonts w:asciiTheme="minorHAnsi" w:hAnsiTheme="minorHAnsi" w:cstheme="minorHAnsi"/>
                <w:b/>
                <w:color w:val="FFFFFF" w:themeColor="background1"/>
                <w:sz w:val="20"/>
                <w:szCs w:val="18"/>
              </w:rPr>
              <w:t>Days</w:t>
            </w:r>
          </w:p>
        </w:tc>
        <w:tc>
          <w:tcPr>
            <w:tcW w:w="2365" w:type="pct"/>
            <w:shd w:val="clear" w:color="auto" w:fill="163D82"/>
            <w:vAlign w:val="center"/>
          </w:tcPr>
          <w:p w14:paraId="6BBC9658" w14:textId="77777777" w:rsidR="00E25529" w:rsidRPr="00E25529" w:rsidRDefault="00E25529" w:rsidP="00E25529">
            <w:pPr>
              <w:spacing w:before="40" w:after="40"/>
              <w:jc w:val="both"/>
              <w:rPr>
                <w:rFonts w:asciiTheme="minorHAnsi" w:hAnsiTheme="minorHAnsi" w:cstheme="minorHAnsi"/>
                <w:b/>
                <w:color w:val="FFFFFF" w:themeColor="background1"/>
                <w:sz w:val="20"/>
                <w:szCs w:val="18"/>
              </w:rPr>
            </w:pPr>
            <w:r w:rsidRPr="00E25529">
              <w:rPr>
                <w:rFonts w:asciiTheme="minorHAnsi" w:hAnsiTheme="minorHAnsi" w:cstheme="minorHAnsi"/>
                <w:b/>
                <w:color w:val="FFFFFF" w:themeColor="background1"/>
                <w:sz w:val="20"/>
                <w:szCs w:val="18"/>
              </w:rPr>
              <w:t>Rationale and  Scope</w:t>
            </w:r>
          </w:p>
        </w:tc>
      </w:tr>
      <w:tr w:rsidR="00E25529" w:rsidRPr="00E25529" w14:paraId="1A1DD8FD" w14:textId="77777777" w:rsidTr="00E25529">
        <w:trPr>
          <w:cantSplit/>
          <w:jc w:val="center"/>
        </w:trPr>
        <w:tc>
          <w:tcPr>
            <w:tcW w:w="362" w:type="pct"/>
            <w:shd w:val="clear" w:color="auto" w:fill="F2F2F2"/>
          </w:tcPr>
          <w:p w14:paraId="383665D2"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w:t>
            </w:r>
          </w:p>
        </w:tc>
        <w:tc>
          <w:tcPr>
            <w:tcW w:w="1245" w:type="pct"/>
            <w:shd w:val="clear" w:color="auto" w:fill="F2F2F2"/>
          </w:tcPr>
          <w:p w14:paraId="19ECFC89"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hAnsiTheme="minorHAnsi" w:cstheme="minorHAnsi"/>
                <w:color w:val="000000" w:themeColor="text1"/>
                <w:sz w:val="18"/>
                <w:szCs w:val="18"/>
              </w:rPr>
              <w:t>Purchase/Credit Cards</w:t>
            </w:r>
          </w:p>
        </w:tc>
        <w:tc>
          <w:tcPr>
            <w:tcW w:w="621" w:type="pct"/>
            <w:shd w:val="clear" w:color="auto" w:fill="F2F2F2"/>
          </w:tcPr>
          <w:p w14:paraId="33A0E60B"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3EA5F868"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00378168"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6C6C1B2A" w14:textId="77777777" w:rsidR="00E25529" w:rsidRPr="00E25529" w:rsidRDefault="00E25529" w:rsidP="00E25529">
            <w:pPr>
              <w:jc w:val="both"/>
              <w:rPr>
                <w:rFonts w:asciiTheme="minorHAnsi" w:hAnsiTheme="minorHAnsi" w:cstheme="minorHAnsi"/>
                <w:sz w:val="18"/>
                <w:szCs w:val="18"/>
              </w:rPr>
            </w:pPr>
            <w:r w:rsidRPr="00E25529">
              <w:rPr>
                <w:rFonts w:asciiTheme="minorHAnsi" w:hAnsiTheme="minorHAnsi" w:cstheme="minorHAnsi"/>
                <w:sz w:val="18"/>
                <w:szCs w:val="18"/>
              </w:rPr>
              <w:t>This is a high risk area which has both reputational and financial risks due to potential misuse by staff</w:t>
            </w:r>
          </w:p>
          <w:p w14:paraId="0A5B16CB" w14:textId="77777777" w:rsidR="00E25529" w:rsidRPr="00E25529" w:rsidRDefault="00E25529" w:rsidP="00E25529">
            <w:pPr>
              <w:jc w:val="both"/>
              <w:rPr>
                <w:rFonts w:asciiTheme="minorHAnsi" w:hAnsiTheme="minorHAnsi" w:cstheme="minorHAnsi"/>
                <w:sz w:val="18"/>
                <w:szCs w:val="18"/>
                <w:u w:val="single"/>
              </w:rPr>
            </w:pPr>
            <w:r w:rsidRPr="00E25529">
              <w:rPr>
                <w:rFonts w:asciiTheme="minorHAnsi" w:hAnsiTheme="minorHAnsi" w:cstheme="minorHAnsi"/>
                <w:sz w:val="18"/>
                <w:szCs w:val="18"/>
                <w:u w:val="single"/>
              </w:rPr>
              <w:t>Scope</w:t>
            </w:r>
          </w:p>
          <w:p w14:paraId="63862743" w14:textId="77777777" w:rsidR="00E25529" w:rsidRPr="00E25529" w:rsidRDefault="00E25529" w:rsidP="00E25529">
            <w:pPr>
              <w:spacing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To assess the adequacy and effectiveness of the internal controls in place for the distribution, monitoring and managing of the Purchasing/Credit Cards.</w:t>
            </w:r>
          </w:p>
          <w:p w14:paraId="2C9D140D" w14:textId="77777777" w:rsidR="00E25529" w:rsidRPr="00E25529" w:rsidRDefault="00E25529" w:rsidP="00E25529">
            <w:pPr>
              <w:spacing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audit will focus on the following key areas:</w:t>
            </w:r>
          </w:p>
          <w:p w14:paraId="211700FB" w14:textId="77777777" w:rsidR="00E25529" w:rsidRPr="00E25529" w:rsidRDefault="00E25529" w:rsidP="00E25529">
            <w:pPr>
              <w:numPr>
                <w:ilvl w:val="0"/>
                <w:numId w:val="17"/>
              </w:numPr>
              <w:spacing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Adequate and effective procedures are in place for the appropriate management of Purchasing Cards to include the authorisation of credit card expenditure,</w:t>
            </w:r>
          </w:p>
          <w:p w14:paraId="0A8D50E3" w14:textId="77777777" w:rsidR="00E25529" w:rsidRPr="00E25529" w:rsidRDefault="00E25529" w:rsidP="00E25529">
            <w:pPr>
              <w:numPr>
                <w:ilvl w:val="0"/>
                <w:numId w:val="17"/>
              </w:numPr>
              <w:spacing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Spending limits are proportionate and appropriate;</w:t>
            </w:r>
          </w:p>
          <w:p w14:paraId="6A64D4AD" w14:textId="77777777" w:rsidR="00E25529" w:rsidRPr="00E25529" w:rsidRDefault="00E25529" w:rsidP="00E25529">
            <w:pPr>
              <w:numPr>
                <w:ilvl w:val="0"/>
                <w:numId w:val="17"/>
              </w:numPr>
              <w:spacing w:line="259" w:lineRule="auto"/>
              <w:jc w:val="both"/>
              <w:rPr>
                <w:rFonts w:asciiTheme="minorHAnsi" w:eastAsiaTheme="minorHAnsi" w:hAnsiTheme="minorHAnsi" w:cstheme="minorHAnsi"/>
                <w:bCs/>
                <w:sz w:val="18"/>
                <w:szCs w:val="18"/>
                <w:lang w:eastAsia="en-US"/>
              </w:rPr>
            </w:pPr>
            <w:r w:rsidRPr="00E25529">
              <w:rPr>
                <w:rFonts w:asciiTheme="minorHAnsi" w:eastAsiaTheme="minorHAnsi" w:hAnsiTheme="minorHAnsi" w:cstheme="minorHAnsi"/>
                <w:sz w:val="18"/>
                <w:szCs w:val="18"/>
                <w:lang w:eastAsia="en-US"/>
              </w:rPr>
              <w:t>Purchases are in accordance with agreed procedures;</w:t>
            </w:r>
          </w:p>
          <w:p w14:paraId="393FE43D" w14:textId="77777777" w:rsidR="00E25529" w:rsidRPr="00E25529" w:rsidRDefault="00E25529" w:rsidP="00E25529">
            <w:pPr>
              <w:numPr>
                <w:ilvl w:val="0"/>
                <w:numId w:val="17"/>
              </w:numPr>
              <w:spacing w:line="259" w:lineRule="auto"/>
              <w:jc w:val="both"/>
              <w:rPr>
                <w:rFonts w:asciiTheme="minorHAnsi" w:eastAsiaTheme="minorHAnsi" w:hAnsiTheme="minorHAnsi" w:cstheme="minorHAnsi"/>
                <w:bCs/>
                <w:sz w:val="18"/>
                <w:szCs w:val="18"/>
                <w:lang w:eastAsia="en-US"/>
              </w:rPr>
            </w:pPr>
            <w:r w:rsidRPr="00E25529">
              <w:rPr>
                <w:rFonts w:asciiTheme="minorHAnsi" w:eastAsiaTheme="minorHAnsi" w:hAnsiTheme="minorHAnsi" w:cstheme="minorHAnsi"/>
                <w:sz w:val="18"/>
                <w:szCs w:val="18"/>
                <w:lang w:eastAsia="en-US"/>
              </w:rPr>
              <w:t>Purchases for Officer and staff expenses are in accordance with approved expenses procedures</w:t>
            </w:r>
          </w:p>
          <w:p w14:paraId="6323C782" w14:textId="77777777" w:rsidR="00E25529" w:rsidRPr="00E25529" w:rsidRDefault="00E25529" w:rsidP="00E25529">
            <w:pPr>
              <w:numPr>
                <w:ilvl w:val="0"/>
                <w:numId w:val="17"/>
              </w:numPr>
              <w:spacing w:line="259" w:lineRule="auto"/>
              <w:jc w:val="both"/>
              <w:rPr>
                <w:rFonts w:asciiTheme="minorHAnsi" w:eastAsiaTheme="minorHAnsi" w:hAnsiTheme="minorHAnsi" w:cstheme="minorHAnsi"/>
                <w:bCs/>
                <w:sz w:val="18"/>
                <w:szCs w:val="18"/>
                <w:lang w:eastAsia="en-US"/>
              </w:rPr>
            </w:pPr>
            <w:r w:rsidRPr="00E25529">
              <w:rPr>
                <w:rFonts w:asciiTheme="minorHAnsi" w:eastAsiaTheme="minorHAnsi" w:hAnsiTheme="minorHAnsi" w:cstheme="minorHAnsi"/>
                <w:sz w:val="18"/>
                <w:szCs w:val="18"/>
                <w:lang w:eastAsia="en-US"/>
              </w:rPr>
              <w:t>Credit card statements are reconciled and correctly allocated to budgets on a timely basis.</w:t>
            </w:r>
          </w:p>
          <w:p w14:paraId="6EA9ADC6"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7E7C862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lang w:eastAsia="en-US"/>
              </w:rPr>
              <w:t>CFO</w:t>
            </w:r>
          </w:p>
        </w:tc>
      </w:tr>
      <w:tr w:rsidR="00E25529" w:rsidRPr="00E25529" w14:paraId="20320A3C" w14:textId="77777777" w:rsidTr="00E25529">
        <w:trPr>
          <w:cantSplit/>
          <w:jc w:val="center"/>
        </w:trPr>
        <w:tc>
          <w:tcPr>
            <w:tcW w:w="362" w:type="pct"/>
            <w:shd w:val="clear" w:color="auto" w:fill="F2F2F2"/>
          </w:tcPr>
          <w:p w14:paraId="061A11DE"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2</w:t>
            </w:r>
          </w:p>
        </w:tc>
        <w:tc>
          <w:tcPr>
            <w:tcW w:w="1245" w:type="pct"/>
            <w:shd w:val="clear" w:color="auto" w:fill="F2F2F2"/>
          </w:tcPr>
          <w:p w14:paraId="312C2EB7" w14:textId="77777777" w:rsidR="00E25529" w:rsidRPr="00E25529" w:rsidRDefault="00E25529" w:rsidP="002B11F5">
            <w:pPr>
              <w:tabs>
                <w:tab w:val="center" w:pos="4680"/>
                <w:tab w:val="right" w:pos="9360"/>
              </w:tabs>
              <w:spacing w:before="40" w:after="40"/>
              <w:rPr>
                <w:rFonts w:asciiTheme="minorHAnsi" w:hAnsiTheme="minorHAnsi" w:cstheme="minorHAnsi"/>
                <w:sz w:val="18"/>
                <w:szCs w:val="18"/>
              </w:rPr>
            </w:pPr>
            <w:r w:rsidRPr="00E25529">
              <w:rPr>
                <w:rFonts w:asciiTheme="minorHAnsi" w:hAnsiTheme="minorHAnsi" w:cstheme="minorHAnsi"/>
                <w:sz w:val="18"/>
                <w:szCs w:val="18"/>
              </w:rPr>
              <w:t>Risk Management – Contingency</w:t>
            </w:r>
          </w:p>
          <w:p w14:paraId="0708FDBF" w14:textId="77777777" w:rsidR="00E25529" w:rsidRPr="00E25529" w:rsidRDefault="00E25529" w:rsidP="002B11F5">
            <w:pPr>
              <w:tabs>
                <w:tab w:val="center" w:pos="4680"/>
                <w:tab w:val="right" w:pos="9360"/>
              </w:tabs>
              <w:spacing w:before="40" w:after="40"/>
              <w:rPr>
                <w:rFonts w:asciiTheme="minorHAnsi" w:hAnsiTheme="minorHAnsi" w:cstheme="minorHAnsi"/>
                <w:sz w:val="18"/>
                <w:szCs w:val="18"/>
              </w:rPr>
            </w:pPr>
            <w:r w:rsidRPr="00E25529">
              <w:rPr>
                <w:rFonts w:asciiTheme="minorHAnsi" w:hAnsiTheme="minorHAnsi" w:cstheme="minorHAnsi"/>
                <w:sz w:val="18"/>
                <w:szCs w:val="18"/>
              </w:rPr>
              <w:t xml:space="preserve">      to include: Mitigating Controls</w:t>
            </w:r>
          </w:p>
          <w:p w14:paraId="7EFB4500"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hAnsiTheme="minorHAnsi" w:cstheme="minorHAnsi"/>
                <w:sz w:val="18"/>
                <w:szCs w:val="18"/>
              </w:rPr>
              <w:t xml:space="preserve">                       Embedding Culture</w:t>
            </w:r>
          </w:p>
        </w:tc>
        <w:tc>
          <w:tcPr>
            <w:tcW w:w="621" w:type="pct"/>
            <w:shd w:val="clear" w:color="auto" w:fill="F2F2F2"/>
          </w:tcPr>
          <w:p w14:paraId="08930F2F"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0CBA2D0F"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5D5F47A7"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2B4CBC25"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Risk Management is a fundamental part of corporate governance and appropriate processes/systems need to be in place that manage risk</w:t>
            </w:r>
          </w:p>
          <w:p w14:paraId="39DA8F30"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10B403A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TBA</w:t>
            </w:r>
          </w:p>
          <w:p w14:paraId="64FDB227"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73A865BF"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lang w:eastAsia="en-US"/>
              </w:rPr>
              <w:t>OPCC /CFO’s and Risk Manager/ Head of Corporate Services/OPCC Assistant Chief Executive</w:t>
            </w:r>
          </w:p>
        </w:tc>
      </w:tr>
      <w:tr w:rsidR="00E25529" w:rsidRPr="00E25529" w14:paraId="7540E1C7" w14:textId="77777777" w:rsidTr="00E25529">
        <w:trPr>
          <w:cantSplit/>
          <w:jc w:val="center"/>
        </w:trPr>
        <w:tc>
          <w:tcPr>
            <w:tcW w:w="362" w:type="pct"/>
            <w:shd w:val="clear" w:color="auto" w:fill="F2F2F2"/>
          </w:tcPr>
          <w:p w14:paraId="3ABF5200"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2</w:t>
            </w:r>
          </w:p>
        </w:tc>
        <w:tc>
          <w:tcPr>
            <w:tcW w:w="1245" w:type="pct"/>
            <w:shd w:val="clear" w:color="auto" w:fill="F2F2F2"/>
          </w:tcPr>
          <w:p w14:paraId="58B9984D"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hAnsiTheme="minorHAnsi" w:cstheme="minorHAnsi"/>
                <w:color w:val="000000" w:themeColor="text1"/>
                <w:sz w:val="18"/>
                <w:szCs w:val="18"/>
              </w:rPr>
              <w:t>ICT – Disaster Recovery</w:t>
            </w:r>
          </w:p>
        </w:tc>
        <w:tc>
          <w:tcPr>
            <w:tcW w:w="621" w:type="pct"/>
            <w:shd w:val="clear" w:color="auto" w:fill="F2F2F2"/>
          </w:tcPr>
          <w:p w14:paraId="631494B1"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27993886"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3C1A2793"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526D0366"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highlight w:val="yellow"/>
                <w:lang w:eastAsia="en-US"/>
              </w:rPr>
            </w:pPr>
            <w:r w:rsidRPr="00E25529">
              <w:rPr>
                <w:rFonts w:asciiTheme="minorHAnsi" w:eastAsiaTheme="minorHAnsi" w:hAnsiTheme="minorHAnsi" w:cstheme="minorHAnsi"/>
                <w:sz w:val="18"/>
                <w:szCs w:val="18"/>
                <w:lang w:eastAsia="en-US"/>
              </w:rPr>
              <w:t>Disaster recovery is an essential requirement to enable services to continue and a periodic audit will test these arrangements</w:t>
            </w:r>
          </w:p>
          <w:p w14:paraId="3B284775"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134A2075"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audit will review the following for adequacy and effectiveness of the key controls for disaster recovery:</w:t>
            </w:r>
          </w:p>
          <w:p w14:paraId="1DCBF0E3" w14:textId="77777777" w:rsidR="00E25529" w:rsidRPr="00E25529" w:rsidRDefault="00E25529" w:rsidP="00E25529">
            <w:pPr>
              <w:pStyle w:val="ListParagraph"/>
              <w:numPr>
                <w:ilvl w:val="0"/>
                <w:numId w:val="14"/>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a disaster recovery plan exists with the exact steps to be covered if a disaster occurs</w:t>
            </w:r>
          </w:p>
          <w:p w14:paraId="33E4F9C6" w14:textId="77777777" w:rsidR="00E25529" w:rsidRPr="00E25529" w:rsidRDefault="00E25529" w:rsidP="00E25529">
            <w:pPr>
              <w:pStyle w:val="ListParagraph"/>
              <w:numPr>
                <w:ilvl w:val="0"/>
                <w:numId w:val="14"/>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identification of the critical systems to be recovered</w:t>
            </w:r>
          </w:p>
          <w:p w14:paraId="724EFB71" w14:textId="77777777" w:rsidR="00E25529" w:rsidRPr="00E25529" w:rsidRDefault="00E25529" w:rsidP="00E25529">
            <w:pPr>
              <w:pStyle w:val="ListParagraph"/>
              <w:numPr>
                <w:ilvl w:val="0"/>
                <w:numId w:val="14"/>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single points of failure have been identified</w:t>
            </w:r>
          </w:p>
          <w:p w14:paraId="5B110813" w14:textId="77777777" w:rsidR="00E25529" w:rsidRPr="00E25529" w:rsidRDefault="00E25529" w:rsidP="00E25529">
            <w:pPr>
              <w:pStyle w:val="ListParagraph"/>
              <w:numPr>
                <w:ilvl w:val="0"/>
                <w:numId w:val="14"/>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the general Force business continuity plans are fully linked to the ICT disaster recovery arrangements</w:t>
            </w:r>
          </w:p>
          <w:p w14:paraId="376F9BA4" w14:textId="77777777" w:rsidR="00E25529" w:rsidRPr="00E25529" w:rsidRDefault="00E25529" w:rsidP="00E25529">
            <w:pPr>
              <w:pStyle w:val="ListParagraph"/>
              <w:numPr>
                <w:ilvl w:val="0"/>
                <w:numId w:val="14"/>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server infrastructure includes testing of the ability to recover systems</w:t>
            </w:r>
          </w:p>
          <w:p w14:paraId="4FB2BB25" w14:textId="77777777" w:rsidR="00E25529" w:rsidRPr="00E25529" w:rsidRDefault="00E25529" w:rsidP="00E25529">
            <w:pPr>
              <w:pStyle w:val="ListParagraph"/>
              <w:numPr>
                <w:ilvl w:val="0"/>
                <w:numId w:val="14"/>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backups are completed and taken off site and have been proven to work if needed</w:t>
            </w:r>
          </w:p>
          <w:p w14:paraId="16C248BF"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366D73BF"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lang w:eastAsia="en-US"/>
              </w:rPr>
              <w:t>OPCC/CFO’s/Head of ICT/ Business Continuity Manager</w:t>
            </w:r>
          </w:p>
        </w:tc>
      </w:tr>
      <w:tr w:rsidR="00E25529" w:rsidRPr="00E25529" w14:paraId="76EAD9E6" w14:textId="77777777" w:rsidTr="00E25529">
        <w:trPr>
          <w:cantSplit/>
          <w:jc w:val="center"/>
        </w:trPr>
        <w:tc>
          <w:tcPr>
            <w:tcW w:w="362" w:type="pct"/>
            <w:shd w:val="clear" w:color="auto" w:fill="F2F2F2"/>
          </w:tcPr>
          <w:p w14:paraId="552286A7"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2</w:t>
            </w:r>
          </w:p>
        </w:tc>
        <w:tc>
          <w:tcPr>
            <w:tcW w:w="1245" w:type="pct"/>
            <w:shd w:val="clear" w:color="auto" w:fill="F2F2F2"/>
          </w:tcPr>
          <w:p w14:paraId="28949C25"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hAnsiTheme="minorHAnsi" w:cstheme="minorHAnsi"/>
                <w:color w:val="000000" w:themeColor="text1"/>
                <w:sz w:val="18"/>
                <w:szCs w:val="18"/>
              </w:rPr>
              <w:t>ICT – Data Assurance</w:t>
            </w:r>
          </w:p>
        </w:tc>
        <w:tc>
          <w:tcPr>
            <w:tcW w:w="621" w:type="pct"/>
            <w:shd w:val="clear" w:color="auto" w:fill="F2F2F2"/>
          </w:tcPr>
          <w:p w14:paraId="68370B5C"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22BBB30C"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15D0990C"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7E8C11FC"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Following the recent introduction of the EU regulations for Data Protection a regular audit is important to provide assurance that processes and procedures remain compliant</w:t>
            </w:r>
          </w:p>
          <w:p w14:paraId="5E9AEC54"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78692F0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audit will include a review of the following:</w:t>
            </w:r>
          </w:p>
          <w:p w14:paraId="763EEC12" w14:textId="77777777" w:rsidR="00E25529" w:rsidRPr="00E25529" w:rsidRDefault="00E25529" w:rsidP="00E25529">
            <w:pPr>
              <w:pStyle w:val="ListParagraph"/>
              <w:numPr>
                <w:ilvl w:val="0"/>
                <w:numId w:val="15"/>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Records management</w:t>
            </w:r>
          </w:p>
          <w:p w14:paraId="66F37389" w14:textId="77777777" w:rsidR="00E25529" w:rsidRPr="00E25529" w:rsidRDefault="00E25529" w:rsidP="00E25529">
            <w:pPr>
              <w:pStyle w:val="ListParagraph"/>
              <w:numPr>
                <w:ilvl w:val="0"/>
                <w:numId w:val="15"/>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Subject access requests</w:t>
            </w:r>
          </w:p>
          <w:p w14:paraId="24A4387F" w14:textId="77777777" w:rsidR="00E25529" w:rsidRPr="00E25529" w:rsidRDefault="00E25529" w:rsidP="00E25529">
            <w:pPr>
              <w:pStyle w:val="ListParagraph"/>
              <w:numPr>
                <w:ilvl w:val="0"/>
                <w:numId w:val="15"/>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Training and awareness</w:t>
            </w:r>
          </w:p>
          <w:p w14:paraId="4B181EED" w14:textId="77777777" w:rsidR="00E25529" w:rsidRPr="00E25529" w:rsidRDefault="00E25529" w:rsidP="00E25529">
            <w:pPr>
              <w:pStyle w:val="ListParagraph"/>
              <w:numPr>
                <w:ilvl w:val="0"/>
                <w:numId w:val="15"/>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Data sharing</w:t>
            </w:r>
          </w:p>
          <w:p w14:paraId="77674C2D" w14:textId="77777777" w:rsidR="00E25529" w:rsidRPr="00E25529" w:rsidRDefault="00E25529" w:rsidP="00E25529">
            <w:pPr>
              <w:pStyle w:val="ListParagraph"/>
              <w:numPr>
                <w:ilvl w:val="0"/>
                <w:numId w:val="15"/>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Information risk management</w:t>
            </w:r>
          </w:p>
          <w:p w14:paraId="50E251A2" w14:textId="77777777" w:rsidR="00E25529" w:rsidRPr="00E25529" w:rsidRDefault="00E25529" w:rsidP="00E25529">
            <w:pPr>
              <w:pStyle w:val="ListParagraph"/>
              <w:numPr>
                <w:ilvl w:val="0"/>
                <w:numId w:val="15"/>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Data quality</w:t>
            </w:r>
          </w:p>
          <w:p w14:paraId="1562944A"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01DF8599"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lang w:eastAsia="en-US"/>
              </w:rPr>
              <w:t xml:space="preserve">OPCC/CFOs/Head of ICT </w:t>
            </w:r>
          </w:p>
        </w:tc>
      </w:tr>
      <w:tr w:rsidR="00E25529" w:rsidRPr="00E25529" w14:paraId="50AB0A08" w14:textId="77777777" w:rsidTr="00E25529">
        <w:trPr>
          <w:cantSplit/>
          <w:jc w:val="center"/>
        </w:trPr>
        <w:tc>
          <w:tcPr>
            <w:tcW w:w="362" w:type="pct"/>
            <w:shd w:val="clear" w:color="auto" w:fill="F2F2F2"/>
          </w:tcPr>
          <w:p w14:paraId="2AB652C1"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2</w:t>
            </w:r>
          </w:p>
        </w:tc>
        <w:tc>
          <w:tcPr>
            <w:tcW w:w="1245" w:type="pct"/>
            <w:shd w:val="clear" w:color="auto" w:fill="F2F2F2"/>
          </w:tcPr>
          <w:p w14:paraId="2F9175E1"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hAnsiTheme="minorHAnsi" w:cstheme="minorHAnsi"/>
                <w:color w:val="000000" w:themeColor="text1"/>
                <w:sz w:val="18"/>
                <w:szCs w:val="18"/>
              </w:rPr>
              <w:t>HR Management – The system to manage people</w:t>
            </w:r>
          </w:p>
        </w:tc>
        <w:tc>
          <w:tcPr>
            <w:tcW w:w="621" w:type="pct"/>
            <w:shd w:val="clear" w:color="auto" w:fill="F2F2F2"/>
          </w:tcPr>
          <w:p w14:paraId="7A640251"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69B9C580"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16DAA4E1"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5CF41C5C"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Following the many staff/officer changes to include the HR department a review of the system to manage people would be of benefit</w:t>
            </w:r>
          </w:p>
          <w:p w14:paraId="1BF0E059"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02DB7188"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audit will review the system for managing people to include:</w:t>
            </w:r>
          </w:p>
          <w:p w14:paraId="379F0E8D"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A centralised administration system for employee management</w:t>
            </w:r>
          </w:p>
          <w:p w14:paraId="6BFE0E24"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Application management</w:t>
            </w:r>
          </w:p>
          <w:p w14:paraId="0C716089"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Payroll management</w:t>
            </w:r>
          </w:p>
          <w:p w14:paraId="74911925"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Cloud based documentation</w:t>
            </w:r>
          </w:p>
          <w:p w14:paraId="7D7E952D"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Mobile functionalities</w:t>
            </w:r>
          </w:p>
          <w:p w14:paraId="7C2DDF8C"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Employee self-service facility</w:t>
            </w:r>
          </w:p>
          <w:p w14:paraId="06E5F5F9"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Real time analytics</w:t>
            </w:r>
          </w:p>
          <w:p w14:paraId="3F1A0B87"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Data security and audit log</w:t>
            </w:r>
          </w:p>
          <w:p w14:paraId="65390B1D" w14:textId="77777777" w:rsidR="00E25529" w:rsidRPr="00E25529" w:rsidRDefault="00E25529" w:rsidP="00E25529">
            <w:pPr>
              <w:pStyle w:val="ListParagraph"/>
              <w:numPr>
                <w:ilvl w:val="0"/>
                <w:numId w:val="19"/>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Employee performance management</w:t>
            </w:r>
          </w:p>
          <w:p w14:paraId="586C45E7"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4CC29E1C"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lang w:eastAsia="en-US"/>
              </w:rPr>
              <w:t>CFOs/Head of HR/ OPCC Assistant Chief Executive</w:t>
            </w:r>
          </w:p>
        </w:tc>
      </w:tr>
      <w:tr w:rsidR="00E25529" w:rsidRPr="00E25529" w14:paraId="0283D48F" w14:textId="77777777" w:rsidTr="00E25529">
        <w:trPr>
          <w:cantSplit/>
          <w:jc w:val="center"/>
        </w:trPr>
        <w:tc>
          <w:tcPr>
            <w:tcW w:w="362" w:type="pct"/>
            <w:shd w:val="clear" w:color="auto" w:fill="F2F2F2"/>
          </w:tcPr>
          <w:p w14:paraId="4CACC12D"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2/3</w:t>
            </w:r>
          </w:p>
        </w:tc>
        <w:tc>
          <w:tcPr>
            <w:tcW w:w="1245" w:type="pct"/>
            <w:shd w:val="clear" w:color="auto" w:fill="F2F2F2"/>
          </w:tcPr>
          <w:p w14:paraId="1A7BC73F"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eastAsiaTheme="minorHAnsi" w:hAnsiTheme="minorHAnsi" w:cstheme="minorHAnsi"/>
                <w:color w:val="000000"/>
                <w:sz w:val="18"/>
                <w:szCs w:val="18"/>
                <w:lang w:eastAsia="en-US"/>
              </w:rPr>
              <w:t>Governance – OPCC Contingency</w:t>
            </w:r>
          </w:p>
          <w:p w14:paraId="199784F2"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p>
          <w:p w14:paraId="64D3EF36"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eastAsiaTheme="minorHAnsi" w:hAnsiTheme="minorHAnsi" w:cstheme="minorHAnsi"/>
                <w:color w:val="000000"/>
                <w:sz w:val="18"/>
                <w:szCs w:val="18"/>
                <w:lang w:eastAsia="en-US"/>
              </w:rPr>
              <w:t xml:space="preserve">                     Commissioner Grants </w:t>
            </w:r>
          </w:p>
          <w:p w14:paraId="318CC668"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eastAsiaTheme="minorHAnsi" w:hAnsiTheme="minorHAnsi" w:cstheme="minorHAnsi"/>
                <w:color w:val="000000"/>
                <w:sz w:val="18"/>
                <w:szCs w:val="18"/>
                <w:lang w:eastAsia="en-US"/>
              </w:rPr>
              <w:t xml:space="preserve">                     (provider justification of</w:t>
            </w:r>
          </w:p>
          <w:p w14:paraId="00A44AD1"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eastAsiaTheme="minorHAnsi" w:hAnsiTheme="minorHAnsi" w:cstheme="minorHAnsi"/>
                <w:color w:val="000000"/>
                <w:sz w:val="18"/>
                <w:szCs w:val="18"/>
                <w:lang w:eastAsia="en-US"/>
              </w:rPr>
              <w:t xml:space="preserve">                      grant/ how effective is</w:t>
            </w:r>
          </w:p>
          <w:p w14:paraId="39D6EEE5"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eastAsiaTheme="minorHAnsi" w:hAnsiTheme="minorHAnsi" w:cstheme="minorHAnsi"/>
                <w:color w:val="000000"/>
                <w:sz w:val="18"/>
                <w:szCs w:val="18"/>
                <w:lang w:eastAsia="en-US"/>
              </w:rPr>
              <w:t xml:space="preserve">                      the process/ KPIs and </w:t>
            </w:r>
          </w:p>
          <w:p w14:paraId="05979F2A"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eastAsiaTheme="minorHAnsi" w:hAnsiTheme="minorHAnsi" w:cstheme="minorHAnsi"/>
                <w:color w:val="000000"/>
                <w:sz w:val="18"/>
                <w:szCs w:val="18"/>
                <w:lang w:eastAsia="en-US"/>
              </w:rPr>
              <w:t xml:space="preserve">                      the providers systems)</w:t>
            </w:r>
          </w:p>
        </w:tc>
        <w:tc>
          <w:tcPr>
            <w:tcW w:w="621" w:type="pct"/>
            <w:shd w:val="clear" w:color="auto" w:fill="F2F2F2"/>
          </w:tcPr>
          <w:p w14:paraId="24C1B047"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3594591A"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10</w:t>
            </w:r>
          </w:p>
        </w:tc>
        <w:tc>
          <w:tcPr>
            <w:tcW w:w="2365" w:type="pct"/>
            <w:shd w:val="clear" w:color="auto" w:fill="F2F2F2"/>
          </w:tcPr>
          <w:p w14:paraId="172B14F6"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6ACFE506"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 xml:space="preserve">Commissioners grants is both high risk and high profile with funds being directly nominated by the PCC to bona fide organisations. </w:t>
            </w:r>
          </w:p>
          <w:p w14:paraId="44921835"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33B77B00"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audit will review the following key areas:</w:t>
            </w:r>
          </w:p>
          <w:p w14:paraId="20F68F5C" w14:textId="77777777" w:rsidR="00E25529" w:rsidRPr="00E25529" w:rsidRDefault="00E25529" w:rsidP="00E25529">
            <w:pPr>
              <w:pStyle w:val="ListParagraph"/>
              <w:numPr>
                <w:ilvl w:val="0"/>
                <w:numId w:val="12"/>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The grant recipients justification for receiving grant</w:t>
            </w:r>
          </w:p>
          <w:p w14:paraId="2DE68687" w14:textId="77777777" w:rsidR="00E25529" w:rsidRPr="00E25529" w:rsidRDefault="00E25529" w:rsidP="00E25529">
            <w:pPr>
              <w:pStyle w:val="ListParagraph"/>
              <w:numPr>
                <w:ilvl w:val="0"/>
                <w:numId w:val="12"/>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The process under which the grant is awarded and how effective this is</w:t>
            </w:r>
          </w:p>
          <w:p w14:paraId="7FC3B52B" w14:textId="77777777" w:rsidR="00E25529" w:rsidRPr="00E25529" w:rsidRDefault="00E25529" w:rsidP="00E25529">
            <w:pPr>
              <w:pStyle w:val="ListParagraph"/>
              <w:numPr>
                <w:ilvl w:val="0"/>
                <w:numId w:val="12"/>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The Key Performance Indicators for the provider and how these are monitored</w:t>
            </w:r>
          </w:p>
          <w:p w14:paraId="120A2171" w14:textId="77777777" w:rsidR="00E25529" w:rsidRPr="00E25529" w:rsidRDefault="00E25529" w:rsidP="00E25529">
            <w:pPr>
              <w:pStyle w:val="ListParagraph"/>
              <w:numPr>
                <w:ilvl w:val="0"/>
                <w:numId w:val="12"/>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The system(s) the provider has in place to manage grant money received</w:t>
            </w:r>
          </w:p>
          <w:p w14:paraId="29B1B868"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rPr>
            </w:pPr>
            <w:r w:rsidRPr="00E25529">
              <w:rPr>
                <w:rFonts w:asciiTheme="minorHAnsi" w:eastAsiaTheme="minorHAnsi" w:hAnsiTheme="minorHAnsi" w:cstheme="minorHAnsi"/>
                <w:sz w:val="18"/>
                <w:szCs w:val="18"/>
                <w:u w:val="single"/>
              </w:rPr>
              <w:t>Lead Officers</w:t>
            </w:r>
          </w:p>
          <w:p w14:paraId="21FC24C8"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 xml:space="preserve">OPCC/ CFO and </w:t>
            </w:r>
            <w:r w:rsidRPr="00E25529">
              <w:rPr>
                <w:rFonts w:asciiTheme="minorHAnsi" w:eastAsiaTheme="minorHAnsi" w:hAnsiTheme="minorHAnsi" w:cstheme="minorHAnsi"/>
                <w:sz w:val="18"/>
                <w:szCs w:val="18"/>
                <w:lang w:eastAsia="en-US"/>
              </w:rPr>
              <w:t>OPCC Assistant Chief Executive</w:t>
            </w:r>
          </w:p>
        </w:tc>
      </w:tr>
      <w:tr w:rsidR="00E25529" w:rsidRPr="00E25529" w14:paraId="07182551" w14:textId="77777777" w:rsidTr="00E25529">
        <w:trPr>
          <w:cantSplit/>
          <w:jc w:val="center"/>
        </w:trPr>
        <w:tc>
          <w:tcPr>
            <w:tcW w:w="362" w:type="pct"/>
            <w:shd w:val="clear" w:color="auto" w:fill="F2F2F2"/>
          </w:tcPr>
          <w:p w14:paraId="75938997"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3</w:t>
            </w:r>
          </w:p>
        </w:tc>
        <w:tc>
          <w:tcPr>
            <w:tcW w:w="1245" w:type="pct"/>
            <w:shd w:val="clear" w:color="auto" w:fill="F2F2F2"/>
          </w:tcPr>
          <w:p w14:paraId="381252F4"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hAnsiTheme="minorHAnsi" w:cstheme="minorHAnsi"/>
                <w:color w:val="000000" w:themeColor="text1"/>
                <w:sz w:val="18"/>
                <w:szCs w:val="18"/>
              </w:rPr>
              <w:t>Payroll</w:t>
            </w:r>
          </w:p>
        </w:tc>
        <w:tc>
          <w:tcPr>
            <w:tcW w:w="621" w:type="pct"/>
            <w:shd w:val="clear" w:color="auto" w:fill="F2F2F2"/>
          </w:tcPr>
          <w:p w14:paraId="3205201A"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09AD4789"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579E0E30"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659322D9" w14:textId="77777777" w:rsidR="00E25529" w:rsidRPr="00E25529" w:rsidRDefault="00E25529" w:rsidP="00E25529">
            <w:pPr>
              <w:spacing w:before="60" w:after="60" w:line="271" w:lineRule="auto"/>
              <w:jc w:val="both"/>
              <w:rPr>
                <w:rFonts w:asciiTheme="minorHAnsi" w:hAnsiTheme="minorHAnsi" w:cstheme="minorHAnsi"/>
                <w:sz w:val="18"/>
                <w:szCs w:val="18"/>
              </w:rPr>
            </w:pPr>
            <w:r w:rsidRPr="00E25529">
              <w:rPr>
                <w:rFonts w:asciiTheme="minorHAnsi" w:hAnsiTheme="minorHAnsi" w:cstheme="minorHAnsi"/>
                <w:sz w:val="18"/>
                <w:szCs w:val="18"/>
              </w:rPr>
              <w:t>Payroll is a significant cost to the organisation and is seen as a key audit risk.</w:t>
            </w:r>
          </w:p>
          <w:p w14:paraId="58ACCFBF" w14:textId="77777777" w:rsidR="00E25529" w:rsidRPr="00E25529" w:rsidRDefault="00E25529" w:rsidP="00E25529">
            <w:pPr>
              <w:spacing w:before="60" w:after="60" w:line="271" w:lineRule="auto"/>
              <w:jc w:val="both"/>
              <w:rPr>
                <w:rFonts w:asciiTheme="minorHAnsi" w:hAnsiTheme="minorHAnsi" w:cstheme="minorHAnsi"/>
                <w:sz w:val="18"/>
                <w:szCs w:val="18"/>
                <w:u w:val="single"/>
              </w:rPr>
            </w:pPr>
            <w:r w:rsidRPr="00E25529">
              <w:rPr>
                <w:rFonts w:asciiTheme="minorHAnsi" w:hAnsiTheme="minorHAnsi" w:cstheme="minorHAnsi"/>
                <w:sz w:val="18"/>
                <w:szCs w:val="18"/>
                <w:u w:val="single"/>
              </w:rPr>
              <w:t>Scope</w:t>
            </w:r>
          </w:p>
          <w:p w14:paraId="78AAC852" w14:textId="77777777" w:rsidR="00E25529" w:rsidRPr="00E25529" w:rsidRDefault="00E25529" w:rsidP="00E25529">
            <w:pPr>
              <w:spacing w:beforeLines="40" w:before="96" w:afterLines="40" w:after="96" w:line="259" w:lineRule="auto"/>
              <w:jc w:val="both"/>
              <w:rPr>
                <w:rFonts w:asciiTheme="minorHAnsi" w:eastAsia="Calibri" w:hAnsiTheme="minorHAnsi" w:cstheme="minorHAnsi"/>
                <w:sz w:val="18"/>
                <w:szCs w:val="18"/>
                <w:lang w:eastAsia="en-US"/>
              </w:rPr>
            </w:pPr>
            <w:r w:rsidRPr="00E25529">
              <w:rPr>
                <w:rFonts w:asciiTheme="minorHAnsi" w:hAnsiTheme="minorHAnsi" w:cstheme="minorHAnsi"/>
                <w:sz w:val="18"/>
                <w:szCs w:val="18"/>
              </w:rPr>
              <w:t>The review considers the arrangements for: the creation, amendment and deletion of payroll records; payment of allowances and pay awards; and payment of salaries. The scope of the review does not include determination of salary scales, appointment and removal of staff, severance payments or reimbursement of travel and subsistence expenses, or pension arrangements.</w:t>
            </w:r>
          </w:p>
          <w:p w14:paraId="4AD3EE3F"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3F67B57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CFO</w:t>
            </w:r>
          </w:p>
        </w:tc>
      </w:tr>
      <w:tr w:rsidR="00E25529" w:rsidRPr="00E25529" w14:paraId="06297751" w14:textId="77777777" w:rsidTr="00E25529">
        <w:trPr>
          <w:cantSplit/>
          <w:jc w:val="center"/>
        </w:trPr>
        <w:tc>
          <w:tcPr>
            <w:tcW w:w="362" w:type="pct"/>
            <w:shd w:val="clear" w:color="auto" w:fill="F2F2F2"/>
          </w:tcPr>
          <w:p w14:paraId="445C50D1"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3</w:t>
            </w:r>
          </w:p>
        </w:tc>
        <w:tc>
          <w:tcPr>
            <w:tcW w:w="1245" w:type="pct"/>
            <w:shd w:val="clear" w:color="auto" w:fill="F2F2F2"/>
          </w:tcPr>
          <w:p w14:paraId="24954B34" w14:textId="77777777" w:rsidR="00E25529" w:rsidRPr="00E25529" w:rsidRDefault="00E25529"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Estate Management – Contingency</w:t>
            </w:r>
          </w:p>
          <w:p w14:paraId="0E72C53D" w14:textId="77777777" w:rsidR="00E25529" w:rsidRPr="00E25529" w:rsidRDefault="00E25529"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to include: Procurement</w:t>
            </w:r>
          </w:p>
          <w:p w14:paraId="6405633D" w14:textId="77777777" w:rsidR="00E25529" w:rsidRPr="00E25529" w:rsidRDefault="00E25529" w:rsidP="002B11F5">
            <w:pPr>
              <w:spacing w:before="60" w:after="60" w:line="271" w:lineRule="auto"/>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 xml:space="preserve">                     Maintenance and Repairs</w:t>
            </w:r>
          </w:p>
          <w:p w14:paraId="3DBD1033" w14:textId="77777777" w:rsidR="00E25529" w:rsidRPr="00E25529" w:rsidRDefault="00E25529" w:rsidP="002B11F5">
            <w:pPr>
              <w:tabs>
                <w:tab w:val="center" w:pos="4680"/>
                <w:tab w:val="right" w:pos="9360"/>
              </w:tabs>
              <w:spacing w:before="40" w:after="40"/>
              <w:rPr>
                <w:rFonts w:asciiTheme="minorHAnsi" w:eastAsiaTheme="minorHAnsi" w:hAnsiTheme="minorHAnsi" w:cstheme="minorHAnsi"/>
                <w:color w:val="000000"/>
                <w:sz w:val="18"/>
                <w:szCs w:val="18"/>
                <w:lang w:eastAsia="en-US"/>
              </w:rPr>
            </w:pPr>
            <w:r w:rsidRPr="00E25529">
              <w:rPr>
                <w:rFonts w:asciiTheme="minorHAnsi" w:hAnsiTheme="minorHAnsi" w:cstheme="minorHAnsi"/>
                <w:color w:val="000000" w:themeColor="text1"/>
                <w:sz w:val="18"/>
                <w:szCs w:val="18"/>
              </w:rPr>
              <w:t xml:space="preserve">                     Strategy</w:t>
            </w:r>
          </w:p>
        </w:tc>
        <w:tc>
          <w:tcPr>
            <w:tcW w:w="621" w:type="pct"/>
            <w:shd w:val="clear" w:color="auto" w:fill="F2F2F2"/>
          </w:tcPr>
          <w:p w14:paraId="192343BB"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78EA102E"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467BBE34"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143CB6B9"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 xml:space="preserve">The Estate is an important area for the Force and needs to be able to support an agile workforce.  A periodic audit will provide assurance in the management of the Estate </w:t>
            </w:r>
          </w:p>
          <w:p w14:paraId="783A84E9"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7809D733"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TBA</w:t>
            </w:r>
          </w:p>
          <w:p w14:paraId="2C91C9C6"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6FF66959"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OPCC/CFOs/Head of Estates/</w:t>
            </w:r>
            <w:r w:rsidRPr="00E25529">
              <w:rPr>
                <w:rFonts w:asciiTheme="minorHAnsi" w:eastAsiaTheme="minorHAnsi" w:hAnsiTheme="minorHAnsi" w:cstheme="minorHAnsi"/>
                <w:sz w:val="18"/>
                <w:szCs w:val="18"/>
                <w:lang w:eastAsia="en-US"/>
              </w:rPr>
              <w:t xml:space="preserve"> OPCC Assistant Chief Executive</w:t>
            </w:r>
          </w:p>
        </w:tc>
      </w:tr>
      <w:tr w:rsidR="00E25529" w:rsidRPr="00E25529" w14:paraId="386FFCAB" w14:textId="77777777" w:rsidTr="00E25529">
        <w:trPr>
          <w:cantSplit/>
          <w:jc w:val="center"/>
        </w:trPr>
        <w:tc>
          <w:tcPr>
            <w:tcW w:w="362" w:type="pct"/>
            <w:shd w:val="clear" w:color="auto" w:fill="F2F2F2"/>
          </w:tcPr>
          <w:p w14:paraId="7FD31F03"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3</w:t>
            </w:r>
          </w:p>
        </w:tc>
        <w:tc>
          <w:tcPr>
            <w:tcW w:w="1245" w:type="pct"/>
            <w:shd w:val="clear" w:color="auto" w:fill="F2F2F2"/>
          </w:tcPr>
          <w:p w14:paraId="6159A5F5" w14:textId="77777777" w:rsidR="00E25529" w:rsidRPr="00E25529" w:rsidRDefault="00E25529" w:rsidP="002B11F5">
            <w:pPr>
              <w:tabs>
                <w:tab w:val="center" w:pos="4680"/>
                <w:tab w:val="right" w:pos="9360"/>
              </w:tabs>
              <w:spacing w:before="40" w:after="40"/>
              <w:rPr>
                <w:rFonts w:asciiTheme="minorHAnsi" w:hAnsiTheme="minorHAnsi" w:cstheme="minorHAnsi"/>
                <w:sz w:val="18"/>
                <w:szCs w:val="18"/>
              </w:rPr>
            </w:pPr>
            <w:r w:rsidRPr="00E25529">
              <w:rPr>
                <w:rFonts w:asciiTheme="minorHAnsi" w:hAnsiTheme="minorHAnsi" w:cstheme="minorHAnsi"/>
                <w:color w:val="000000" w:themeColor="text1"/>
                <w:sz w:val="18"/>
                <w:szCs w:val="18"/>
              </w:rPr>
              <w:t>Estate Management – Value for money out of estate/Benefits Realisation</w:t>
            </w:r>
          </w:p>
        </w:tc>
        <w:tc>
          <w:tcPr>
            <w:tcW w:w="621" w:type="pct"/>
            <w:shd w:val="clear" w:color="auto" w:fill="F2F2F2"/>
          </w:tcPr>
          <w:p w14:paraId="47408930"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11DBC078"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367380C1"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081F38B2"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 projects complete and the Estate evolves to meet the changing requirements of the Constabulary the benefits that should arise need to be confirmed.  A regular audit is therefore required to assess that actual benefits and value for money have been achieved</w:t>
            </w:r>
          </w:p>
          <w:p w14:paraId="30CEAA34"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036466CF" w14:textId="77777777" w:rsidR="00E25529" w:rsidRPr="00E25529" w:rsidRDefault="00E25529" w:rsidP="00E25529">
            <w:pPr>
              <w:spacing w:beforeLines="40" w:before="96" w:afterLines="40" w:after="96" w:line="259" w:lineRule="auto"/>
              <w:jc w:val="both"/>
              <w:rPr>
                <w:rFonts w:asciiTheme="minorHAnsi" w:eastAsia="Calibri" w:hAnsiTheme="minorHAnsi" w:cstheme="minorHAnsi"/>
                <w:sz w:val="18"/>
                <w:szCs w:val="18"/>
                <w:lang w:eastAsia="en-US"/>
              </w:rPr>
            </w:pPr>
            <w:r w:rsidRPr="00E25529">
              <w:rPr>
                <w:rFonts w:asciiTheme="minorHAnsi" w:eastAsia="Calibri" w:hAnsiTheme="minorHAnsi" w:cstheme="minorHAnsi"/>
                <w:sz w:val="18"/>
                <w:szCs w:val="18"/>
                <w:lang w:eastAsia="en-US"/>
              </w:rPr>
              <w:t>The audit will review the following areas:</w:t>
            </w:r>
          </w:p>
          <w:p w14:paraId="3DC8C57A" w14:textId="77777777" w:rsidR="00E25529" w:rsidRPr="00E25529" w:rsidRDefault="00E25529" w:rsidP="00E25529">
            <w:pPr>
              <w:pStyle w:val="ListParagraph"/>
              <w:numPr>
                <w:ilvl w:val="0"/>
                <w:numId w:val="18"/>
              </w:numPr>
              <w:spacing w:beforeLines="40" w:before="96" w:afterLines="40" w:after="96" w:line="259" w:lineRule="auto"/>
              <w:rPr>
                <w:rFonts w:asciiTheme="minorHAnsi" w:hAnsiTheme="minorHAnsi" w:cstheme="minorHAnsi"/>
                <w:sz w:val="18"/>
                <w:szCs w:val="18"/>
              </w:rPr>
            </w:pPr>
            <w:r w:rsidRPr="00E25529">
              <w:rPr>
                <w:rFonts w:asciiTheme="minorHAnsi" w:hAnsiTheme="minorHAnsi" w:cstheme="minorHAnsi"/>
                <w:sz w:val="18"/>
                <w:szCs w:val="18"/>
              </w:rPr>
              <w:t>The expected benefits and functionality that was derived from the change to the estate</w:t>
            </w:r>
          </w:p>
          <w:p w14:paraId="5A4CAE96" w14:textId="77777777" w:rsidR="00E25529" w:rsidRPr="00E25529" w:rsidRDefault="00E25529" w:rsidP="00E25529">
            <w:pPr>
              <w:pStyle w:val="ListParagraph"/>
              <w:numPr>
                <w:ilvl w:val="0"/>
                <w:numId w:val="18"/>
              </w:numPr>
              <w:spacing w:beforeLines="40" w:before="96" w:afterLines="40" w:after="96" w:line="259" w:lineRule="auto"/>
              <w:rPr>
                <w:rFonts w:asciiTheme="minorHAnsi" w:hAnsiTheme="minorHAnsi" w:cstheme="minorHAnsi"/>
                <w:sz w:val="18"/>
                <w:szCs w:val="18"/>
              </w:rPr>
            </w:pPr>
            <w:r w:rsidRPr="00E25529">
              <w:rPr>
                <w:rFonts w:asciiTheme="minorHAnsi" w:hAnsiTheme="minorHAnsi" w:cstheme="minorHAnsi"/>
                <w:sz w:val="18"/>
                <w:szCs w:val="18"/>
              </w:rPr>
              <w:t>The lesson learned review following the conclusion to the changes</w:t>
            </w:r>
          </w:p>
          <w:p w14:paraId="4AD2A574" w14:textId="77777777" w:rsidR="00E25529" w:rsidRPr="00E25529" w:rsidRDefault="00E25529" w:rsidP="00E25529">
            <w:pPr>
              <w:pStyle w:val="ListParagraph"/>
              <w:numPr>
                <w:ilvl w:val="0"/>
                <w:numId w:val="18"/>
              </w:numPr>
              <w:spacing w:beforeLines="40" w:before="96" w:afterLines="40" w:after="96" w:line="259" w:lineRule="auto"/>
              <w:rPr>
                <w:rFonts w:asciiTheme="minorHAnsi" w:hAnsiTheme="minorHAnsi" w:cstheme="minorHAnsi"/>
                <w:sz w:val="18"/>
                <w:szCs w:val="18"/>
              </w:rPr>
            </w:pPr>
            <w:r w:rsidRPr="00E25529">
              <w:rPr>
                <w:rFonts w:asciiTheme="minorHAnsi" w:hAnsiTheme="minorHAnsi" w:cstheme="minorHAnsi"/>
                <w:sz w:val="18"/>
                <w:szCs w:val="18"/>
              </w:rPr>
              <w:t>An understanding and confirmation of the value for money that the changes to the Estate have delivered</w:t>
            </w:r>
          </w:p>
          <w:p w14:paraId="0E2241B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5340A708" w14:textId="77777777" w:rsidR="00E25529" w:rsidRPr="00E25529" w:rsidRDefault="00E25529" w:rsidP="00E25529">
            <w:pPr>
              <w:spacing w:before="40" w:after="40"/>
              <w:jc w:val="both"/>
              <w:rPr>
                <w:rFonts w:asciiTheme="minorHAnsi" w:hAnsiTheme="minorHAnsi" w:cstheme="minorHAnsi"/>
                <w:sz w:val="18"/>
                <w:szCs w:val="18"/>
              </w:rPr>
            </w:pPr>
            <w:r w:rsidRPr="00E25529">
              <w:rPr>
                <w:rFonts w:asciiTheme="minorHAnsi" w:hAnsiTheme="minorHAnsi" w:cstheme="minorHAnsi"/>
                <w:sz w:val="18"/>
                <w:szCs w:val="18"/>
              </w:rPr>
              <w:t>OPCC/CFOs/Head of Estates/</w:t>
            </w:r>
            <w:r w:rsidRPr="00E25529">
              <w:rPr>
                <w:rFonts w:asciiTheme="minorHAnsi" w:eastAsiaTheme="minorHAnsi" w:hAnsiTheme="minorHAnsi" w:cstheme="minorHAnsi"/>
                <w:sz w:val="18"/>
                <w:szCs w:val="18"/>
                <w:lang w:eastAsia="en-US"/>
              </w:rPr>
              <w:t xml:space="preserve"> OPCC Assistant Chief Executive</w:t>
            </w:r>
          </w:p>
        </w:tc>
      </w:tr>
      <w:tr w:rsidR="00E25529" w:rsidRPr="00E25529" w14:paraId="56E6A1ED" w14:textId="77777777" w:rsidTr="00E25529">
        <w:trPr>
          <w:cantSplit/>
          <w:jc w:val="center"/>
        </w:trPr>
        <w:tc>
          <w:tcPr>
            <w:tcW w:w="362" w:type="pct"/>
            <w:shd w:val="clear" w:color="auto" w:fill="F2F2F2"/>
          </w:tcPr>
          <w:p w14:paraId="3320F49F"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3</w:t>
            </w:r>
          </w:p>
        </w:tc>
        <w:tc>
          <w:tcPr>
            <w:tcW w:w="1245" w:type="pct"/>
            <w:shd w:val="clear" w:color="auto" w:fill="F2F2F2"/>
          </w:tcPr>
          <w:p w14:paraId="125543BE" w14:textId="77777777" w:rsidR="00E25529" w:rsidRPr="00E25529" w:rsidRDefault="00E25529" w:rsidP="002B11F5">
            <w:pPr>
              <w:spacing w:after="160" w:line="259" w:lineRule="auto"/>
              <w:rPr>
                <w:rFonts w:asciiTheme="minorHAnsi" w:eastAsiaTheme="minorHAnsi" w:hAnsiTheme="minorHAnsi" w:cstheme="minorHAnsi"/>
                <w:color w:val="000000"/>
                <w:sz w:val="18"/>
                <w:szCs w:val="18"/>
                <w:lang w:eastAsia="en-US"/>
              </w:rPr>
            </w:pPr>
            <w:r w:rsidRPr="00E25529">
              <w:rPr>
                <w:rFonts w:asciiTheme="minorHAnsi" w:hAnsiTheme="minorHAnsi" w:cstheme="minorHAnsi"/>
                <w:color w:val="000000" w:themeColor="text1"/>
                <w:sz w:val="18"/>
                <w:szCs w:val="18"/>
              </w:rPr>
              <w:t>Seized Cash</w:t>
            </w:r>
          </w:p>
        </w:tc>
        <w:tc>
          <w:tcPr>
            <w:tcW w:w="621" w:type="pct"/>
            <w:shd w:val="clear" w:color="auto" w:fill="F2F2F2"/>
          </w:tcPr>
          <w:p w14:paraId="6C148A8A"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Compliance</w:t>
            </w:r>
          </w:p>
        </w:tc>
        <w:tc>
          <w:tcPr>
            <w:tcW w:w="407" w:type="pct"/>
            <w:shd w:val="clear" w:color="auto" w:fill="F2F2F2"/>
          </w:tcPr>
          <w:p w14:paraId="6B13CB03"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4</w:t>
            </w:r>
          </w:p>
        </w:tc>
        <w:tc>
          <w:tcPr>
            <w:tcW w:w="2365" w:type="pct"/>
            <w:shd w:val="clear" w:color="auto" w:fill="F2F2F2"/>
          </w:tcPr>
          <w:p w14:paraId="71602E18"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11D5403D" w14:textId="77777777" w:rsidR="00E25529" w:rsidRPr="00E25529" w:rsidRDefault="00E25529" w:rsidP="00E25529">
            <w:pPr>
              <w:spacing w:before="60" w:after="60" w:line="271" w:lineRule="auto"/>
              <w:jc w:val="both"/>
              <w:rPr>
                <w:rFonts w:asciiTheme="minorHAnsi" w:hAnsiTheme="minorHAnsi" w:cstheme="minorHAnsi"/>
                <w:sz w:val="18"/>
                <w:szCs w:val="18"/>
              </w:rPr>
            </w:pPr>
            <w:r w:rsidRPr="00E25529">
              <w:rPr>
                <w:rFonts w:asciiTheme="minorHAnsi" w:hAnsiTheme="minorHAnsi" w:cstheme="minorHAnsi"/>
                <w:sz w:val="18"/>
                <w:szCs w:val="18"/>
              </w:rPr>
              <w:t>This is a focus area of the Audit Committee with concerns having been raised in previous years.</w:t>
            </w:r>
          </w:p>
          <w:p w14:paraId="3D0E1ED4" w14:textId="77777777" w:rsidR="00E25529" w:rsidRPr="00E25529" w:rsidRDefault="00E25529" w:rsidP="00E25529">
            <w:pPr>
              <w:spacing w:before="60" w:after="60" w:line="271" w:lineRule="auto"/>
              <w:jc w:val="both"/>
              <w:rPr>
                <w:rFonts w:asciiTheme="minorHAnsi" w:hAnsiTheme="minorHAnsi" w:cstheme="minorHAnsi"/>
                <w:sz w:val="18"/>
                <w:szCs w:val="18"/>
                <w:u w:val="single"/>
              </w:rPr>
            </w:pPr>
            <w:r w:rsidRPr="00E25529">
              <w:rPr>
                <w:rFonts w:asciiTheme="minorHAnsi" w:hAnsiTheme="minorHAnsi" w:cstheme="minorHAnsi"/>
                <w:sz w:val="18"/>
                <w:szCs w:val="18"/>
                <w:u w:val="single"/>
              </w:rPr>
              <w:t>Scope</w:t>
            </w:r>
          </w:p>
          <w:p w14:paraId="61C18D78"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hAnsiTheme="minorHAnsi" w:cstheme="minorHAnsi"/>
                <w:sz w:val="18"/>
                <w:szCs w:val="18"/>
              </w:rPr>
              <w:t>The review will consider the arrangements for the receiving, handling and disposal of seized cash to ensure that processes adopted by the organisation are being complied with.</w:t>
            </w:r>
          </w:p>
          <w:p w14:paraId="595D285B"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65E21D3F" w14:textId="77777777" w:rsidR="00E25529" w:rsidRPr="00E25529" w:rsidRDefault="00E25529" w:rsidP="00E25529">
            <w:pPr>
              <w:spacing w:before="40" w:after="40"/>
              <w:jc w:val="both"/>
              <w:rPr>
                <w:rFonts w:asciiTheme="minorHAnsi" w:hAnsiTheme="minorHAnsi" w:cstheme="minorHAnsi"/>
                <w:sz w:val="18"/>
                <w:szCs w:val="18"/>
              </w:rPr>
            </w:pPr>
            <w:r w:rsidRPr="00E25529">
              <w:rPr>
                <w:rFonts w:asciiTheme="minorHAnsi" w:hAnsiTheme="minorHAnsi" w:cstheme="minorHAnsi"/>
                <w:sz w:val="18"/>
                <w:szCs w:val="18"/>
              </w:rPr>
              <w:t>CFO</w:t>
            </w:r>
          </w:p>
        </w:tc>
      </w:tr>
      <w:tr w:rsidR="00E25529" w:rsidRPr="00E25529" w14:paraId="468E0BC4" w14:textId="77777777" w:rsidTr="00E25529">
        <w:trPr>
          <w:cantSplit/>
          <w:jc w:val="center"/>
        </w:trPr>
        <w:tc>
          <w:tcPr>
            <w:tcW w:w="362" w:type="pct"/>
            <w:shd w:val="clear" w:color="auto" w:fill="F2F2F2"/>
          </w:tcPr>
          <w:p w14:paraId="68DED5FD"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3</w:t>
            </w:r>
          </w:p>
        </w:tc>
        <w:tc>
          <w:tcPr>
            <w:tcW w:w="1245" w:type="pct"/>
            <w:shd w:val="clear" w:color="auto" w:fill="F2F2F2"/>
          </w:tcPr>
          <w:p w14:paraId="47C44365" w14:textId="77777777" w:rsidR="00E25529" w:rsidRPr="00E25529" w:rsidRDefault="00E25529" w:rsidP="002B11F5">
            <w:pPr>
              <w:tabs>
                <w:tab w:val="center" w:pos="4680"/>
                <w:tab w:val="right" w:pos="9360"/>
              </w:tabs>
              <w:spacing w:before="40" w:after="40"/>
              <w:rPr>
                <w:rFonts w:asciiTheme="minorHAnsi" w:hAnsiTheme="minorHAnsi" w:cstheme="minorHAnsi"/>
                <w:sz w:val="18"/>
                <w:szCs w:val="18"/>
              </w:rPr>
            </w:pPr>
            <w:r w:rsidRPr="00E25529">
              <w:rPr>
                <w:rFonts w:asciiTheme="minorHAnsi" w:hAnsiTheme="minorHAnsi" w:cstheme="minorHAnsi"/>
                <w:color w:val="000000" w:themeColor="text1"/>
                <w:sz w:val="18"/>
                <w:szCs w:val="18"/>
              </w:rPr>
              <w:t>FOI/Data Protection/Document Security</w:t>
            </w:r>
          </w:p>
        </w:tc>
        <w:tc>
          <w:tcPr>
            <w:tcW w:w="621" w:type="pct"/>
            <w:shd w:val="clear" w:color="auto" w:fill="F2F2F2"/>
          </w:tcPr>
          <w:p w14:paraId="4F5A5687" w14:textId="77777777" w:rsidR="00E25529" w:rsidRPr="00E25529" w:rsidRDefault="00E25529" w:rsidP="002B11F5">
            <w:pPr>
              <w:spacing w:after="160" w:line="259" w:lineRule="auto"/>
              <w:jc w:val="center"/>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57B654E7"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08E41649" w14:textId="77777777" w:rsidR="00E25529" w:rsidRPr="00E25529" w:rsidRDefault="00E25529" w:rsidP="00E25529">
            <w:pPr>
              <w:spacing w:beforeLines="40" w:before="96" w:afterLines="40" w:after="96"/>
              <w:jc w:val="both"/>
              <w:rPr>
                <w:rFonts w:asciiTheme="minorHAnsi" w:eastAsia="Calibri" w:hAnsiTheme="minorHAnsi" w:cstheme="minorHAnsi"/>
                <w:sz w:val="18"/>
                <w:szCs w:val="18"/>
                <w:u w:val="single"/>
              </w:rPr>
            </w:pPr>
            <w:r w:rsidRPr="00E25529">
              <w:rPr>
                <w:rFonts w:asciiTheme="minorHAnsi" w:eastAsia="Calibri" w:hAnsiTheme="minorHAnsi" w:cstheme="minorHAnsi"/>
                <w:sz w:val="18"/>
                <w:szCs w:val="18"/>
                <w:u w:val="single"/>
              </w:rPr>
              <w:t>Rationale</w:t>
            </w:r>
          </w:p>
          <w:p w14:paraId="3137A55E" w14:textId="77777777" w:rsidR="00E25529" w:rsidRPr="00E25529" w:rsidRDefault="00E25529" w:rsidP="00E25529">
            <w:pPr>
              <w:spacing w:beforeLines="40" w:before="96" w:afterLines="40" w:after="96"/>
              <w:jc w:val="both"/>
              <w:rPr>
                <w:rFonts w:asciiTheme="minorHAnsi" w:eastAsia="Calibri" w:hAnsiTheme="minorHAnsi" w:cstheme="minorHAnsi"/>
                <w:sz w:val="18"/>
                <w:szCs w:val="18"/>
              </w:rPr>
            </w:pPr>
            <w:r w:rsidRPr="00E25529">
              <w:rPr>
                <w:rFonts w:asciiTheme="minorHAnsi" w:eastAsia="Calibri" w:hAnsiTheme="minorHAnsi" w:cstheme="minorHAnsi"/>
                <w:sz w:val="18"/>
                <w:szCs w:val="18"/>
              </w:rPr>
              <w:t>This is an important area for the Constabulary and a periodic audit will provide assurance regarding its processes</w:t>
            </w:r>
          </w:p>
          <w:p w14:paraId="3ECFDF7D" w14:textId="77777777" w:rsidR="00E25529" w:rsidRPr="00E25529" w:rsidRDefault="00E25529" w:rsidP="00E25529">
            <w:pPr>
              <w:spacing w:beforeLines="40" w:before="96" w:afterLines="40" w:after="96"/>
              <w:jc w:val="both"/>
              <w:rPr>
                <w:rFonts w:asciiTheme="minorHAnsi" w:eastAsia="Calibri" w:hAnsiTheme="minorHAnsi" w:cstheme="minorHAnsi"/>
                <w:sz w:val="18"/>
                <w:szCs w:val="18"/>
                <w:u w:val="single"/>
              </w:rPr>
            </w:pPr>
            <w:r w:rsidRPr="00E25529">
              <w:rPr>
                <w:rFonts w:asciiTheme="minorHAnsi" w:eastAsia="Calibri" w:hAnsiTheme="minorHAnsi" w:cstheme="minorHAnsi"/>
                <w:sz w:val="18"/>
                <w:szCs w:val="18"/>
                <w:u w:val="single"/>
              </w:rPr>
              <w:t>Scope</w:t>
            </w:r>
          </w:p>
          <w:p w14:paraId="47BD9E2B" w14:textId="77777777" w:rsidR="00E25529" w:rsidRPr="00E25529" w:rsidRDefault="00E25529" w:rsidP="00E25529">
            <w:pPr>
              <w:spacing w:beforeLines="40" w:before="96" w:afterLines="40" w:after="96"/>
              <w:jc w:val="both"/>
              <w:rPr>
                <w:rFonts w:asciiTheme="minorHAnsi" w:eastAsia="Calibri" w:hAnsiTheme="minorHAnsi" w:cstheme="minorHAnsi"/>
                <w:sz w:val="18"/>
                <w:szCs w:val="18"/>
              </w:rPr>
            </w:pPr>
            <w:r w:rsidRPr="00E25529">
              <w:rPr>
                <w:rFonts w:asciiTheme="minorHAnsi" w:eastAsia="Calibri" w:hAnsiTheme="minorHAnsi" w:cstheme="minorHAnsi"/>
                <w:sz w:val="18"/>
                <w:szCs w:val="18"/>
              </w:rPr>
              <w:t xml:space="preserve">The review will consider the following areas: </w:t>
            </w:r>
          </w:p>
          <w:p w14:paraId="5069B6B4" w14:textId="77777777" w:rsidR="00E25529" w:rsidRPr="00E25529" w:rsidRDefault="00E25529" w:rsidP="00E25529">
            <w:pPr>
              <w:numPr>
                <w:ilvl w:val="0"/>
                <w:numId w:val="20"/>
              </w:numPr>
              <w:spacing w:beforeLines="40" w:before="96" w:afterLines="40" w:after="96"/>
              <w:jc w:val="both"/>
              <w:rPr>
                <w:rFonts w:asciiTheme="minorHAnsi" w:eastAsia="Calibri" w:hAnsiTheme="minorHAnsi" w:cstheme="minorHAnsi"/>
                <w:sz w:val="18"/>
                <w:szCs w:val="18"/>
              </w:rPr>
            </w:pPr>
            <w:r w:rsidRPr="00E25529">
              <w:rPr>
                <w:rFonts w:asciiTheme="minorHAnsi" w:eastAsia="Calibri" w:hAnsiTheme="minorHAnsi" w:cstheme="minorHAnsi"/>
                <w:sz w:val="18"/>
                <w:szCs w:val="18"/>
              </w:rPr>
              <w:t xml:space="preserve">the effectiveness of managing freedom of information requests, </w:t>
            </w:r>
          </w:p>
          <w:p w14:paraId="0293047E" w14:textId="77777777" w:rsidR="00E25529" w:rsidRPr="00E25529" w:rsidRDefault="00E25529" w:rsidP="00E25529">
            <w:pPr>
              <w:numPr>
                <w:ilvl w:val="0"/>
                <w:numId w:val="20"/>
              </w:numPr>
              <w:spacing w:beforeLines="40" w:before="96" w:afterLines="40" w:after="96"/>
              <w:jc w:val="both"/>
              <w:rPr>
                <w:rFonts w:asciiTheme="minorHAnsi" w:eastAsia="Calibri" w:hAnsiTheme="minorHAnsi" w:cstheme="minorHAnsi"/>
                <w:sz w:val="18"/>
                <w:szCs w:val="18"/>
              </w:rPr>
            </w:pPr>
            <w:r w:rsidRPr="00E25529">
              <w:rPr>
                <w:rFonts w:asciiTheme="minorHAnsi" w:eastAsia="Calibri" w:hAnsiTheme="minorHAnsi" w:cstheme="minorHAnsi"/>
                <w:sz w:val="18"/>
                <w:szCs w:val="18"/>
              </w:rPr>
              <w:t>data protection and document security</w:t>
            </w:r>
          </w:p>
          <w:p w14:paraId="5D1FF4DE" w14:textId="77777777" w:rsidR="00E25529" w:rsidRPr="00E25529" w:rsidRDefault="00E25529" w:rsidP="00E25529">
            <w:pPr>
              <w:numPr>
                <w:ilvl w:val="0"/>
                <w:numId w:val="20"/>
              </w:numPr>
              <w:spacing w:beforeLines="40" w:before="96" w:afterLines="40" w:after="96"/>
              <w:jc w:val="both"/>
              <w:rPr>
                <w:rFonts w:asciiTheme="minorHAnsi" w:eastAsia="Calibri" w:hAnsiTheme="minorHAnsi" w:cstheme="minorHAnsi"/>
                <w:sz w:val="18"/>
                <w:szCs w:val="18"/>
              </w:rPr>
            </w:pPr>
            <w:r w:rsidRPr="00E25529">
              <w:rPr>
                <w:rFonts w:asciiTheme="minorHAnsi" w:eastAsia="Calibri" w:hAnsiTheme="minorHAnsi" w:cstheme="minorHAnsi"/>
                <w:sz w:val="18"/>
                <w:szCs w:val="18"/>
              </w:rPr>
              <w:t>the resources allocated throughout the Constabulary to ensure that requests for information are handled in accordance with the Freedom of Information Act</w:t>
            </w:r>
          </w:p>
          <w:p w14:paraId="2E01D11A" w14:textId="77777777" w:rsidR="00E25529" w:rsidRPr="00E25529" w:rsidRDefault="00E25529" w:rsidP="00E25529">
            <w:pPr>
              <w:numPr>
                <w:ilvl w:val="0"/>
                <w:numId w:val="20"/>
              </w:numPr>
              <w:spacing w:beforeLines="40" w:before="96" w:afterLines="40" w:after="96"/>
              <w:jc w:val="both"/>
              <w:rPr>
                <w:rFonts w:asciiTheme="minorHAnsi" w:eastAsia="Calibri" w:hAnsiTheme="minorHAnsi" w:cstheme="minorHAnsi"/>
                <w:sz w:val="18"/>
                <w:szCs w:val="18"/>
              </w:rPr>
            </w:pPr>
            <w:r w:rsidRPr="00E25529">
              <w:rPr>
                <w:rFonts w:asciiTheme="minorHAnsi" w:eastAsia="Calibri" w:hAnsiTheme="minorHAnsi" w:cstheme="minorHAnsi"/>
                <w:sz w:val="18"/>
                <w:szCs w:val="18"/>
              </w:rPr>
              <w:t xml:space="preserve">the adequacy and the distribution of the available resources, and </w:t>
            </w:r>
          </w:p>
          <w:p w14:paraId="16BFA4DF" w14:textId="77777777" w:rsidR="00E25529" w:rsidRPr="00E25529" w:rsidRDefault="00E25529" w:rsidP="00E25529">
            <w:pPr>
              <w:numPr>
                <w:ilvl w:val="0"/>
                <w:numId w:val="20"/>
              </w:numPr>
              <w:spacing w:beforeLines="40" w:before="96" w:afterLines="40" w:after="96"/>
              <w:jc w:val="both"/>
              <w:rPr>
                <w:rFonts w:asciiTheme="minorHAnsi" w:eastAsia="Calibri" w:hAnsiTheme="minorHAnsi" w:cstheme="minorHAnsi"/>
                <w:sz w:val="18"/>
                <w:szCs w:val="18"/>
              </w:rPr>
            </w:pPr>
            <w:proofErr w:type="gramStart"/>
            <w:r w:rsidRPr="00E25529">
              <w:rPr>
                <w:rFonts w:asciiTheme="minorHAnsi" w:eastAsia="Calibri" w:hAnsiTheme="minorHAnsi" w:cstheme="minorHAnsi"/>
                <w:sz w:val="18"/>
                <w:szCs w:val="18"/>
              </w:rPr>
              <w:t>the</w:t>
            </w:r>
            <w:proofErr w:type="gramEnd"/>
            <w:r w:rsidRPr="00E25529">
              <w:rPr>
                <w:rFonts w:asciiTheme="minorHAnsi" w:eastAsia="Calibri" w:hAnsiTheme="minorHAnsi" w:cstheme="minorHAnsi"/>
                <w:sz w:val="18"/>
                <w:szCs w:val="18"/>
              </w:rPr>
              <w:t xml:space="preserve"> timeliness of the completion of requests.</w:t>
            </w:r>
          </w:p>
          <w:p w14:paraId="5124AAFE"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06C0C405" w14:textId="77777777" w:rsidR="00E25529" w:rsidRPr="00E25529" w:rsidRDefault="00E25529" w:rsidP="00E25529">
            <w:pPr>
              <w:spacing w:before="40" w:after="40"/>
              <w:jc w:val="both"/>
              <w:rPr>
                <w:rFonts w:asciiTheme="minorHAnsi" w:hAnsiTheme="minorHAnsi" w:cstheme="minorHAnsi"/>
                <w:sz w:val="18"/>
                <w:szCs w:val="18"/>
              </w:rPr>
            </w:pPr>
            <w:r w:rsidRPr="00E25529">
              <w:rPr>
                <w:rFonts w:asciiTheme="minorHAnsi" w:hAnsiTheme="minorHAnsi" w:cstheme="minorHAnsi"/>
                <w:sz w:val="18"/>
                <w:szCs w:val="18"/>
              </w:rPr>
              <w:t>CFO/Head of Information and data security</w:t>
            </w:r>
          </w:p>
        </w:tc>
      </w:tr>
      <w:tr w:rsidR="00E25529" w:rsidRPr="00E25529" w14:paraId="59585C02" w14:textId="77777777" w:rsidTr="00E25529">
        <w:trPr>
          <w:cantSplit/>
          <w:jc w:val="center"/>
        </w:trPr>
        <w:tc>
          <w:tcPr>
            <w:tcW w:w="362" w:type="pct"/>
            <w:shd w:val="clear" w:color="auto" w:fill="F2F2F2"/>
          </w:tcPr>
          <w:p w14:paraId="526630D9"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3/4</w:t>
            </w:r>
          </w:p>
        </w:tc>
        <w:tc>
          <w:tcPr>
            <w:tcW w:w="1245" w:type="pct"/>
            <w:shd w:val="clear" w:color="auto" w:fill="F2F2F2"/>
          </w:tcPr>
          <w:p w14:paraId="356CDC16" w14:textId="77777777" w:rsidR="00E25529" w:rsidRPr="00E25529" w:rsidRDefault="00E25529" w:rsidP="002B11F5">
            <w:pPr>
              <w:spacing w:before="40" w:after="40"/>
              <w:rPr>
                <w:rFonts w:asciiTheme="minorHAnsi" w:hAnsiTheme="minorHAnsi" w:cstheme="minorHAnsi"/>
                <w:sz w:val="18"/>
                <w:szCs w:val="18"/>
              </w:rPr>
            </w:pPr>
            <w:r w:rsidRPr="00E25529">
              <w:rPr>
                <w:rFonts w:asciiTheme="minorHAnsi" w:hAnsiTheme="minorHAnsi" w:cstheme="minorHAnsi"/>
                <w:color w:val="000000" w:themeColor="text1"/>
                <w:sz w:val="18"/>
                <w:szCs w:val="18"/>
              </w:rPr>
              <w:t>HR Management – Change process/Complaints/Grievance (dealing with litigation)</w:t>
            </w:r>
          </w:p>
        </w:tc>
        <w:tc>
          <w:tcPr>
            <w:tcW w:w="621" w:type="pct"/>
            <w:shd w:val="clear" w:color="auto" w:fill="F2F2F2"/>
          </w:tcPr>
          <w:p w14:paraId="2C43F702" w14:textId="77777777" w:rsidR="00E25529" w:rsidRPr="00E25529" w:rsidRDefault="00E25529" w:rsidP="002B11F5">
            <w:pPr>
              <w:spacing w:before="40" w:after="40"/>
              <w:jc w:val="center"/>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4667D859"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18E3B942"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7346D42B" w14:textId="77777777" w:rsidR="00E25529" w:rsidRPr="00E25529" w:rsidRDefault="00E25529" w:rsidP="00E25529">
            <w:pPr>
              <w:spacing w:before="60" w:after="6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 xml:space="preserve">The cost of staffing issues is significant and an audit to review how this is managed regarding efficiency and effectiveness would be of value. </w:t>
            </w:r>
          </w:p>
          <w:p w14:paraId="7F46627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4A3D52C4" w14:textId="77777777" w:rsidR="00E25529" w:rsidRPr="00E25529" w:rsidRDefault="00E25529" w:rsidP="00E25529">
            <w:pPr>
              <w:spacing w:before="60" w:after="6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review will include the following areas:</w:t>
            </w:r>
          </w:p>
          <w:p w14:paraId="2D9CFEB3" w14:textId="77777777" w:rsidR="00E25529" w:rsidRPr="00E25529" w:rsidRDefault="00E25529" w:rsidP="00E25529">
            <w:pPr>
              <w:pStyle w:val="ListParagraph"/>
              <w:numPr>
                <w:ilvl w:val="0"/>
                <w:numId w:val="21"/>
              </w:numPr>
              <w:spacing w:before="60" w:after="6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Examination of the policy and procedures</w:t>
            </w:r>
          </w:p>
          <w:p w14:paraId="7AE3D62A" w14:textId="77777777" w:rsidR="00E25529" w:rsidRPr="00E25529" w:rsidRDefault="00E25529" w:rsidP="00E25529">
            <w:pPr>
              <w:pStyle w:val="ListParagraph"/>
              <w:numPr>
                <w:ilvl w:val="0"/>
                <w:numId w:val="21"/>
              </w:numPr>
              <w:spacing w:before="60" w:after="6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The roles and responsibilities of those involved</w:t>
            </w:r>
          </w:p>
          <w:p w14:paraId="119C11DB" w14:textId="77777777" w:rsidR="00E25529" w:rsidRPr="00E25529" w:rsidRDefault="00E25529" w:rsidP="00E25529">
            <w:pPr>
              <w:pStyle w:val="ListParagraph"/>
              <w:numPr>
                <w:ilvl w:val="0"/>
                <w:numId w:val="21"/>
              </w:numPr>
              <w:spacing w:before="60" w:after="6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Timeliness, Monitoring and Reporting</w:t>
            </w:r>
          </w:p>
          <w:p w14:paraId="2B65B722" w14:textId="77777777" w:rsidR="00E25529" w:rsidRPr="00E25529" w:rsidRDefault="00E25529" w:rsidP="00E25529">
            <w:pPr>
              <w:pStyle w:val="ListParagraph"/>
              <w:numPr>
                <w:ilvl w:val="0"/>
                <w:numId w:val="21"/>
              </w:numPr>
              <w:spacing w:before="60" w:after="6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 xml:space="preserve">The cost verse outcome </w:t>
            </w:r>
          </w:p>
          <w:p w14:paraId="782F4C25"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49891B81" w14:textId="77777777" w:rsidR="00E25529" w:rsidRPr="00E25529" w:rsidRDefault="00E25529" w:rsidP="00E25529">
            <w:pPr>
              <w:spacing w:before="40" w:after="40"/>
              <w:jc w:val="both"/>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CFOs/Head of HR/Head of Standards and Ethics/ Head of Legal Services/ OPCC Assistant Chief Executive</w:t>
            </w:r>
          </w:p>
        </w:tc>
      </w:tr>
      <w:tr w:rsidR="00E25529" w:rsidRPr="00E25529" w14:paraId="3D228064" w14:textId="77777777" w:rsidTr="00E25529">
        <w:trPr>
          <w:cantSplit/>
          <w:jc w:val="center"/>
        </w:trPr>
        <w:tc>
          <w:tcPr>
            <w:tcW w:w="362" w:type="pct"/>
            <w:shd w:val="clear" w:color="auto" w:fill="F2F2F2"/>
          </w:tcPr>
          <w:p w14:paraId="2DCE92DE"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4</w:t>
            </w:r>
          </w:p>
        </w:tc>
        <w:tc>
          <w:tcPr>
            <w:tcW w:w="1245" w:type="pct"/>
            <w:shd w:val="clear" w:color="auto" w:fill="F2F2F2"/>
          </w:tcPr>
          <w:p w14:paraId="68E515D4" w14:textId="77777777" w:rsidR="00E25529" w:rsidRPr="00E25529" w:rsidRDefault="00E25529" w:rsidP="002B11F5">
            <w:pPr>
              <w:spacing w:before="40" w:after="40"/>
              <w:rPr>
                <w:rFonts w:asciiTheme="minorHAnsi" w:hAnsiTheme="minorHAnsi" w:cstheme="minorHAnsi"/>
                <w:sz w:val="18"/>
                <w:szCs w:val="18"/>
              </w:rPr>
            </w:pPr>
            <w:r w:rsidRPr="00E25529">
              <w:rPr>
                <w:rFonts w:asciiTheme="minorHAnsi" w:eastAsiaTheme="minorHAnsi" w:hAnsiTheme="minorHAnsi" w:cstheme="minorHAnsi"/>
                <w:color w:val="000000"/>
                <w:sz w:val="18"/>
                <w:szCs w:val="18"/>
                <w:lang w:eastAsia="en-US"/>
              </w:rPr>
              <w:t>Strategic Control and Corporate Governance</w:t>
            </w:r>
          </w:p>
        </w:tc>
        <w:tc>
          <w:tcPr>
            <w:tcW w:w="621" w:type="pct"/>
            <w:shd w:val="clear" w:color="auto" w:fill="F2F2F2"/>
          </w:tcPr>
          <w:p w14:paraId="37835549" w14:textId="77777777" w:rsidR="00E25529" w:rsidRPr="00E25529" w:rsidRDefault="00E25529" w:rsidP="002B11F5">
            <w:pPr>
              <w:spacing w:before="40" w:after="40"/>
              <w:jc w:val="center"/>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Advisory</w:t>
            </w:r>
          </w:p>
        </w:tc>
        <w:tc>
          <w:tcPr>
            <w:tcW w:w="407" w:type="pct"/>
            <w:shd w:val="clear" w:color="auto" w:fill="F2F2F2"/>
          </w:tcPr>
          <w:p w14:paraId="446BA13E"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8</w:t>
            </w:r>
          </w:p>
        </w:tc>
        <w:tc>
          <w:tcPr>
            <w:tcW w:w="2365" w:type="pct"/>
            <w:shd w:val="clear" w:color="auto" w:fill="F2F2F2"/>
          </w:tcPr>
          <w:p w14:paraId="7015AB8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0A632CDF"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With the Police and Crime Commissioner elections in May 2020 a new Police and Crime Plan will be produced, setting out the objectives for the Police and Crime Office and Police.</w:t>
            </w:r>
          </w:p>
          <w:p w14:paraId="19BD292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08E165B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audit will review the objectives for meeting the Police and Crime Plan.</w:t>
            </w:r>
          </w:p>
          <w:p w14:paraId="4A08B497"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4B04CFC9" w14:textId="77777777" w:rsidR="00E25529" w:rsidRPr="00E25529" w:rsidRDefault="00E25529" w:rsidP="00E25529">
            <w:pPr>
              <w:spacing w:before="40" w:after="40"/>
              <w:jc w:val="both"/>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OPCC / CFO’s / OPCC Assistant Chief Executive / Head of Corporate Governance</w:t>
            </w:r>
          </w:p>
        </w:tc>
      </w:tr>
      <w:tr w:rsidR="00E25529" w:rsidRPr="00E25529" w14:paraId="2DAD0D61" w14:textId="77777777" w:rsidTr="00E25529">
        <w:trPr>
          <w:cantSplit/>
          <w:jc w:val="center"/>
        </w:trPr>
        <w:tc>
          <w:tcPr>
            <w:tcW w:w="362" w:type="pct"/>
            <w:shd w:val="clear" w:color="auto" w:fill="F2F2F2"/>
          </w:tcPr>
          <w:p w14:paraId="6FA44CB9"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4</w:t>
            </w:r>
          </w:p>
        </w:tc>
        <w:tc>
          <w:tcPr>
            <w:tcW w:w="1245" w:type="pct"/>
            <w:shd w:val="clear" w:color="auto" w:fill="F2F2F2"/>
          </w:tcPr>
          <w:p w14:paraId="0D205197" w14:textId="77777777" w:rsidR="00E25529" w:rsidRPr="00E25529" w:rsidRDefault="00E25529" w:rsidP="002B11F5">
            <w:pPr>
              <w:spacing w:before="40" w:after="40"/>
              <w:rPr>
                <w:rFonts w:asciiTheme="minorHAnsi" w:hAnsiTheme="minorHAnsi" w:cstheme="minorHAnsi"/>
                <w:sz w:val="18"/>
                <w:szCs w:val="18"/>
              </w:rPr>
            </w:pPr>
            <w:r w:rsidRPr="00E25529">
              <w:rPr>
                <w:rFonts w:asciiTheme="minorHAnsi" w:hAnsiTheme="minorHAnsi" w:cstheme="minorHAnsi"/>
                <w:color w:val="000000" w:themeColor="text1"/>
                <w:sz w:val="18"/>
                <w:szCs w:val="18"/>
              </w:rPr>
              <w:t>Risk Management – Projects/Property</w:t>
            </w:r>
          </w:p>
        </w:tc>
        <w:tc>
          <w:tcPr>
            <w:tcW w:w="621" w:type="pct"/>
            <w:shd w:val="clear" w:color="auto" w:fill="F2F2F2"/>
          </w:tcPr>
          <w:p w14:paraId="2BE6D56A" w14:textId="77777777" w:rsidR="00E25529" w:rsidRPr="00E25529" w:rsidRDefault="00E25529" w:rsidP="002B11F5">
            <w:pPr>
              <w:spacing w:before="40" w:after="40"/>
              <w:jc w:val="center"/>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519608E4"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03DFF450"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41AC609A"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Risk Management is a fundamental part of corporate governance and appropriate processes/systems need to be in place that manage risk</w:t>
            </w:r>
          </w:p>
          <w:p w14:paraId="0D02CEFD"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Scope</w:t>
            </w:r>
          </w:p>
          <w:p w14:paraId="3FCB679F"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lang w:eastAsia="en-US"/>
              </w:rPr>
            </w:pPr>
            <w:r w:rsidRPr="00E25529">
              <w:rPr>
                <w:rFonts w:asciiTheme="minorHAnsi" w:eastAsiaTheme="minorHAnsi" w:hAnsiTheme="minorHAnsi" w:cstheme="minorHAnsi"/>
                <w:sz w:val="18"/>
                <w:szCs w:val="18"/>
                <w:lang w:eastAsia="en-US"/>
              </w:rPr>
              <w:t>The audit will review and focus upon the following key areas:</w:t>
            </w:r>
          </w:p>
          <w:p w14:paraId="795322F0" w14:textId="77777777" w:rsidR="00E25529" w:rsidRPr="00E25529" w:rsidRDefault="00E25529" w:rsidP="00E25529">
            <w:pPr>
              <w:pStyle w:val="ListParagraph"/>
              <w:numPr>
                <w:ilvl w:val="0"/>
                <w:numId w:val="13"/>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the project assurance process built into the project</w:t>
            </w:r>
          </w:p>
          <w:p w14:paraId="05704BC6" w14:textId="77777777" w:rsidR="00E25529" w:rsidRPr="00E25529" w:rsidRDefault="00E25529" w:rsidP="00E25529">
            <w:pPr>
              <w:pStyle w:val="ListParagraph"/>
              <w:numPr>
                <w:ilvl w:val="0"/>
                <w:numId w:val="13"/>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risk and issues that have been identified and how these have been resolved/managed</w:t>
            </w:r>
          </w:p>
          <w:p w14:paraId="4017A4B3" w14:textId="77777777" w:rsidR="00E25529" w:rsidRPr="00E25529" w:rsidRDefault="00E25529" w:rsidP="00E25529">
            <w:pPr>
              <w:pStyle w:val="ListParagraph"/>
              <w:numPr>
                <w:ilvl w:val="0"/>
                <w:numId w:val="13"/>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change management</w:t>
            </w:r>
          </w:p>
          <w:p w14:paraId="66164296" w14:textId="77777777" w:rsidR="00E25529" w:rsidRPr="00E25529" w:rsidRDefault="00E25529" w:rsidP="00E25529">
            <w:pPr>
              <w:pStyle w:val="ListParagraph"/>
              <w:numPr>
                <w:ilvl w:val="0"/>
                <w:numId w:val="13"/>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reporting and governance</w:t>
            </w:r>
          </w:p>
          <w:p w14:paraId="7F057358" w14:textId="77777777" w:rsidR="00E25529" w:rsidRPr="00E25529" w:rsidRDefault="00E25529" w:rsidP="00E25529">
            <w:pPr>
              <w:pStyle w:val="ListParagraph"/>
              <w:numPr>
                <w:ilvl w:val="0"/>
                <w:numId w:val="13"/>
              </w:numPr>
              <w:spacing w:before="40" w:after="40" w:line="259" w:lineRule="auto"/>
              <w:rPr>
                <w:rFonts w:asciiTheme="minorHAnsi" w:eastAsiaTheme="minorHAnsi" w:hAnsiTheme="minorHAnsi" w:cstheme="minorHAnsi"/>
                <w:sz w:val="18"/>
                <w:szCs w:val="18"/>
              </w:rPr>
            </w:pPr>
            <w:r w:rsidRPr="00E25529">
              <w:rPr>
                <w:rFonts w:asciiTheme="minorHAnsi" w:eastAsiaTheme="minorHAnsi" w:hAnsiTheme="minorHAnsi" w:cstheme="minorHAnsi"/>
                <w:sz w:val="18"/>
                <w:szCs w:val="18"/>
              </w:rPr>
              <w:t xml:space="preserve">benefits realisation </w:t>
            </w:r>
          </w:p>
          <w:p w14:paraId="0F26E4AB"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621F2499" w14:textId="77777777" w:rsidR="00E25529" w:rsidRPr="00E25529" w:rsidRDefault="00E25529" w:rsidP="00E25529">
            <w:pPr>
              <w:spacing w:before="40" w:after="40"/>
              <w:jc w:val="both"/>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OPCC / CFO’s and Risk Manager/Head of Corporate Services/OPCC Assistant Chief Executive</w:t>
            </w:r>
          </w:p>
        </w:tc>
      </w:tr>
      <w:tr w:rsidR="00E25529" w:rsidRPr="00E25529" w14:paraId="4F49BB1B" w14:textId="77777777" w:rsidTr="00E25529">
        <w:trPr>
          <w:cantSplit/>
          <w:jc w:val="center"/>
        </w:trPr>
        <w:tc>
          <w:tcPr>
            <w:tcW w:w="362" w:type="pct"/>
            <w:shd w:val="clear" w:color="auto" w:fill="F2F2F2"/>
          </w:tcPr>
          <w:p w14:paraId="62E7017A"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lastRenderedPageBreak/>
              <w:t>4</w:t>
            </w:r>
          </w:p>
        </w:tc>
        <w:tc>
          <w:tcPr>
            <w:tcW w:w="1245" w:type="pct"/>
            <w:shd w:val="clear" w:color="auto" w:fill="F2F2F2"/>
          </w:tcPr>
          <w:p w14:paraId="53308AD9" w14:textId="77777777" w:rsidR="00E25529" w:rsidRPr="00E25529" w:rsidRDefault="00E25529" w:rsidP="002B11F5">
            <w:pPr>
              <w:spacing w:before="40" w:after="40"/>
              <w:rPr>
                <w:rFonts w:asciiTheme="minorHAnsi" w:hAnsiTheme="minorHAnsi" w:cstheme="minorHAnsi"/>
                <w:sz w:val="18"/>
                <w:szCs w:val="18"/>
              </w:rPr>
            </w:pPr>
            <w:r w:rsidRPr="00E25529">
              <w:rPr>
                <w:rFonts w:asciiTheme="minorHAnsi" w:hAnsiTheme="minorHAnsi" w:cstheme="minorHAnsi"/>
                <w:color w:val="000000" w:themeColor="text1"/>
                <w:sz w:val="18"/>
                <w:szCs w:val="18"/>
              </w:rPr>
              <w:t>Key Financial Controls</w:t>
            </w:r>
          </w:p>
        </w:tc>
        <w:tc>
          <w:tcPr>
            <w:tcW w:w="621" w:type="pct"/>
            <w:shd w:val="clear" w:color="auto" w:fill="F2F2F2"/>
          </w:tcPr>
          <w:p w14:paraId="084B8565" w14:textId="77777777" w:rsidR="00E25529" w:rsidRPr="00E25529" w:rsidRDefault="00E25529" w:rsidP="002B11F5">
            <w:pPr>
              <w:spacing w:before="40" w:after="40"/>
              <w:jc w:val="center"/>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Assurance</w:t>
            </w:r>
          </w:p>
        </w:tc>
        <w:tc>
          <w:tcPr>
            <w:tcW w:w="407" w:type="pct"/>
            <w:shd w:val="clear" w:color="auto" w:fill="F2F2F2"/>
          </w:tcPr>
          <w:p w14:paraId="54493002"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16C39F09"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Rationale</w:t>
            </w:r>
          </w:p>
          <w:p w14:paraId="69B8DBBB" w14:textId="77777777" w:rsidR="00E25529" w:rsidRPr="00E25529" w:rsidRDefault="00E25529" w:rsidP="00E25529">
            <w:pPr>
              <w:spacing w:before="60" w:after="60" w:line="271" w:lineRule="auto"/>
              <w:jc w:val="both"/>
              <w:rPr>
                <w:rFonts w:asciiTheme="minorHAnsi" w:hAnsiTheme="minorHAnsi" w:cstheme="minorHAnsi"/>
                <w:sz w:val="18"/>
                <w:szCs w:val="18"/>
              </w:rPr>
            </w:pPr>
            <w:r w:rsidRPr="00E25529">
              <w:rPr>
                <w:rFonts w:asciiTheme="minorHAnsi" w:hAnsiTheme="minorHAnsi" w:cstheme="minorHAnsi"/>
                <w:sz w:val="18"/>
                <w:szCs w:val="18"/>
              </w:rPr>
              <w:t>This is a key audit risk area. The full audits for the financial systems will be undertaken on a systematic basis, however, to provide assurance that the key financial systems are adequately controlled an annual audit will be undertaken selecting a number of key financial systems.</w:t>
            </w:r>
          </w:p>
          <w:p w14:paraId="73D28F5D" w14:textId="77777777" w:rsidR="00E25529" w:rsidRPr="00E25529" w:rsidRDefault="00E25529" w:rsidP="00E25529">
            <w:pPr>
              <w:spacing w:before="60" w:after="60" w:line="271" w:lineRule="auto"/>
              <w:jc w:val="both"/>
              <w:rPr>
                <w:rFonts w:asciiTheme="minorHAnsi" w:hAnsiTheme="minorHAnsi" w:cstheme="minorHAnsi"/>
                <w:sz w:val="18"/>
                <w:szCs w:val="18"/>
                <w:u w:val="single"/>
              </w:rPr>
            </w:pPr>
            <w:r w:rsidRPr="00E25529">
              <w:rPr>
                <w:rFonts w:asciiTheme="minorHAnsi" w:hAnsiTheme="minorHAnsi" w:cstheme="minorHAnsi"/>
                <w:sz w:val="18"/>
                <w:szCs w:val="18"/>
                <w:u w:val="single"/>
              </w:rPr>
              <w:t>Scope</w:t>
            </w:r>
          </w:p>
          <w:p w14:paraId="6FD2DB58" w14:textId="77777777" w:rsidR="00E25529" w:rsidRPr="00E25529" w:rsidRDefault="00E25529" w:rsidP="00E25529">
            <w:pPr>
              <w:spacing w:before="60" w:after="60" w:line="271" w:lineRule="auto"/>
              <w:jc w:val="both"/>
              <w:rPr>
                <w:rFonts w:asciiTheme="minorHAnsi" w:hAnsiTheme="minorHAnsi" w:cstheme="minorHAnsi"/>
                <w:b/>
                <w:sz w:val="18"/>
                <w:szCs w:val="18"/>
                <w:lang w:eastAsia="en-GB"/>
              </w:rPr>
            </w:pPr>
            <w:r w:rsidRPr="00E25529">
              <w:rPr>
                <w:rFonts w:asciiTheme="minorHAnsi" w:hAnsiTheme="minorHAnsi" w:cstheme="minorHAnsi"/>
                <w:sz w:val="18"/>
                <w:szCs w:val="18"/>
              </w:rPr>
              <w:t>To assess the adequacy and effectiveness of the internal controls in place at the Constabulary for managing the following key financial systems.</w:t>
            </w:r>
          </w:p>
          <w:p w14:paraId="0735A2DA" w14:textId="77777777" w:rsidR="00E25529" w:rsidRPr="00E25529" w:rsidRDefault="00E25529" w:rsidP="00E25529">
            <w:pPr>
              <w:numPr>
                <w:ilvl w:val="0"/>
                <w:numId w:val="16"/>
              </w:numPr>
              <w:spacing w:before="60" w:after="60" w:line="271" w:lineRule="auto"/>
              <w:jc w:val="both"/>
              <w:rPr>
                <w:rFonts w:asciiTheme="minorHAnsi" w:hAnsiTheme="minorHAnsi" w:cstheme="minorHAnsi"/>
                <w:sz w:val="18"/>
                <w:szCs w:val="18"/>
                <w:lang w:eastAsia="en-GB"/>
              </w:rPr>
            </w:pPr>
            <w:r w:rsidRPr="00E25529">
              <w:rPr>
                <w:rFonts w:asciiTheme="minorHAnsi" w:hAnsiTheme="minorHAnsi" w:cstheme="minorHAnsi"/>
                <w:sz w:val="18"/>
                <w:szCs w:val="18"/>
                <w:lang w:eastAsia="en-GB"/>
              </w:rPr>
              <w:t>Accounts Receivable</w:t>
            </w:r>
          </w:p>
          <w:p w14:paraId="2FB53D9E" w14:textId="77777777" w:rsidR="00E25529" w:rsidRPr="00E25529" w:rsidRDefault="00E25529" w:rsidP="00E25529">
            <w:pPr>
              <w:numPr>
                <w:ilvl w:val="0"/>
                <w:numId w:val="16"/>
              </w:numPr>
              <w:spacing w:before="60" w:after="60" w:line="271" w:lineRule="auto"/>
              <w:jc w:val="both"/>
              <w:rPr>
                <w:rFonts w:asciiTheme="minorHAnsi" w:hAnsiTheme="minorHAnsi" w:cstheme="minorHAnsi"/>
                <w:sz w:val="18"/>
                <w:szCs w:val="18"/>
                <w:lang w:eastAsia="en-GB"/>
              </w:rPr>
            </w:pPr>
            <w:r w:rsidRPr="00E25529">
              <w:rPr>
                <w:rFonts w:asciiTheme="minorHAnsi" w:hAnsiTheme="minorHAnsi" w:cstheme="minorHAnsi"/>
                <w:sz w:val="18"/>
                <w:szCs w:val="18"/>
                <w:lang w:eastAsia="en-GB"/>
              </w:rPr>
              <w:t>Accounts Payable</w:t>
            </w:r>
          </w:p>
          <w:p w14:paraId="5709A79F" w14:textId="77777777" w:rsidR="00E25529" w:rsidRPr="00E25529" w:rsidRDefault="00E25529" w:rsidP="00E25529">
            <w:pPr>
              <w:numPr>
                <w:ilvl w:val="0"/>
                <w:numId w:val="16"/>
              </w:numPr>
              <w:spacing w:before="60" w:after="60" w:line="271" w:lineRule="auto"/>
              <w:jc w:val="both"/>
              <w:rPr>
                <w:rFonts w:asciiTheme="minorHAnsi" w:hAnsiTheme="minorHAnsi" w:cstheme="minorHAnsi"/>
                <w:sz w:val="18"/>
                <w:szCs w:val="18"/>
                <w:lang w:eastAsia="en-GB"/>
              </w:rPr>
            </w:pPr>
            <w:r w:rsidRPr="00E25529">
              <w:rPr>
                <w:rFonts w:asciiTheme="minorHAnsi" w:hAnsiTheme="minorHAnsi" w:cstheme="minorHAnsi"/>
                <w:sz w:val="18"/>
                <w:szCs w:val="18"/>
                <w:lang w:eastAsia="en-GB"/>
              </w:rPr>
              <w:t>General Ledger</w:t>
            </w:r>
          </w:p>
          <w:p w14:paraId="287054B5" w14:textId="77777777" w:rsidR="00E25529" w:rsidRPr="00E25529" w:rsidRDefault="00E25529" w:rsidP="00E25529">
            <w:pPr>
              <w:numPr>
                <w:ilvl w:val="0"/>
                <w:numId w:val="16"/>
              </w:numPr>
              <w:spacing w:before="60" w:after="60" w:line="271" w:lineRule="auto"/>
              <w:jc w:val="both"/>
              <w:rPr>
                <w:rFonts w:asciiTheme="minorHAnsi" w:hAnsiTheme="minorHAnsi" w:cstheme="minorHAnsi"/>
                <w:sz w:val="18"/>
                <w:szCs w:val="18"/>
                <w:lang w:eastAsia="en-GB"/>
              </w:rPr>
            </w:pPr>
            <w:r w:rsidRPr="00E25529">
              <w:rPr>
                <w:rFonts w:asciiTheme="minorHAnsi" w:hAnsiTheme="minorHAnsi" w:cstheme="minorHAnsi"/>
                <w:sz w:val="18"/>
                <w:szCs w:val="18"/>
                <w:lang w:eastAsia="en-GB"/>
              </w:rPr>
              <w:t>Treasury Management</w:t>
            </w:r>
          </w:p>
          <w:p w14:paraId="786E6457" w14:textId="77777777" w:rsidR="00E25529" w:rsidRPr="00E25529" w:rsidRDefault="00E25529" w:rsidP="00E25529">
            <w:pPr>
              <w:spacing w:before="40" w:after="40" w:line="259" w:lineRule="auto"/>
              <w:jc w:val="both"/>
              <w:rPr>
                <w:rFonts w:asciiTheme="minorHAnsi" w:eastAsiaTheme="minorHAnsi" w:hAnsiTheme="minorHAnsi" w:cstheme="minorHAnsi"/>
                <w:sz w:val="18"/>
                <w:szCs w:val="18"/>
                <w:u w:val="single"/>
                <w:lang w:eastAsia="en-US"/>
              </w:rPr>
            </w:pPr>
            <w:r w:rsidRPr="00E25529">
              <w:rPr>
                <w:rFonts w:asciiTheme="minorHAnsi" w:eastAsiaTheme="minorHAnsi" w:hAnsiTheme="minorHAnsi" w:cstheme="minorHAnsi"/>
                <w:sz w:val="18"/>
                <w:szCs w:val="18"/>
                <w:u w:val="single"/>
                <w:lang w:eastAsia="en-US"/>
              </w:rPr>
              <w:t>Lead Officers</w:t>
            </w:r>
          </w:p>
          <w:p w14:paraId="3E0C4D79" w14:textId="77777777" w:rsidR="00E25529" w:rsidRPr="00E25529" w:rsidRDefault="00E25529" w:rsidP="00E25529">
            <w:pPr>
              <w:spacing w:before="40" w:after="40"/>
              <w:jc w:val="both"/>
              <w:rPr>
                <w:rFonts w:asciiTheme="minorHAnsi" w:hAnsiTheme="minorHAnsi" w:cstheme="minorHAnsi"/>
                <w:sz w:val="18"/>
                <w:szCs w:val="18"/>
              </w:rPr>
            </w:pPr>
            <w:r w:rsidRPr="00E25529">
              <w:rPr>
                <w:rFonts w:asciiTheme="minorHAnsi" w:eastAsiaTheme="minorHAnsi" w:hAnsiTheme="minorHAnsi" w:cstheme="minorHAnsi"/>
                <w:sz w:val="18"/>
                <w:szCs w:val="18"/>
                <w:lang w:eastAsia="en-US"/>
              </w:rPr>
              <w:t>CFO</w:t>
            </w:r>
          </w:p>
        </w:tc>
      </w:tr>
      <w:tr w:rsidR="00E25529" w:rsidRPr="00E25529" w14:paraId="5B33B0C7" w14:textId="77777777" w:rsidTr="00E25529">
        <w:trPr>
          <w:jc w:val="center"/>
        </w:trPr>
        <w:tc>
          <w:tcPr>
            <w:tcW w:w="362" w:type="pct"/>
            <w:shd w:val="clear" w:color="auto" w:fill="F2F2F2"/>
          </w:tcPr>
          <w:p w14:paraId="5A9BE654"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1-4</w:t>
            </w:r>
          </w:p>
        </w:tc>
        <w:tc>
          <w:tcPr>
            <w:tcW w:w="1245" w:type="pct"/>
            <w:shd w:val="clear" w:color="auto" w:fill="F2F2F2"/>
          </w:tcPr>
          <w:p w14:paraId="29E01775" w14:textId="77777777" w:rsidR="00E25529" w:rsidRPr="00E25529" w:rsidRDefault="00E25529" w:rsidP="002B11F5">
            <w:pPr>
              <w:spacing w:before="40" w:after="40"/>
              <w:rPr>
                <w:rFonts w:asciiTheme="minorHAnsi" w:hAnsiTheme="minorHAnsi" w:cstheme="minorHAnsi"/>
                <w:sz w:val="18"/>
                <w:szCs w:val="18"/>
              </w:rPr>
            </w:pPr>
            <w:r w:rsidRPr="00E25529">
              <w:rPr>
                <w:rFonts w:asciiTheme="minorHAnsi" w:hAnsiTheme="minorHAnsi" w:cstheme="minorHAnsi"/>
                <w:sz w:val="18"/>
                <w:szCs w:val="18"/>
              </w:rPr>
              <w:t>Follow-up (twice a year)</w:t>
            </w:r>
          </w:p>
        </w:tc>
        <w:tc>
          <w:tcPr>
            <w:tcW w:w="621" w:type="pct"/>
            <w:shd w:val="clear" w:color="auto" w:fill="F2F2F2"/>
          </w:tcPr>
          <w:p w14:paraId="14F0AF69" w14:textId="77777777" w:rsidR="00E25529" w:rsidRPr="00E25529" w:rsidRDefault="00E25529" w:rsidP="002B11F5">
            <w:pPr>
              <w:spacing w:before="40" w:after="40"/>
              <w:jc w:val="center"/>
              <w:rPr>
                <w:rFonts w:asciiTheme="minorHAnsi" w:hAnsiTheme="minorHAnsi" w:cstheme="minorHAnsi"/>
                <w:sz w:val="18"/>
                <w:szCs w:val="18"/>
              </w:rPr>
            </w:pPr>
            <w:r w:rsidRPr="00E25529">
              <w:rPr>
                <w:rFonts w:asciiTheme="minorHAnsi" w:hAnsiTheme="minorHAnsi" w:cstheme="minorHAnsi"/>
                <w:sz w:val="18"/>
                <w:szCs w:val="18"/>
              </w:rPr>
              <w:t>Follow up</w:t>
            </w:r>
          </w:p>
        </w:tc>
        <w:tc>
          <w:tcPr>
            <w:tcW w:w="407" w:type="pct"/>
            <w:shd w:val="clear" w:color="auto" w:fill="F2F2F2"/>
            <w:vAlign w:val="center"/>
          </w:tcPr>
          <w:p w14:paraId="708602B1"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6</w:t>
            </w:r>
          </w:p>
        </w:tc>
        <w:tc>
          <w:tcPr>
            <w:tcW w:w="2365" w:type="pct"/>
            <w:shd w:val="clear" w:color="auto" w:fill="F2F2F2"/>
          </w:tcPr>
          <w:p w14:paraId="60223F4D" w14:textId="77777777" w:rsidR="00E25529" w:rsidRPr="00E25529" w:rsidRDefault="00E25529" w:rsidP="00E25529">
            <w:pPr>
              <w:spacing w:before="40" w:after="40"/>
              <w:jc w:val="both"/>
              <w:rPr>
                <w:rFonts w:asciiTheme="minorHAnsi" w:hAnsiTheme="minorHAnsi" w:cstheme="minorHAnsi"/>
                <w:sz w:val="18"/>
                <w:szCs w:val="18"/>
              </w:rPr>
            </w:pPr>
          </w:p>
        </w:tc>
      </w:tr>
      <w:tr w:rsidR="00E25529" w:rsidRPr="00E25529" w14:paraId="2F0F89DC" w14:textId="77777777" w:rsidTr="00E25529">
        <w:trPr>
          <w:jc w:val="center"/>
        </w:trPr>
        <w:tc>
          <w:tcPr>
            <w:tcW w:w="362" w:type="pct"/>
            <w:shd w:val="clear" w:color="auto" w:fill="F2F2F2"/>
          </w:tcPr>
          <w:p w14:paraId="6911ACC4" w14:textId="77777777" w:rsidR="00E25529" w:rsidRPr="00E25529" w:rsidRDefault="00E25529" w:rsidP="002B11F5">
            <w:pPr>
              <w:spacing w:before="40" w:after="40"/>
              <w:jc w:val="center"/>
              <w:rPr>
                <w:rFonts w:asciiTheme="minorHAnsi" w:hAnsiTheme="minorHAnsi" w:cstheme="minorHAnsi"/>
                <w:color w:val="000000" w:themeColor="text1"/>
                <w:sz w:val="18"/>
                <w:szCs w:val="18"/>
              </w:rPr>
            </w:pPr>
            <w:r w:rsidRPr="00E25529">
              <w:rPr>
                <w:rFonts w:asciiTheme="minorHAnsi" w:hAnsiTheme="minorHAnsi" w:cstheme="minorHAnsi"/>
                <w:color w:val="000000" w:themeColor="text1"/>
                <w:sz w:val="18"/>
                <w:szCs w:val="18"/>
              </w:rPr>
              <w:t>1-4</w:t>
            </w:r>
          </w:p>
        </w:tc>
        <w:tc>
          <w:tcPr>
            <w:tcW w:w="1245" w:type="pct"/>
            <w:shd w:val="clear" w:color="auto" w:fill="F2F2F2"/>
          </w:tcPr>
          <w:p w14:paraId="661DB950" w14:textId="77777777" w:rsidR="00E25529" w:rsidRPr="00E25529" w:rsidRDefault="00E25529" w:rsidP="002B11F5">
            <w:pPr>
              <w:spacing w:before="40" w:after="40"/>
              <w:rPr>
                <w:rFonts w:asciiTheme="minorHAnsi" w:hAnsiTheme="minorHAnsi" w:cstheme="minorHAnsi"/>
                <w:sz w:val="18"/>
                <w:szCs w:val="18"/>
              </w:rPr>
            </w:pPr>
            <w:r w:rsidRPr="00E25529">
              <w:rPr>
                <w:rFonts w:asciiTheme="minorHAnsi" w:hAnsiTheme="minorHAnsi" w:cstheme="minorHAnsi"/>
                <w:sz w:val="18"/>
                <w:szCs w:val="18"/>
              </w:rPr>
              <w:t>Management and Planning/Reporting</w:t>
            </w:r>
          </w:p>
        </w:tc>
        <w:tc>
          <w:tcPr>
            <w:tcW w:w="621" w:type="pct"/>
            <w:shd w:val="clear" w:color="auto" w:fill="F2F2F2"/>
          </w:tcPr>
          <w:p w14:paraId="1D5B114C" w14:textId="77777777" w:rsidR="00E25529" w:rsidRPr="00E25529" w:rsidRDefault="00E25529" w:rsidP="002B11F5">
            <w:pPr>
              <w:spacing w:before="40" w:after="40"/>
              <w:jc w:val="center"/>
              <w:rPr>
                <w:rFonts w:asciiTheme="minorHAnsi" w:hAnsiTheme="minorHAnsi" w:cstheme="minorHAnsi"/>
                <w:sz w:val="18"/>
                <w:szCs w:val="18"/>
              </w:rPr>
            </w:pPr>
            <w:r w:rsidRPr="00E25529">
              <w:rPr>
                <w:rFonts w:asciiTheme="minorHAnsi" w:hAnsiTheme="minorHAnsi" w:cstheme="minorHAnsi"/>
                <w:sz w:val="18"/>
                <w:szCs w:val="18"/>
              </w:rPr>
              <w:t>Management</w:t>
            </w:r>
          </w:p>
        </w:tc>
        <w:tc>
          <w:tcPr>
            <w:tcW w:w="407" w:type="pct"/>
            <w:shd w:val="clear" w:color="auto" w:fill="F2F2F2"/>
            <w:vAlign w:val="center"/>
          </w:tcPr>
          <w:p w14:paraId="49B36547" w14:textId="77777777" w:rsidR="00E25529" w:rsidRPr="00E25529" w:rsidRDefault="00E25529" w:rsidP="002B11F5">
            <w:pPr>
              <w:spacing w:before="40" w:after="40"/>
              <w:jc w:val="center"/>
              <w:rPr>
                <w:rFonts w:asciiTheme="minorHAnsi" w:eastAsia="Arial Unicode MS" w:hAnsiTheme="minorHAnsi" w:cstheme="minorHAnsi"/>
                <w:sz w:val="18"/>
                <w:szCs w:val="18"/>
              </w:rPr>
            </w:pPr>
            <w:r w:rsidRPr="00E25529">
              <w:rPr>
                <w:rFonts w:asciiTheme="minorHAnsi" w:eastAsia="Arial Unicode MS" w:hAnsiTheme="minorHAnsi" w:cstheme="minorHAnsi"/>
                <w:sz w:val="18"/>
                <w:szCs w:val="18"/>
              </w:rPr>
              <w:t>10</w:t>
            </w:r>
          </w:p>
        </w:tc>
        <w:tc>
          <w:tcPr>
            <w:tcW w:w="2365" w:type="pct"/>
            <w:shd w:val="clear" w:color="auto" w:fill="F2F2F2"/>
          </w:tcPr>
          <w:p w14:paraId="02413860" w14:textId="77777777" w:rsidR="00E25529" w:rsidRPr="00E25529" w:rsidRDefault="00E25529" w:rsidP="00E25529">
            <w:pPr>
              <w:spacing w:before="40" w:after="40"/>
              <w:jc w:val="both"/>
              <w:rPr>
                <w:rFonts w:asciiTheme="minorHAnsi" w:hAnsiTheme="minorHAnsi" w:cstheme="minorHAnsi"/>
                <w:sz w:val="18"/>
                <w:szCs w:val="18"/>
              </w:rPr>
            </w:pPr>
          </w:p>
        </w:tc>
      </w:tr>
      <w:tr w:rsidR="00E25529" w:rsidRPr="00E25529" w14:paraId="4C1CBD53" w14:textId="77777777" w:rsidTr="00E25529">
        <w:trPr>
          <w:jc w:val="center"/>
        </w:trPr>
        <w:tc>
          <w:tcPr>
            <w:tcW w:w="362" w:type="pct"/>
            <w:shd w:val="clear" w:color="auto" w:fill="auto"/>
          </w:tcPr>
          <w:p w14:paraId="02288622" w14:textId="77777777" w:rsidR="00E25529" w:rsidRPr="00E25529" w:rsidRDefault="00E25529" w:rsidP="002B11F5">
            <w:pPr>
              <w:spacing w:before="40" w:after="40"/>
              <w:ind w:right="113"/>
              <w:rPr>
                <w:rFonts w:asciiTheme="minorHAnsi" w:hAnsiTheme="minorHAnsi" w:cstheme="minorHAnsi"/>
                <w:b/>
                <w:sz w:val="18"/>
                <w:szCs w:val="18"/>
              </w:rPr>
            </w:pPr>
          </w:p>
        </w:tc>
        <w:tc>
          <w:tcPr>
            <w:tcW w:w="1245" w:type="pct"/>
            <w:shd w:val="clear" w:color="auto" w:fill="auto"/>
          </w:tcPr>
          <w:p w14:paraId="67AE6538" w14:textId="77777777" w:rsidR="00E25529" w:rsidRPr="00E25529" w:rsidRDefault="00E25529" w:rsidP="002B11F5">
            <w:pPr>
              <w:spacing w:before="40" w:after="40"/>
              <w:ind w:right="113"/>
              <w:rPr>
                <w:rFonts w:asciiTheme="minorHAnsi" w:hAnsiTheme="minorHAnsi" w:cstheme="minorHAnsi"/>
                <w:b/>
                <w:sz w:val="18"/>
                <w:szCs w:val="18"/>
              </w:rPr>
            </w:pPr>
          </w:p>
        </w:tc>
        <w:tc>
          <w:tcPr>
            <w:tcW w:w="621" w:type="pct"/>
            <w:shd w:val="clear" w:color="auto" w:fill="F2F2F2"/>
          </w:tcPr>
          <w:p w14:paraId="286E0F42" w14:textId="77777777" w:rsidR="00E25529" w:rsidRPr="00E25529" w:rsidRDefault="00E25529" w:rsidP="002B11F5">
            <w:pPr>
              <w:spacing w:before="40" w:after="40"/>
              <w:jc w:val="center"/>
              <w:rPr>
                <w:rFonts w:asciiTheme="minorHAnsi" w:hAnsiTheme="minorHAnsi" w:cstheme="minorHAnsi"/>
                <w:b/>
                <w:sz w:val="18"/>
                <w:szCs w:val="18"/>
              </w:rPr>
            </w:pPr>
            <w:r w:rsidRPr="00E25529">
              <w:rPr>
                <w:rFonts w:asciiTheme="minorHAnsi" w:hAnsiTheme="minorHAnsi" w:cstheme="minorHAnsi"/>
                <w:b/>
                <w:sz w:val="18"/>
                <w:szCs w:val="18"/>
              </w:rPr>
              <w:t>Total days</w:t>
            </w:r>
          </w:p>
        </w:tc>
        <w:tc>
          <w:tcPr>
            <w:tcW w:w="407" w:type="pct"/>
            <w:shd w:val="clear" w:color="auto" w:fill="F2F2F2"/>
            <w:vAlign w:val="center"/>
          </w:tcPr>
          <w:p w14:paraId="214C0F66" w14:textId="77777777" w:rsidR="00E25529" w:rsidRPr="00E25529" w:rsidRDefault="00E25529" w:rsidP="002B11F5">
            <w:pPr>
              <w:spacing w:before="40" w:after="40"/>
              <w:jc w:val="center"/>
              <w:rPr>
                <w:rFonts w:asciiTheme="minorHAnsi" w:hAnsiTheme="minorHAnsi" w:cstheme="minorHAnsi"/>
                <w:b/>
                <w:sz w:val="18"/>
                <w:szCs w:val="18"/>
              </w:rPr>
            </w:pPr>
            <w:r w:rsidRPr="00E25529">
              <w:rPr>
                <w:rFonts w:asciiTheme="minorHAnsi" w:hAnsiTheme="minorHAnsi" w:cstheme="minorHAnsi"/>
                <w:b/>
                <w:sz w:val="18"/>
                <w:szCs w:val="18"/>
              </w:rPr>
              <w:t>110</w:t>
            </w:r>
          </w:p>
        </w:tc>
        <w:tc>
          <w:tcPr>
            <w:tcW w:w="2365" w:type="pct"/>
            <w:shd w:val="clear" w:color="auto" w:fill="auto"/>
          </w:tcPr>
          <w:p w14:paraId="7DF78D46" w14:textId="77777777" w:rsidR="00E25529" w:rsidRPr="00E25529" w:rsidRDefault="00E25529" w:rsidP="00E25529">
            <w:pPr>
              <w:spacing w:before="40" w:after="40"/>
              <w:ind w:right="113"/>
              <w:jc w:val="both"/>
              <w:rPr>
                <w:rFonts w:asciiTheme="minorHAnsi" w:hAnsiTheme="minorHAnsi" w:cstheme="minorHAnsi"/>
                <w:b/>
                <w:sz w:val="18"/>
                <w:szCs w:val="18"/>
                <w:highlight w:val="green"/>
              </w:rPr>
            </w:pPr>
          </w:p>
        </w:tc>
      </w:tr>
    </w:tbl>
    <w:p w14:paraId="0597E9A1" w14:textId="77777777" w:rsidR="002B11F5" w:rsidRPr="00923712" w:rsidRDefault="002B11F5" w:rsidP="002B11F5">
      <w:pPr>
        <w:spacing w:before="120" w:after="120" w:line="271" w:lineRule="auto"/>
        <w:rPr>
          <w:rFonts w:eastAsia="Calibri" w:cs="Arial"/>
          <w:b/>
          <w:color w:val="DC0D15"/>
          <w:szCs w:val="20"/>
          <w:lang w:eastAsia="en-GB"/>
        </w:rPr>
        <w:sectPr w:rsidR="002B11F5" w:rsidRPr="00923712" w:rsidSect="00E25529">
          <w:type w:val="continuous"/>
          <w:pgSz w:w="16839" w:h="11907" w:orient="landscape" w:code="9"/>
          <w:pgMar w:top="567" w:right="567" w:bottom="567" w:left="567" w:header="284" w:footer="284" w:gutter="0"/>
          <w:cols w:space="708"/>
          <w:docGrid w:linePitch="360"/>
        </w:sectPr>
      </w:pPr>
    </w:p>
    <w:p w14:paraId="212184CC" w14:textId="77777777" w:rsidR="000D0EA9" w:rsidRDefault="000D0EA9">
      <w:pPr>
        <w:rPr>
          <w:rFonts w:ascii="Calibri" w:eastAsia="Calibri" w:hAnsi="Calibri" w:cs="Calibri"/>
          <w:b/>
          <w:color w:val="163D82"/>
          <w:szCs w:val="20"/>
          <w:lang w:eastAsia="en-GB"/>
        </w:rPr>
        <w:sectPr w:rsidR="000D0EA9" w:rsidSect="000D0EA9">
          <w:type w:val="continuous"/>
          <w:pgSz w:w="16839" w:h="11907" w:orient="landscape" w:code="9"/>
          <w:pgMar w:top="562" w:right="864" w:bottom="562" w:left="864" w:header="288" w:footer="288" w:gutter="0"/>
          <w:cols w:space="284"/>
          <w:titlePg/>
          <w:docGrid w:linePitch="360"/>
        </w:sectPr>
      </w:pPr>
    </w:p>
    <w:p w14:paraId="7FC1C033" w14:textId="77777777" w:rsidR="000D0EA9" w:rsidRPr="00E25529" w:rsidRDefault="000D0EA9" w:rsidP="00C57B0A">
      <w:pPr>
        <w:spacing w:before="120" w:after="120" w:line="271" w:lineRule="auto"/>
        <w:rPr>
          <w:rFonts w:ascii="Calibri" w:eastAsia="Calibri" w:hAnsi="Calibri" w:cs="Calibri"/>
          <w:b/>
          <w:color w:val="163D82"/>
          <w:sz w:val="14"/>
          <w:szCs w:val="20"/>
          <w:lang w:eastAsia="en-GB"/>
        </w:rPr>
      </w:pPr>
    </w:p>
    <w:p w14:paraId="6A37F134" w14:textId="32F518B6" w:rsidR="00EF3B56" w:rsidRPr="00FE095C" w:rsidRDefault="00EF3B56" w:rsidP="00C57B0A">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Role</w:t>
      </w:r>
    </w:p>
    <w:p w14:paraId="7F2D57A4" w14:textId="28E3A9DA" w:rsidR="00EF3B56" w:rsidRPr="00350928" w:rsidRDefault="00EF3B56" w:rsidP="00EF3B56">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FE095C">
        <w:rPr>
          <w:rFonts w:ascii="Calibri" w:eastAsia="Calibri" w:hAnsi="Calibri" w:cs="Calibri"/>
          <w:sz w:val="19"/>
          <w:szCs w:val="19"/>
          <w:lang w:eastAsia="en-US"/>
        </w:rPr>
        <w:t>The main objective of the internal audit activity carried out by TIAA is to provide, in an economical, efficient and timely manner, a</w:t>
      </w:r>
      <w:r w:rsidRPr="003123E8">
        <w:rPr>
          <w:rFonts w:ascii="Calibri" w:eastAsia="Calibri" w:hAnsi="Calibri" w:cs="Calibri"/>
          <w:sz w:val="19"/>
          <w:szCs w:val="19"/>
          <w:lang w:eastAsia="en-US"/>
        </w:rPr>
        <w:t xml:space="preserve">n objective evaluation of, and opinion on, the overall </w:t>
      </w:r>
      <w:r w:rsidRPr="00350928">
        <w:rPr>
          <w:rFonts w:ascii="Calibri" w:eastAsia="Calibri" w:hAnsi="Calibri" w:cs="Calibri"/>
          <w:sz w:val="19"/>
          <w:szCs w:val="19"/>
          <w:lang w:eastAsia="en-US"/>
        </w:rPr>
        <w:t>adequacy an</w:t>
      </w:r>
      <w:r w:rsidRPr="00350928">
        <w:rPr>
          <w:rFonts w:asciiTheme="minorHAnsi" w:eastAsia="Calibri" w:hAnsiTheme="minorHAnsi" w:cs="Calibri"/>
          <w:sz w:val="19"/>
          <w:szCs w:val="19"/>
          <w:lang w:eastAsia="en-US"/>
        </w:rPr>
        <w:t xml:space="preserve">d effectiveness of the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Police’s</w:t>
      </w:r>
      <w:r w:rsidRPr="00350928">
        <w:rPr>
          <w:rFonts w:ascii="Calibri" w:eastAsiaTheme="minorHAnsi" w:hAnsi="Calibri" w:cs="Calibri"/>
          <w:sz w:val="19"/>
          <w:szCs w:val="19"/>
          <w:lang w:eastAsia="en-US"/>
        </w:rPr>
        <w:t xml:space="preserve"> </w:t>
      </w:r>
      <w:r w:rsidRPr="00350928">
        <w:rPr>
          <w:rFonts w:ascii="Calibri" w:eastAsia="Calibri" w:hAnsi="Calibri" w:cs="Calibri"/>
          <w:sz w:val="19"/>
          <w:szCs w:val="19"/>
          <w:lang w:eastAsia="en-US"/>
        </w:rPr>
        <w:t xml:space="preserve">framework of governance, risk management and control. </w:t>
      </w:r>
      <w:r w:rsidRPr="00350928">
        <w:rPr>
          <w:rFonts w:ascii="Calibri" w:eastAsiaTheme="minorHAnsi" w:hAnsi="Calibri" w:cs="Calibri"/>
          <w:sz w:val="19"/>
          <w:szCs w:val="19"/>
          <w:lang w:eastAsia="en-US"/>
        </w:rPr>
        <w:t xml:space="preserve">TIAA is responsible for giving assurance to </w:t>
      </w:r>
      <w:r w:rsidR="003123E8" w:rsidRPr="00350928">
        <w:rPr>
          <w:rFonts w:asciiTheme="minorHAnsi" w:eastAsia="Calibri" w:hAnsiTheme="minorHAnsi" w:cs="Calibri"/>
          <w:sz w:val="19"/>
          <w:szCs w:val="19"/>
          <w:lang w:eastAsia="en-US"/>
        </w:rPr>
        <w:t xml:space="preserve">the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Police’s</w:t>
      </w:r>
      <w:r w:rsidRPr="00350928">
        <w:rPr>
          <w:rFonts w:ascii="Calibri" w:eastAsiaTheme="minorHAnsi" w:hAnsi="Calibri" w:cs="Calibri"/>
          <w:sz w:val="19"/>
          <w:szCs w:val="19"/>
          <w:lang w:eastAsia="en-US"/>
        </w:rPr>
        <w:t xml:space="preserve"> “Governing Body” (being the body with overall responsibility for the organisation) on the adequacy and effectiveness of </w:t>
      </w:r>
      <w:r w:rsidR="003123E8" w:rsidRPr="00350928">
        <w:rPr>
          <w:rFonts w:asciiTheme="minorHAnsi" w:eastAsia="Calibri" w:hAnsiTheme="minorHAnsi" w:cs="Calibri"/>
          <w:sz w:val="19"/>
          <w:szCs w:val="19"/>
          <w:lang w:eastAsia="en-US"/>
        </w:rPr>
        <w:t xml:space="preserve">the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Police’s</w:t>
      </w:r>
      <w:r w:rsidRPr="00350928">
        <w:rPr>
          <w:rFonts w:ascii="Calibri" w:eastAsiaTheme="minorHAnsi" w:hAnsi="Calibri" w:cs="Calibri"/>
          <w:sz w:val="19"/>
          <w:szCs w:val="19"/>
          <w:lang w:eastAsia="en-US"/>
        </w:rPr>
        <w:t xml:space="preserve"> risk management, control and governance processes.</w:t>
      </w:r>
    </w:p>
    <w:p w14:paraId="0988232C" w14:textId="77777777" w:rsidR="00EF3B56" w:rsidRPr="00350928" w:rsidRDefault="00EF3B56" w:rsidP="00D904B1">
      <w:pPr>
        <w:spacing w:before="120" w:after="120" w:line="271" w:lineRule="auto"/>
        <w:rPr>
          <w:rFonts w:ascii="Calibri" w:eastAsia="Calibri" w:hAnsi="Calibri" w:cs="Calibri"/>
          <w:b/>
          <w:color w:val="163D82"/>
          <w:szCs w:val="20"/>
          <w:lang w:eastAsia="en-GB"/>
        </w:rPr>
      </w:pPr>
      <w:r w:rsidRPr="00350928">
        <w:rPr>
          <w:rFonts w:ascii="Calibri" w:eastAsia="Calibri" w:hAnsi="Calibri" w:cs="Calibri"/>
          <w:b/>
          <w:color w:val="163D82"/>
          <w:szCs w:val="20"/>
          <w:lang w:eastAsia="en-GB"/>
        </w:rPr>
        <w:t>Scope</w:t>
      </w:r>
    </w:p>
    <w:p w14:paraId="46B9F460" w14:textId="6DFFB58F" w:rsidR="00EF3B56" w:rsidRPr="00350928" w:rsidRDefault="00EF3B56" w:rsidP="00EF3B56">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350928">
        <w:rPr>
          <w:rFonts w:ascii="Calibri" w:eastAsiaTheme="minorHAnsi" w:hAnsi="Calibri" w:cs="Calibri"/>
          <w:sz w:val="19"/>
          <w:szCs w:val="19"/>
          <w:lang w:eastAsia="en-US"/>
        </w:rPr>
        <w:t xml:space="preserve">All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Police’s</w:t>
      </w:r>
      <w:r w:rsidRPr="00350928">
        <w:rPr>
          <w:rFonts w:ascii="Calibri" w:eastAsiaTheme="minorHAnsi" w:hAnsi="Calibri" w:cs="Calibri"/>
          <w:sz w:val="19"/>
          <w:szCs w:val="19"/>
          <w:lang w:eastAsia="en-US"/>
        </w:rPr>
        <w:t xml:space="preserve"> activities fall within the remit of TIAA. TIAA may consider the adequacy of controls necessary to secure propriety, economy, efficiency and effectiveness in all areas. It will seek to confirm that </w:t>
      </w:r>
      <w:r w:rsidR="003123E8" w:rsidRPr="00350928">
        <w:rPr>
          <w:rFonts w:asciiTheme="minorHAnsi" w:eastAsia="Calibri" w:hAnsiTheme="minorHAnsi" w:cs="Calibri"/>
          <w:sz w:val="19"/>
          <w:szCs w:val="19"/>
          <w:lang w:eastAsia="en-US"/>
        </w:rPr>
        <w:t xml:space="preserve">the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Police’s</w:t>
      </w:r>
      <w:r w:rsidRPr="00350928">
        <w:rPr>
          <w:rFonts w:ascii="Calibri" w:eastAsiaTheme="minorHAnsi" w:hAnsi="Calibri" w:cs="Calibri"/>
          <w:sz w:val="19"/>
          <w:szCs w:val="19"/>
          <w:lang w:eastAsia="en-US"/>
        </w:rPr>
        <w:t xml:space="preserve"> management has taken the necessary steps to achieve these objectives and manage the associated risks. It is not within the remit of TIAA to question the appropriateness of policy decisions. However, TIAA is required to examine the arrangements by which such decisions are made, monitored and reviewed.</w:t>
      </w:r>
    </w:p>
    <w:p w14:paraId="66E0D2DA" w14:textId="77777777" w:rsidR="00EF3B56" w:rsidRPr="00350928" w:rsidRDefault="00EF3B56" w:rsidP="00EF3B56">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350928">
        <w:rPr>
          <w:rFonts w:ascii="Calibri" w:eastAsiaTheme="minorHAnsi" w:hAnsi="Calibri" w:cs="Calibri"/>
          <w:sz w:val="19"/>
          <w:szCs w:val="19"/>
          <w:lang w:eastAsia="en-US"/>
        </w:rPr>
        <w:t xml:space="preserve">TIAA may also conduct any special reviews requested by </w:t>
      </w:r>
      <w:r w:rsidR="00923712" w:rsidRPr="00350928">
        <w:rPr>
          <w:rFonts w:ascii="Calibri" w:eastAsiaTheme="minorHAnsi" w:hAnsi="Calibri" w:cs="Calibri"/>
          <w:sz w:val="19"/>
          <w:szCs w:val="19"/>
          <w:lang w:eastAsia="en-US"/>
        </w:rPr>
        <w:t xml:space="preserve">the board, </w:t>
      </w:r>
      <w:r w:rsidR="003123E8" w:rsidRPr="00350928">
        <w:rPr>
          <w:rFonts w:ascii="Calibri" w:eastAsiaTheme="minorHAnsi" w:hAnsi="Calibri" w:cs="Calibri"/>
          <w:sz w:val="19"/>
          <w:szCs w:val="19"/>
          <w:lang w:eastAsia="en-US"/>
        </w:rPr>
        <w:t xml:space="preserve">Joint </w:t>
      </w:r>
      <w:r w:rsidR="00923712" w:rsidRPr="00350928">
        <w:rPr>
          <w:rFonts w:ascii="Calibri" w:eastAsiaTheme="minorHAnsi" w:hAnsi="Calibri" w:cs="Calibri"/>
          <w:sz w:val="19"/>
          <w:szCs w:val="19"/>
          <w:lang w:eastAsia="en-US"/>
        </w:rPr>
        <w:t>A</w:t>
      </w:r>
      <w:r w:rsidRPr="00350928">
        <w:rPr>
          <w:rFonts w:ascii="Calibri" w:eastAsiaTheme="minorHAnsi" w:hAnsi="Calibri" w:cs="Calibri"/>
          <w:sz w:val="19"/>
          <w:szCs w:val="19"/>
          <w:lang w:eastAsia="en-US"/>
        </w:rPr>
        <w:t>udit</w:t>
      </w:r>
      <w:r w:rsidR="00923712" w:rsidRPr="00350928">
        <w:rPr>
          <w:rFonts w:ascii="Calibri" w:eastAsiaTheme="minorHAnsi" w:hAnsi="Calibri" w:cs="Calibri"/>
          <w:sz w:val="19"/>
          <w:szCs w:val="19"/>
          <w:lang w:eastAsia="en-US"/>
        </w:rPr>
        <w:t xml:space="preserve"> </w:t>
      </w:r>
      <w:r w:rsidR="003123E8" w:rsidRPr="00350928">
        <w:rPr>
          <w:rFonts w:ascii="Calibri" w:eastAsiaTheme="minorHAnsi" w:hAnsi="Calibri" w:cs="Calibri"/>
          <w:sz w:val="19"/>
          <w:szCs w:val="19"/>
          <w:lang w:eastAsia="en-US"/>
        </w:rPr>
        <w:t>C</w:t>
      </w:r>
      <w:r w:rsidRPr="00350928">
        <w:rPr>
          <w:rFonts w:ascii="Calibri" w:eastAsiaTheme="minorHAnsi" w:hAnsi="Calibri" w:cs="Calibri"/>
          <w:sz w:val="19"/>
          <w:szCs w:val="19"/>
          <w:lang w:eastAsia="en-US"/>
        </w:rPr>
        <w:t>ommittee or the nominated officer (being the post responsible for the day to day liaison with the TIAA), provided such reviews do not compromise the audit service’s objectivity or independence, or the achievement of the approved audit plan.</w:t>
      </w:r>
    </w:p>
    <w:p w14:paraId="5A05D614" w14:textId="77777777" w:rsidR="008D2CED" w:rsidRPr="00350928" w:rsidRDefault="008D2CED" w:rsidP="00D904B1">
      <w:pPr>
        <w:spacing w:before="120" w:after="120" w:line="271" w:lineRule="auto"/>
        <w:rPr>
          <w:rFonts w:ascii="Calibri" w:eastAsia="Calibri" w:hAnsi="Calibri" w:cs="Calibri"/>
          <w:b/>
          <w:color w:val="163D82"/>
          <w:szCs w:val="20"/>
          <w:lang w:eastAsia="en-GB"/>
        </w:rPr>
      </w:pPr>
      <w:r w:rsidRPr="00350928">
        <w:rPr>
          <w:rFonts w:ascii="Calibri" w:eastAsia="Calibri" w:hAnsi="Calibri" w:cs="Calibri"/>
          <w:b/>
          <w:color w:val="163D82"/>
          <w:szCs w:val="20"/>
          <w:lang w:eastAsia="en-GB"/>
        </w:rPr>
        <w:t>Access</w:t>
      </w:r>
    </w:p>
    <w:p w14:paraId="2CF291C9" w14:textId="1CC7DBCA" w:rsidR="008D2CED" w:rsidRPr="00FE095C" w:rsidRDefault="008D2CED" w:rsidP="008D2CED">
      <w:pPr>
        <w:widowControl w:val="0"/>
        <w:autoSpaceDE w:val="0"/>
        <w:autoSpaceDN w:val="0"/>
        <w:adjustRightInd w:val="0"/>
        <w:spacing w:before="60" w:after="60" w:line="271" w:lineRule="auto"/>
        <w:jc w:val="both"/>
        <w:rPr>
          <w:rFonts w:ascii="Calibri" w:eastAsiaTheme="minorHAnsi" w:hAnsi="Calibri" w:cs="Calibri"/>
          <w:sz w:val="19"/>
          <w:szCs w:val="19"/>
          <w:lang w:eastAsia="en-US"/>
        </w:rPr>
      </w:pPr>
      <w:r w:rsidRPr="00350928">
        <w:rPr>
          <w:rFonts w:ascii="Calibri" w:eastAsiaTheme="minorHAnsi" w:hAnsi="Calibri" w:cs="Calibri"/>
          <w:sz w:val="19"/>
          <w:szCs w:val="19"/>
          <w:lang w:eastAsia="en-US"/>
        </w:rPr>
        <w:t xml:space="preserve">TIAA has unrestricted access to all documents, records, assets, personnel and premises of </w:t>
      </w:r>
      <w:r w:rsidR="003123E8" w:rsidRPr="00350928">
        <w:rPr>
          <w:rFonts w:asciiTheme="minorHAnsi" w:eastAsia="Calibri" w:hAnsiTheme="minorHAnsi" w:cs="Calibri"/>
          <w:sz w:val="19"/>
          <w:szCs w:val="19"/>
          <w:lang w:eastAsia="en-US"/>
        </w:rPr>
        <w:t xml:space="preserve">the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123E8">
        <w:rPr>
          <w:rFonts w:asciiTheme="minorHAnsi" w:hAnsiTheme="minorHAnsi"/>
          <w:sz w:val="19"/>
          <w:szCs w:val="19"/>
        </w:rPr>
        <w:t xml:space="preserve"> Police</w:t>
      </w:r>
      <w:r w:rsidR="003E0145" w:rsidRPr="00FE095C">
        <w:rPr>
          <w:rFonts w:ascii="Calibri" w:eastAsiaTheme="minorHAnsi" w:hAnsi="Calibri" w:cs="Calibri"/>
          <w:sz w:val="19"/>
          <w:szCs w:val="19"/>
          <w:lang w:eastAsia="en-US"/>
        </w:rPr>
        <w:t xml:space="preserve"> </w:t>
      </w:r>
      <w:r w:rsidRPr="00FE095C">
        <w:rPr>
          <w:rFonts w:ascii="Calibri" w:eastAsiaTheme="minorHAnsi" w:hAnsi="Calibri" w:cs="Calibri"/>
          <w:sz w:val="19"/>
          <w:szCs w:val="19"/>
          <w:lang w:eastAsia="en-US"/>
        </w:rPr>
        <w:t>and is authorised to obtain such information and explanations as they consider necessary to form their opinion. The collection of data for this purpose will be carried out in a manner prescribed by TIAA’s professional standards, Information Security and Information Governance policies.</w:t>
      </w:r>
    </w:p>
    <w:p w14:paraId="70CFA1A9" w14:textId="77777777" w:rsidR="008D2CED" w:rsidRPr="00FE095C" w:rsidRDefault="008D2CED" w:rsidP="00DF1E3C">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Standards and Approach</w:t>
      </w:r>
    </w:p>
    <w:p w14:paraId="6879C1D5" w14:textId="77777777" w:rsidR="008D2CED" w:rsidRPr="00FE095C" w:rsidRDefault="008D2CED" w:rsidP="008D2CED">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FE095C">
        <w:rPr>
          <w:rFonts w:ascii="Calibri" w:eastAsiaTheme="minorHAnsi" w:hAnsi="Calibri" w:cs="Calibri"/>
          <w:sz w:val="19"/>
          <w:szCs w:val="19"/>
          <w:lang w:eastAsia="en-US"/>
        </w:rPr>
        <w:t xml:space="preserve">TIAA's work will be performed with due professional care, in accordance with the requirements of the </w:t>
      </w:r>
      <w:r w:rsidR="003123E8">
        <w:rPr>
          <w:rFonts w:ascii="Calibri" w:eastAsiaTheme="minorHAnsi" w:hAnsi="Calibri" w:cs="Calibri"/>
          <w:sz w:val="19"/>
          <w:szCs w:val="19"/>
          <w:lang w:eastAsia="en-US"/>
        </w:rPr>
        <w:t>Public Sector Internal Audit Standards (PSIAS)</w:t>
      </w:r>
      <w:r w:rsidRPr="00FE095C">
        <w:rPr>
          <w:rFonts w:ascii="Calibri" w:eastAsiaTheme="minorHAnsi" w:hAnsi="Calibri" w:cs="Calibri"/>
          <w:sz w:val="19"/>
          <w:szCs w:val="19"/>
          <w:lang w:eastAsia="en-US"/>
        </w:rPr>
        <w:t>.</w:t>
      </w:r>
    </w:p>
    <w:p w14:paraId="0F778D49" w14:textId="77777777" w:rsidR="00D904B1" w:rsidRPr="00FE095C" w:rsidRDefault="00771BE6" w:rsidP="00D904B1">
      <w:pPr>
        <w:spacing w:before="120" w:after="120" w:line="271" w:lineRule="auto"/>
        <w:jc w:val="right"/>
        <w:rPr>
          <w:rFonts w:ascii="Calibri" w:eastAsia="Calibri" w:hAnsi="Calibri" w:cs="Calibri"/>
          <w:b/>
          <w:color w:val="163D82"/>
          <w:szCs w:val="20"/>
          <w:lang w:eastAsia="en-GB"/>
        </w:rPr>
      </w:pPr>
      <w:r>
        <w:rPr>
          <w:rFonts w:ascii="Calibri" w:eastAsia="Calibri" w:hAnsi="Calibri" w:cs="Calibri"/>
          <w:b/>
          <w:color w:val="163D82"/>
          <w:szCs w:val="22"/>
          <w:lang w:eastAsia="en-GB"/>
        </w:rPr>
        <w:t>Annex D</w:t>
      </w:r>
      <w:r w:rsidR="00D904B1" w:rsidRPr="00FE095C">
        <w:rPr>
          <w:rFonts w:ascii="Calibri" w:eastAsia="Calibri" w:hAnsi="Calibri" w:cs="Calibri"/>
          <w:b/>
          <w:color w:val="163D82"/>
          <w:szCs w:val="22"/>
          <w:lang w:eastAsia="en-GB"/>
        </w:rPr>
        <w:t>: Audit Remit</w:t>
      </w:r>
      <w:r w:rsidR="00D904B1" w:rsidRPr="00FE095C">
        <w:rPr>
          <w:rFonts w:ascii="Calibri" w:eastAsia="Calibri" w:hAnsi="Calibri" w:cs="Calibri"/>
          <w:b/>
          <w:color w:val="163D82"/>
          <w:szCs w:val="20"/>
          <w:lang w:eastAsia="en-GB"/>
        </w:rPr>
        <w:t xml:space="preserve"> </w:t>
      </w:r>
    </w:p>
    <w:p w14:paraId="7873F26C" w14:textId="77777777" w:rsidR="00EF3B56" w:rsidRPr="00FE095C" w:rsidRDefault="00EF3B56" w:rsidP="00D904B1">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Independence</w:t>
      </w:r>
    </w:p>
    <w:p w14:paraId="13280F53" w14:textId="77329C6F" w:rsidR="00EF3B56" w:rsidRPr="00350928" w:rsidRDefault="00EF3B56" w:rsidP="00EF3B56">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FE095C">
        <w:rPr>
          <w:rFonts w:ascii="Calibri" w:eastAsiaTheme="minorHAnsi" w:hAnsi="Calibri" w:cs="Calibri"/>
          <w:sz w:val="19"/>
          <w:szCs w:val="19"/>
          <w:lang w:eastAsia="en-US"/>
        </w:rPr>
        <w:t xml:space="preserve">TIAA has no executive role, nor does it have any responsibility for the development, implementation or operation of </w:t>
      </w:r>
      <w:r w:rsidRPr="00350928">
        <w:rPr>
          <w:rFonts w:ascii="Calibri" w:eastAsiaTheme="minorHAnsi" w:hAnsi="Calibri" w:cs="Calibri"/>
          <w:sz w:val="19"/>
          <w:szCs w:val="19"/>
          <w:lang w:eastAsia="en-US"/>
        </w:rPr>
        <w:t xml:space="preserve">systems. However, it may provide independent and objective advice on risk management, control, governance processes and related matters, subject to resource constraints. For day to day administrative purposes only, TIAA reports to a nominated officer within </w:t>
      </w:r>
      <w:r w:rsidR="003123E8" w:rsidRPr="00350928">
        <w:rPr>
          <w:rFonts w:asciiTheme="minorHAnsi" w:eastAsia="Calibri" w:hAnsiTheme="minorHAnsi" w:cs="Calibri"/>
          <w:sz w:val="19"/>
          <w:szCs w:val="19"/>
          <w:lang w:eastAsia="en-US"/>
        </w:rPr>
        <w:t xml:space="preserve">the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Police</w:t>
      </w:r>
      <w:r w:rsidR="0063337B" w:rsidRPr="00350928">
        <w:rPr>
          <w:rFonts w:ascii="Calibri" w:eastAsiaTheme="minorHAnsi" w:hAnsi="Calibri" w:cs="Calibri"/>
          <w:sz w:val="19"/>
          <w:szCs w:val="19"/>
          <w:lang w:eastAsia="en-US"/>
        </w:rPr>
        <w:t xml:space="preserve"> </w:t>
      </w:r>
      <w:r w:rsidRPr="00350928">
        <w:rPr>
          <w:rFonts w:ascii="Calibri" w:eastAsiaTheme="minorHAnsi" w:hAnsi="Calibri" w:cs="Calibri"/>
          <w:sz w:val="19"/>
          <w:szCs w:val="19"/>
          <w:lang w:eastAsia="en-US"/>
        </w:rPr>
        <w:t xml:space="preserve">and the reporting arrangements must take account of the nature of audit work undertaken. TIAA has a right of direct access to the chair </w:t>
      </w:r>
      <w:r w:rsidR="00923712" w:rsidRPr="00350928">
        <w:rPr>
          <w:rFonts w:ascii="Calibri" w:eastAsiaTheme="minorHAnsi" w:hAnsi="Calibri" w:cs="Calibri"/>
          <w:sz w:val="19"/>
          <w:szCs w:val="19"/>
          <w:lang w:eastAsia="en-US"/>
        </w:rPr>
        <w:t xml:space="preserve">of the board, the chair of the </w:t>
      </w:r>
      <w:r w:rsidR="003123E8" w:rsidRPr="00350928">
        <w:rPr>
          <w:rFonts w:ascii="Calibri" w:eastAsiaTheme="minorHAnsi" w:hAnsi="Calibri" w:cs="Calibri"/>
          <w:sz w:val="19"/>
          <w:szCs w:val="19"/>
          <w:lang w:eastAsia="en-US"/>
        </w:rPr>
        <w:t xml:space="preserve">Joint </w:t>
      </w:r>
      <w:r w:rsidR="00923712" w:rsidRPr="00350928">
        <w:rPr>
          <w:rFonts w:ascii="Calibri" w:eastAsiaTheme="minorHAnsi" w:hAnsi="Calibri" w:cs="Calibri"/>
          <w:sz w:val="19"/>
          <w:szCs w:val="19"/>
          <w:lang w:eastAsia="en-US"/>
        </w:rPr>
        <w:t>A</w:t>
      </w:r>
      <w:r w:rsidRPr="00350928">
        <w:rPr>
          <w:rFonts w:ascii="Calibri" w:eastAsiaTheme="minorHAnsi" w:hAnsi="Calibri" w:cs="Calibri"/>
          <w:sz w:val="19"/>
          <w:szCs w:val="19"/>
          <w:lang w:eastAsia="en-US"/>
        </w:rPr>
        <w:t xml:space="preserve">udit </w:t>
      </w:r>
      <w:r w:rsidR="003123E8" w:rsidRPr="00350928">
        <w:rPr>
          <w:rFonts w:ascii="Calibri" w:eastAsiaTheme="minorHAnsi" w:hAnsi="Calibri" w:cs="Calibri"/>
          <w:sz w:val="19"/>
          <w:szCs w:val="19"/>
          <w:lang w:eastAsia="en-US"/>
        </w:rPr>
        <w:t>C</w:t>
      </w:r>
      <w:r w:rsidRPr="00350928">
        <w:rPr>
          <w:rFonts w:ascii="Calibri" w:eastAsiaTheme="minorHAnsi" w:hAnsi="Calibri" w:cs="Calibri"/>
          <w:sz w:val="19"/>
          <w:szCs w:val="19"/>
          <w:lang w:eastAsia="en-US"/>
        </w:rPr>
        <w:t>ommittee and the responsible accounting officer (being the post charged with financial responsibility).</w:t>
      </w:r>
    </w:p>
    <w:p w14:paraId="02E0A0D3" w14:textId="67E0CF5E" w:rsidR="00EF3B56" w:rsidRPr="00FE095C" w:rsidRDefault="00EF3B56" w:rsidP="00EF3B56">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350928">
        <w:rPr>
          <w:rFonts w:ascii="Calibri" w:eastAsiaTheme="minorHAnsi" w:hAnsi="Calibri" w:cs="Calibri"/>
          <w:sz w:val="19"/>
          <w:szCs w:val="19"/>
          <w:lang w:eastAsia="en-US"/>
        </w:rPr>
        <w:t xml:space="preserve">To preserve the objectivity and impartiality of TIAA’s professional judgement, responsibility for implementing audit recommendations rests with </w:t>
      </w:r>
      <w:r w:rsidR="003123E8" w:rsidRPr="00350928">
        <w:rPr>
          <w:rFonts w:asciiTheme="minorHAnsi" w:eastAsia="Calibri" w:hAnsiTheme="minorHAnsi" w:cs="Calibri"/>
          <w:sz w:val="19"/>
          <w:szCs w:val="19"/>
          <w:lang w:eastAsia="en-US"/>
        </w:rPr>
        <w:t xml:space="preserve">the </w:t>
      </w:r>
      <w:r w:rsidR="003123E8" w:rsidRPr="00350928">
        <w:rPr>
          <w:rFonts w:asciiTheme="minorHAnsi" w:hAnsiTheme="minorHAnsi"/>
          <w:sz w:val="19"/>
          <w:szCs w:val="19"/>
        </w:rPr>
        <w:t xml:space="preserve">Police and Crime Commissioner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and Chief Constable </w:t>
      </w:r>
      <w:r w:rsidR="00350928" w:rsidRPr="00350928">
        <w:rPr>
          <w:rFonts w:asciiTheme="minorHAnsi" w:hAnsiTheme="minorHAnsi"/>
          <w:sz w:val="19"/>
          <w:szCs w:val="19"/>
        </w:rPr>
        <w:t>f</w:t>
      </w:r>
      <w:r w:rsidR="002B11F5" w:rsidRPr="00350928">
        <w:rPr>
          <w:rFonts w:asciiTheme="minorHAnsi" w:hAnsiTheme="minorHAnsi"/>
          <w:sz w:val="19"/>
          <w:szCs w:val="19"/>
        </w:rPr>
        <w:t>or Cleveland</w:t>
      </w:r>
      <w:r w:rsidR="003123E8" w:rsidRPr="00350928">
        <w:rPr>
          <w:rFonts w:asciiTheme="minorHAnsi" w:hAnsiTheme="minorHAnsi"/>
          <w:sz w:val="19"/>
          <w:szCs w:val="19"/>
        </w:rPr>
        <w:t xml:space="preserve"> Police’s</w:t>
      </w:r>
      <w:r w:rsidRPr="00350928">
        <w:rPr>
          <w:rFonts w:ascii="Calibri" w:eastAsiaTheme="minorHAnsi" w:hAnsi="Calibri" w:cs="Calibri"/>
          <w:sz w:val="19"/>
          <w:szCs w:val="19"/>
          <w:lang w:eastAsia="en-US"/>
        </w:rPr>
        <w:t xml:space="preserve"> management</w:t>
      </w:r>
      <w:r w:rsidRPr="00FE095C">
        <w:rPr>
          <w:rFonts w:ascii="Calibri" w:eastAsiaTheme="minorHAnsi" w:hAnsi="Calibri" w:cs="Calibri"/>
          <w:sz w:val="19"/>
          <w:szCs w:val="19"/>
          <w:lang w:eastAsia="en-US"/>
        </w:rPr>
        <w:t>.</w:t>
      </w:r>
    </w:p>
    <w:p w14:paraId="7E865E91" w14:textId="77777777" w:rsidR="00EF3B56" w:rsidRPr="00FE095C" w:rsidRDefault="00EF3B56" w:rsidP="00EF3B56">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FE095C">
        <w:rPr>
          <w:rFonts w:ascii="Calibri" w:eastAsiaTheme="minorHAnsi" w:hAnsi="Calibri" w:cs="Calibri"/>
          <w:sz w:val="19"/>
          <w:szCs w:val="19"/>
          <w:lang w:eastAsia="en-US"/>
        </w:rPr>
        <w:t>C</w:t>
      </w:r>
      <w:r w:rsidRPr="00FE095C">
        <w:rPr>
          <w:rFonts w:ascii="Calibri" w:eastAsia="Calibri" w:hAnsi="Calibri" w:cs="Calibri"/>
          <w:sz w:val="19"/>
          <w:szCs w:val="19"/>
          <w:lang w:eastAsia="en-US"/>
        </w:rPr>
        <w:t xml:space="preserve">onsultancy activities are only undertaken with distinct regard for potential conflict of interest. In this role we will act in an advisory capacity and the nature and scope of the work will be agreed in advance and strictly adhered to. </w:t>
      </w:r>
    </w:p>
    <w:p w14:paraId="03E6EF6C" w14:textId="77777777" w:rsidR="00EF3B56" w:rsidRPr="00FE095C" w:rsidRDefault="00EF3B56" w:rsidP="00D904B1">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Irregularities, Including Fraud and Corruption</w:t>
      </w:r>
    </w:p>
    <w:p w14:paraId="4D7BA753" w14:textId="77777777" w:rsidR="00EF3B56" w:rsidRPr="00FE095C" w:rsidRDefault="00EF3B56" w:rsidP="00EF3B56">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FE095C">
        <w:rPr>
          <w:rFonts w:ascii="Calibri" w:eastAsiaTheme="minorHAnsi" w:hAnsi="Calibri" w:cs="Calibri"/>
          <w:sz w:val="19"/>
          <w:szCs w:val="19"/>
          <w:lang w:eastAsia="en-US"/>
        </w:rPr>
        <w:t>TIAA will without delay report to the appropriate regulator, serious weaknesses, significant fraud, major accounting and other breakdowns subject to the requirements of the Proceeds of Crime Act 200</w:t>
      </w:r>
      <w:r w:rsidR="00A02643" w:rsidRPr="00FE095C">
        <w:rPr>
          <w:rFonts w:ascii="Calibri" w:eastAsiaTheme="minorHAnsi" w:hAnsi="Calibri" w:cs="Calibri"/>
          <w:sz w:val="19"/>
          <w:szCs w:val="19"/>
          <w:lang w:eastAsia="en-US"/>
        </w:rPr>
        <w:t>2</w:t>
      </w:r>
      <w:r w:rsidRPr="00FE095C">
        <w:rPr>
          <w:rFonts w:ascii="Calibri" w:eastAsiaTheme="minorHAnsi" w:hAnsi="Calibri" w:cs="Calibri"/>
          <w:sz w:val="19"/>
          <w:szCs w:val="19"/>
          <w:lang w:eastAsia="en-US"/>
        </w:rPr>
        <w:t>.</w:t>
      </w:r>
    </w:p>
    <w:p w14:paraId="6D182BC3" w14:textId="32ABFE71" w:rsidR="000D0EA9" w:rsidRDefault="00EF3B56" w:rsidP="000D0EA9">
      <w:pPr>
        <w:widowControl w:val="0"/>
        <w:autoSpaceDE w:val="0"/>
        <w:autoSpaceDN w:val="0"/>
        <w:adjustRightInd w:val="0"/>
        <w:spacing w:before="120" w:after="120" w:line="271" w:lineRule="auto"/>
        <w:jc w:val="both"/>
        <w:rPr>
          <w:rFonts w:ascii="Calibri" w:eastAsiaTheme="minorHAnsi" w:hAnsi="Calibri" w:cs="Calibri"/>
          <w:sz w:val="19"/>
          <w:szCs w:val="19"/>
          <w:lang w:eastAsia="en-US"/>
        </w:rPr>
      </w:pPr>
      <w:r w:rsidRPr="00FE095C">
        <w:rPr>
          <w:rFonts w:ascii="Calibri" w:eastAsiaTheme="minorHAnsi" w:hAnsi="Calibri" w:cs="Calibri"/>
          <w:sz w:val="19"/>
          <w:szCs w:val="19"/>
          <w:lang w:eastAsia="en-US"/>
        </w:rPr>
        <w:t>TIAA will be informed when evidence of potential irregularity, including fraud, corruption or any impropriety, is discovered so that TIAA can consider the adequacy of the relevant controls, evaluate the implication of the fraud on the risk management, control and governance processes and consider making recommendations as appropriate. The role of TIAA is not to investigate the irregulari</w:t>
      </w:r>
      <w:r w:rsidR="005E04E9" w:rsidRPr="00FE095C">
        <w:rPr>
          <w:rFonts w:ascii="Calibri" w:eastAsiaTheme="minorHAnsi" w:hAnsi="Calibri" w:cs="Calibri"/>
          <w:sz w:val="19"/>
          <w:szCs w:val="19"/>
          <w:lang w:eastAsia="en-US"/>
        </w:rPr>
        <w:t>ty unless commissioned to do so</w:t>
      </w:r>
      <w:r w:rsidR="008D2CED" w:rsidRPr="00FE095C">
        <w:rPr>
          <w:rFonts w:ascii="Calibri" w:eastAsiaTheme="minorHAnsi" w:hAnsi="Calibri" w:cs="Calibri"/>
          <w:sz w:val="19"/>
          <w:szCs w:val="19"/>
          <w:lang w:eastAsia="en-US"/>
        </w:rPr>
        <w:t>.</w:t>
      </w:r>
    </w:p>
    <w:p w14:paraId="0B4CF438" w14:textId="77777777" w:rsidR="000D0EA9" w:rsidRDefault="000D0EA9">
      <w:pPr>
        <w:rPr>
          <w:rFonts w:ascii="Calibri" w:eastAsiaTheme="minorHAnsi" w:hAnsi="Calibri" w:cs="Calibri"/>
          <w:sz w:val="19"/>
          <w:szCs w:val="19"/>
          <w:lang w:eastAsia="en-US"/>
        </w:rPr>
      </w:pPr>
      <w:r>
        <w:rPr>
          <w:rFonts w:ascii="Calibri" w:eastAsiaTheme="minorHAnsi" w:hAnsi="Calibri" w:cs="Calibri"/>
          <w:sz w:val="19"/>
          <w:szCs w:val="19"/>
          <w:lang w:eastAsia="en-US"/>
        </w:rPr>
        <w:br w:type="page"/>
      </w:r>
    </w:p>
    <w:p w14:paraId="08EC9163" w14:textId="77777777" w:rsidR="000D0EA9" w:rsidRDefault="000D0EA9" w:rsidP="00DC6820">
      <w:pPr>
        <w:spacing w:before="120" w:after="120" w:line="271" w:lineRule="auto"/>
        <w:rPr>
          <w:rFonts w:ascii="Calibri" w:eastAsia="Calibri" w:hAnsi="Calibri" w:cs="Calibri"/>
          <w:b/>
          <w:color w:val="163D82"/>
          <w:szCs w:val="20"/>
          <w:lang w:eastAsia="en-GB"/>
        </w:rPr>
      </w:pPr>
    </w:p>
    <w:p w14:paraId="518E5B70" w14:textId="20982C6A" w:rsidR="00DC6820" w:rsidRPr="00FE095C" w:rsidRDefault="00DC6820" w:rsidP="00DC6820">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Corporate Assurance Risks</w:t>
      </w:r>
    </w:p>
    <w:p w14:paraId="5D56A875" w14:textId="77777777" w:rsidR="00DC6820" w:rsidRPr="00FE095C" w:rsidRDefault="00DC6820" w:rsidP="00B264BD">
      <w:pPr>
        <w:spacing w:before="120" w:after="120" w:line="271" w:lineRule="auto"/>
        <w:jc w:val="both"/>
        <w:rPr>
          <w:rFonts w:ascii="Calibri" w:hAnsi="Calibri" w:cs="Calibri"/>
          <w:sz w:val="20"/>
          <w:szCs w:val="20"/>
        </w:rPr>
      </w:pPr>
      <w:r w:rsidRPr="00FE095C">
        <w:rPr>
          <w:rFonts w:ascii="Calibri" w:hAnsi="Calibri" w:cs="Calibri"/>
          <w:sz w:val="20"/>
          <w:szCs w:val="20"/>
        </w:rPr>
        <w:t>We consider four corporate assurance risks; directed; compliance; operational and reputational, and tailor the type of audit accordingly. For all types of audit we also taken into account value for money considerations and any linkages to the organisational Assurance Framework. The outcomes of our work on these corporate assurance risks informs both the individual assignment assurance assessment and also the annual assurance opinion statement. Detailed explanations of these assurance assessments are set out in full in each audit report.</w:t>
      </w:r>
    </w:p>
    <w:p w14:paraId="6089895D" w14:textId="77777777" w:rsidR="00DC6820" w:rsidRPr="00FE095C" w:rsidRDefault="00DC6820" w:rsidP="00D904B1">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 xml:space="preserve">Assurance Assessment </w:t>
      </w:r>
      <w:proofErr w:type="spellStart"/>
      <w:r w:rsidRPr="00FE095C">
        <w:rPr>
          <w:rFonts w:ascii="Calibri" w:eastAsia="Calibri" w:hAnsi="Calibri" w:cs="Calibri"/>
          <w:b/>
          <w:color w:val="163D82"/>
          <w:szCs w:val="20"/>
          <w:lang w:eastAsia="en-GB"/>
        </w:rPr>
        <w:t>Gradings</w:t>
      </w:r>
      <w:proofErr w:type="spellEnd"/>
    </w:p>
    <w:p w14:paraId="17678E1A" w14:textId="77777777" w:rsidR="00DC6820" w:rsidRPr="00FE095C" w:rsidRDefault="00DC6820" w:rsidP="00B264BD">
      <w:pPr>
        <w:spacing w:before="120" w:after="120" w:line="271" w:lineRule="auto"/>
        <w:jc w:val="both"/>
        <w:rPr>
          <w:rFonts w:ascii="Calibri" w:hAnsi="Calibri" w:cs="Calibri"/>
          <w:sz w:val="20"/>
          <w:szCs w:val="20"/>
        </w:rPr>
      </w:pPr>
      <w:r w:rsidRPr="00FE095C">
        <w:rPr>
          <w:rFonts w:ascii="Calibri" w:hAnsi="Calibri" w:cs="Calibri"/>
          <w:sz w:val="20"/>
          <w:szCs w:val="20"/>
        </w:rPr>
        <w:t>We use four levels of assurance assessment: substantial; reasonable, limited and no. Detailed explanations of these assurance assessments are set out in full in each audit report.</w:t>
      </w:r>
    </w:p>
    <w:p w14:paraId="7AC342B3" w14:textId="77777777" w:rsidR="00DC6820" w:rsidRPr="00FE095C" w:rsidRDefault="00DC6820" w:rsidP="00513501">
      <w:pPr>
        <w:spacing w:after="120" w:line="271" w:lineRule="auto"/>
        <w:ind w:hanging="142"/>
        <w:jc w:val="center"/>
        <w:rPr>
          <w:rFonts w:ascii="Calibri" w:hAnsi="Calibri" w:cs="Calibri"/>
          <w:sz w:val="20"/>
          <w:szCs w:val="20"/>
        </w:rPr>
      </w:pPr>
      <w:r w:rsidRPr="00FE095C">
        <w:rPr>
          <w:rFonts w:ascii="Calibri" w:hAnsi="Calibri" w:cs="Calibri"/>
          <w:noProof/>
          <w:sz w:val="20"/>
          <w:szCs w:val="20"/>
          <w:lang w:eastAsia="en-GB"/>
        </w:rPr>
        <w:drawing>
          <wp:inline distT="0" distB="0" distL="0" distR="0" wp14:anchorId="1A8F408A" wp14:editId="04ABBE03">
            <wp:extent cx="4890770" cy="636905"/>
            <wp:effectExtent l="0" t="0" r="508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90770" cy="636905"/>
                    </a:xfrm>
                    <a:prstGeom prst="rect">
                      <a:avLst/>
                    </a:prstGeom>
                    <a:noFill/>
                    <a:ln>
                      <a:noFill/>
                    </a:ln>
                  </pic:spPr>
                </pic:pic>
              </a:graphicData>
            </a:graphic>
          </wp:inline>
        </w:drawing>
      </w:r>
    </w:p>
    <w:p w14:paraId="2FE2C344" w14:textId="77777777" w:rsidR="002E057C" w:rsidRPr="00FE095C" w:rsidRDefault="002E057C" w:rsidP="00D904B1">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Benchmarking</w:t>
      </w:r>
    </w:p>
    <w:p w14:paraId="2969D375" w14:textId="503156E8" w:rsidR="00513501" w:rsidRPr="00FE095C" w:rsidRDefault="00513501" w:rsidP="00B264BD">
      <w:pPr>
        <w:spacing w:before="120" w:after="120" w:line="271" w:lineRule="auto"/>
        <w:jc w:val="both"/>
        <w:rPr>
          <w:rFonts w:ascii="Calibri" w:hAnsi="Calibri" w:cs="Calibri"/>
          <w:sz w:val="20"/>
          <w:szCs w:val="20"/>
        </w:rPr>
      </w:pPr>
      <w:r w:rsidRPr="00FE095C">
        <w:rPr>
          <w:rFonts w:ascii="Calibri" w:hAnsi="Calibri" w:cs="Calibri"/>
          <w:sz w:val="20"/>
          <w:szCs w:val="20"/>
        </w:rPr>
        <w:t xml:space="preserve">Where a similar review is carried out at a number of our clients we will subsequent to the completion of the review at each of the clients we will where relevant provide a benchmarking and lessons learned digest. </w:t>
      </w:r>
      <w:r w:rsidRPr="00350928">
        <w:rPr>
          <w:rFonts w:ascii="Calibri" w:hAnsi="Calibri" w:cs="Calibri"/>
          <w:sz w:val="20"/>
          <w:szCs w:val="20"/>
        </w:rPr>
        <w:t xml:space="preserve">This digest will include Operational Effectiveness Matters for the </w:t>
      </w:r>
      <w:r w:rsidR="001D04A9" w:rsidRPr="00350928">
        <w:rPr>
          <w:rFonts w:asciiTheme="minorHAnsi" w:hAnsiTheme="minorHAnsi"/>
          <w:sz w:val="20"/>
          <w:szCs w:val="20"/>
        </w:rPr>
        <w:t xml:space="preserve">Police and Crime Commissioner </w:t>
      </w:r>
      <w:r w:rsidR="00350928" w:rsidRPr="00350928">
        <w:rPr>
          <w:rFonts w:asciiTheme="minorHAnsi" w:hAnsiTheme="minorHAnsi"/>
          <w:sz w:val="20"/>
          <w:szCs w:val="20"/>
        </w:rPr>
        <w:t>f</w:t>
      </w:r>
      <w:r w:rsidR="002B11F5" w:rsidRPr="00350928">
        <w:rPr>
          <w:rFonts w:asciiTheme="minorHAnsi" w:hAnsiTheme="minorHAnsi"/>
          <w:sz w:val="20"/>
          <w:szCs w:val="20"/>
        </w:rPr>
        <w:t>or Cleveland</w:t>
      </w:r>
      <w:r w:rsidR="001D04A9" w:rsidRPr="00350928">
        <w:rPr>
          <w:rFonts w:asciiTheme="minorHAnsi" w:hAnsiTheme="minorHAnsi"/>
          <w:sz w:val="20"/>
          <w:szCs w:val="20"/>
        </w:rPr>
        <w:t xml:space="preserve"> and Chief Constable </w:t>
      </w:r>
      <w:r w:rsidR="00350928" w:rsidRPr="00350928">
        <w:rPr>
          <w:rFonts w:asciiTheme="minorHAnsi" w:hAnsiTheme="minorHAnsi"/>
          <w:sz w:val="20"/>
          <w:szCs w:val="20"/>
        </w:rPr>
        <w:t>f</w:t>
      </w:r>
      <w:r w:rsidR="002B11F5" w:rsidRPr="00350928">
        <w:rPr>
          <w:rFonts w:asciiTheme="minorHAnsi" w:hAnsiTheme="minorHAnsi"/>
          <w:sz w:val="20"/>
          <w:szCs w:val="20"/>
        </w:rPr>
        <w:t>or Cleveland</w:t>
      </w:r>
      <w:r w:rsidR="001D04A9" w:rsidRPr="00350928">
        <w:rPr>
          <w:rFonts w:asciiTheme="minorHAnsi" w:hAnsiTheme="minorHAnsi"/>
          <w:sz w:val="20"/>
          <w:szCs w:val="20"/>
        </w:rPr>
        <w:t xml:space="preserve"> Police</w:t>
      </w:r>
      <w:r w:rsidR="0063337B" w:rsidRPr="00350928">
        <w:rPr>
          <w:rFonts w:ascii="Calibri" w:hAnsi="Calibri" w:cs="Calibri"/>
          <w:sz w:val="20"/>
          <w:szCs w:val="20"/>
        </w:rPr>
        <w:t xml:space="preserve"> </w:t>
      </w:r>
      <w:r w:rsidRPr="00350928">
        <w:rPr>
          <w:rFonts w:ascii="Calibri" w:hAnsi="Calibri" w:cs="Calibri"/>
          <w:sz w:val="20"/>
          <w:szCs w:val="20"/>
        </w:rPr>
        <w:t>to consider.</w:t>
      </w:r>
    </w:p>
    <w:p w14:paraId="5BE1FB7B" w14:textId="77777777" w:rsidR="00DF1E3C" w:rsidRPr="00FE095C" w:rsidRDefault="00DF1E3C" w:rsidP="00513501">
      <w:pPr>
        <w:spacing w:after="120" w:line="271" w:lineRule="auto"/>
        <w:jc w:val="both"/>
        <w:rPr>
          <w:rFonts w:ascii="Calibri" w:hAnsi="Calibri" w:cs="Calibri"/>
          <w:sz w:val="20"/>
          <w:szCs w:val="20"/>
        </w:rPr>
      </w:pPr>
    </w:p>
    <w:p w14:paraId="4AA3449D" w14:textId="32856512" w:rsidR="000D0EA9" w:rsidRDefault="000D0EA9" w:rsidP="00513501">
      <w:pPr>
        <w:spacing w:after="120" w:line="271" w:lineRule="auto"/>
        <w:jc w:val="both"/>
        <w:rPr>
          <w:rFonts w:ascii="Calibri" w:hAnsi="Calibri" w:cs="Calibri"/>
          <w:sz w:val="20"/>
          <w:szCs w:val="20"/>
        </w:rPr>
      </w:pPr>
    </w:p>
    <w:p w14:paraId="42832913" w14:textId="77777777" w:rsidR="000D0EA9" w:rsidRPr="00FE095C" w:rsidRDefault="000D0EA9" w:rsidP="00513501">
      <w:pPr>
        <w:spacing w:after="120" w:line="271" w:lineRule="auto"/>
        <w:jc w:val="both"/>
        <w:rPr>
          <w:rFonts w:ascii="Calibri" w:hAnsi="Calibri" w:cs="Calibri"/>
          <w:sz w:val="20"/>
          <w:szCs w:val="20"/>
        </w:rPr>
      </w:pPr>
    </w:p>
    <w:p w14:paraId="5AF95532" w14:textId="77777777" w:rsidR="00DF1E3C" w:rsidRPr="00FE095C" w:rsidRDefault="00DF1E3C" w:rsidP="00513501">
      <w:pPr>
        <w:spacing w:after="120" w:line="271" w:lineRule="auto"/>
        <w:jc w:val="both"/>
        <w:rPr>
          <w:rFonts w:ascii="Calibri" w:hAnsi="Calibri" w:cs="Calibri"/>
          <w:sz w:val="20"/>
          <w:szCs w:val="20"/>
        </w:rPr>
      </w:pPr>
    </w:p>
    <w:p w14:paraId="2A4634CF" w14:textId="77777777" w:rsidR="00DF1E3C" w:rsidRPr="00FE095C" w:rsidRDefault="00DF1E3C" w:rsidP="00513501">
      <w:pPr>
        <w:spacing w:after="120" w:line="271" w:lineRule="auto"/>
        <w:jc w:val="both"/>
        <w:rPr>
          <w:rFonts w:ascii="Calibri" w:hAnsi="Calibri" w:cs="Calibri"/>
          <w:sz w:val="20"/>
          <w:szCs w:val="20"/>
        </w:rPr>
      </w:pPr>
    </w:p>
    <w:p w14:paraId="6264B447" w14:textId="77777777" w:rsidR="00D904B1" w:rsidRPr="00FE095C" w:rsidRDefault="00D904B1" w:rsidP="00513501">
      <w:pPr>
        <w:spacing w:after="120" w:line="271" w:lineRule="auto"/>
        <w:jc w:val="both"/>
        <w:rPr>
          <w:rFonts w:ascii="Calibri" w:hAnsi="Calibri" w:cs="Calibri"/>
          <w:sz w:val="20"/>
          <w:szCs w:val="20"/>
        </w:rPr>
      </w:pPr>
    </w:p>
    <w:p w14:paraId="4C64E1C8" w14:textId="77777777" w:rsidR="00DF1E3C" w:rsidRPr="00FE095C" w:rsidRDefault="00DF1E3C" w:rsidP="00513501">
      <w:pPr>
        <w:spacing w:after="120" w:line="271" w:lineRule="auto"/>
        <w:jc w:val="both"/>
        <w:rPr>
          <w:rFonts w:ascii="Calibri" w:hAnsi="Calibri" w:cs="Calibri"/>
          <w:sz w:val="20"/>
          <w:szCs w:val="20"/>
        </w:rPr>
      </w:pPr>
    </w:p>
    <w:p w14:paraId="55369544" w14:textId="77777777" w:rsidR="00DF1E3C" w:rsidRPr="00FE095C" w:rsidRDefault="00DF1E3C" w:rsidP="00513501">
      <w:pPr>
        <w:spacing w:after="120" w:line="271" w:lineRule="auto"/>
        <w:jc w:val="both"/>
        <w:rPr>
          <w:rFonts w:ascii="Calibri" w:hAnsi="Calibri" w:cs="Calibri"/>
          <w:sz w:val="20"/>
          <w:szCs w:val="20"/>
        </w:rPr>
      </w:pPr>
    </w:p>
    <w:p w14:paraId="2A0922DA" w14:textId="77777777" w:rsidR="002643B6" w:rsidRPr="00FE095C" w:rsidRDefault="00DF1E3C" w:rsidP="00D904B1">
      <w:pPr>
        <w:spacing w:before="120" w:after="120" w:line="271" w:lineRule="auto"/>
        <w:jc w:val="right"/>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 xml:space="preserve">Annex </w:t>
      </w:r>
      <w:r w:rsidR="00771BE6">
        <w:rPr>
          <w:rFonts w:ascii="Calibri" w:eastAsia="Calibri" w:hAnsi="Calibri" w:cs="Calibri"/>
          <w:b/>
          <w:color w:val="163D82"/>
          <w:szCs w:val="20"/>
          <w:lang w:eastAsia="en-GB"/>
        </w:rPr>
        <w:t>E</w:t>
      </w:r>
      <w:r w:rsidRPr="00FE095C">
        <w:rPr>
          <w:rFonts w:ascii="Calibri" w:eastAsia="Calibri" w:hAnsi="Calibri" w:cs="Calibri"/>
          <w:b/>
          <w:color w:val="163D82"/>
          <w:szCs w:val="20"/>
          <w:lang w:eastAsia="en-GB"/>
        </w:rPr>
        <w:t>:</w:t>
      </w:r>
      <w:r w:rsidR="00D904B1" w:rsidRPr="00FE095C">
        <w:rPr>
          <w:rFonts w:ascii="Calibri" w:eastAsia="Calibri" w:hAnsi="Calibri" w:cs="Calibri"/>
          <w:b/>
          <w:color w:val="163D82"/>
          <w:szCs w:val="20"/>
          <w:lang w:eastAsia="en-GB"/>
        </w:rPr>
        <w:t xml:space="preserve"> Providing</w:t>
      </w:r>
      <w:r w:rsidRPr="00FE095C">
        <w:rPr>
          <w:rFonts w:ascii="Calibri" w:eastAsia="Calibri" w:hAnsi="Calibri" w:cs="Calibri"/>
          <w:b/>
          <w:color w:val="163D82"/>
          <w:szCs w:val="20"/>
          <w:lang w:eastAsia="en-GB"/>
        </w:rPr>
        <w:t xml:space="preserve"> Assurance</w:t>
      </w:r>
    </w:p>
    <w:p w14:paraId="3B8AD42C" w14:textId="77777777" w:rsidR="00DC6820" w:rsidRPr="00FE095C" w:rsidRDefault="00DC6820" w:rsidP="00D904B1">
      <w:pPr>
        <w:spacing w:before="120" w:after="120" w:line="271" w:lineRule="auto"/>
        <w:rPr>
          <w:rFonts w:ascii="Calibri" w:eastAsia="Calibri" w:hAnsi="Calibri" w:cs="Calibri"/>
          <w:b/>
          <w:color w:val="163D82"/>
          <w:szCs w:val="20"/>
          <w:lang w:eastAsia="en-GB"/>
        </w:rPr>
      </w:pPr>
      <w:r w:rsidRPr="00FE095C">
        <w:rPr>
          <w:rFonts w:ascii="Calibri" w:eastAsia="Calibri" w:hAnsi="Calibri" w:cs="Calibri"/>
          <w:b/>
          <w:color w:val="163D82"/>
          <w:szCs w:val="20"/>
          <w:lang w:eastAsia="en-GB"/>
        </w:rPr>
        <w:t>Types of Audit Review</w:t>
      </w:r>
    </w:p>
    <w:p w14:paraId="57FA60B1" w14:textId="77777777" w:rsidR="00DC6820" w:rsidRPr="00FE095C" w:rsidRDefault="00DC6820" w:rsidP="00B264BD">
      <w:pPr>
        <w:spacing w:before="120" w:after="120" w:line="271" w:lineRule="auto"/>
        <w:jc w:val="both"/>
        <w:rPr>
          <w:rFonts w:ascii="Calibri" w:hAnsi="Calibri" w:cs="Calibri"/>
          <w:sz w:val="20"/>
          <w:szCs w:val="20"/>
        </w:rPr>
      </w:pPr>
      <w:r w:rsidRPr="00FE095C">
        <w:rPr>
          <w:rFonts w:ascii="Calibri" w:hAnsi="Calibri" w:cs="Calibri"/>
          <w:sz w:val="20"/>
          <w:szCs w:val="20"/>
        </w:rPr>
        <w:t>The Annual Plan includes a range of types of audit review. The different types of review focus on one or more of the corporate assurance risks. This approach enables more in-depth work to be carried out in the individual assignments than would be possible if all four assurance risks were considered in every review. The suite of audit reviews and how they individually and collectively enable us to inform our overall opinion on the adequacy and effectiveness of the governance, risk and control arrangements is set out in the assurance mapping diagram.</w:t>
      </w:r>
    </w:p>
    <w:p w14:paraId="3B5C55CB" w14:textId="77777777" w:rsidR="00DF5C07" w:rsidRPr="00FE095C" w:rsidRDefault="00DC6820" w:rsidP="00DC6820">
      <w:pPr>
        <w:spacing w:before="240" w:after="120"/>
        <w:jc w:val="center"/>
        <w:rPr>
          <w:rFonts w:ascii="Calibri" w:hAnsi="Calibri" w:cs="Calibri"/>
        </w:rPr>
      </w:pPr>
      <w:r w:rsidRPr="00FE095C">
        <w:rPr>
          <w:rFonts w:ascii="Calibri" w:hAnsi="Calibri" w:cs="Calibri"/>
          <w:noProof/>
          <w:lang w:eastAsia="en-GB"/>
        </w:rPr>
        <w:drawing>
          <wp:inline distT="0" distB="0" distL="0" distR="0" wp14:anchorId="4BA51E54" wp14:editId="188960EC">
            <wp:extent cx="3300000" cy="3600000"/>
            <wp:effectExtent l="0" t="0" r="0" b="635"/>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00000" cy="3600000"/>
                    </a:xfrm>
                    <a:prstGeom prst="rect">
                      <a:avLst/>
                    </a:prstGeom>
                    <a:noFill/>
                    <a:ln>
                      <a:noFill/>
                    </a:ln>
                  </pic:spPr>
                </pic:pic>
              </a:graphicData>
            </a:graphic>
          </wp:inline>
        </w:drawing>
      </w:r>
    </w:p>
    <w:p w14:paraId="60543160" w14:textId="77777777" w:rsidR="00DF5C07" w:rsidRPr="00FE095C" w:rsidRDefault="00DF5C07">
      <w:pPr>
        <w:rPr>
          <w:rFonts w:ascii="Calibri" w:hAnsi="Calibri" w:cs="Calibri"/>
        </w:rPr>
      </w:pPr>
    </w:p>
    <w:sectPr w:rsidR="00DF5C07" w:rsidRPr="00FE095C" w:rsidSect="00F7594C">
      <w:footerReference w:type="default" r:id="rId18"/>
      <w:pgSz w:w="16839" w:h="11907" w:orient="landscape" w:code="9"/>
      <w:pgMar w:top="322" w:right="864" w:bottom="562" w:left="864" w:header="283" w:footer="283" w:gutter="0"/>
      <w:cols w:num="2"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A49DE" w14:textId="77777777" w:rsidR="00CC1921" w:rsidRDefault="00CC1921" w:rsidP="00EF3B56">
      <w:r>
        <w:separator/>
      </w:r>
    </w:p>
  </w:endnote>
  <w:endnote w:type="continuationSeparator" w:id="0">
    <w:p w14:paraId="04947117" w14:textId="77777777" w:rsidR="00CC1921" w:rsidRDefault="00CC1921" w:rsidP="00EF3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7A05C" w14:textId="77777777" w:rsidR="00E25529" w:rsidRPr="00DD7F4D" w:rsidRDefault="00E25529">
    <w:pPr>
      <w:rPr>
        <w:sz w:val="10"/>
      </w:rPr>
    </w:pPr>
  </w:p>
  <w:p w14:paraId="4B5FF337" w14:textId="77777777" w:rsidR="00E25529" w:rsidRPr="00DD7F4D" w:rsidRDefault="00E25529" w:rsidP="00DD7F4D">
    <w:pPr>
      <w:rPr>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B0986" w14:textId="77777777" w:rsidR="00E25529" w:rsidRPr="00DD7F4D" w:rsidRDefault="00E25529" w:rsidP="00F349F0">
    <w:pPr>
      <w:rPr>
        <w:sz w:val="10"/>
      </w:rPr>
    </w:pPr>
  </w:p>
  <w:tbl>
    <w:tblPr>
      <w:tblStyle w:val="TableGrid"/>
      <w:tblW w:w="15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24"/>
      <w:gridCol w:w="1189"/>
    </w:tblGrid>
    <w:tr w:rsidR="00E25529" w:rsidRPr="00E25529" w14:paraId="56CD8A73" w14:textId="77777777" w:rsidTr="00764D01">
      <w:trPr>
        <w:trHeight w:hRule="exact" w:val="454"/>
      </w:trPr>
      <w:tc>
        <w:tcPr>
          <w:tcW w:w="14424" w:type="dxa"/>
          <w:vAlign w:val="center"/>
        </w:tcPr>
        <w:p w14:paraId="28E92F8D" w14:textId="6B2F3CC2" w:rsidR="00E25529" w:rsidRPr="00E25529" w:rsidRDefault="00E25529" w:rsidP="00E311FB">
          <w:pPr>
            <w:pStyle w:val="Header"/>
            <w:tabs>
              <w:tab w:val="clear" w:pos="4680"/>
              <w:tab w:val="clear" w:pos="9360"/>
              <w:tab w:val="center" w:pos="7513"/>
              <w:tab w:val="right" w:pos="15705"/>
            </w:tabs>
            <w:spacing w:before="20" w:after="20"/>
            <w:jc w:val="right"/>
            <w:rPr>
              <w:rFonts w:asciiTheme="minorHAnsi" w:hAnsiTheme="minorHAnsi" w:cstheme="minorHAnsi"/>
              <w:color w:val="808080" w:themeColor="background1" w:themeShade="80"/>
              <w:sz w:val="16"/>
            </w:rPr>
          </w:pPr>
          <w:r w:rsidRPr="00E25529">
            <w:rPr>
              <w:rFonts w:asciiTheme="minorHAnsi" w:hAnsiTheme="minorHAnsi" w:cstheme="minorHAnsi"/>
              <w:color w:val="808080" w:themeColor="background1" w:themeShade="80"/>
              <w:sz w:val="16"/>
            </w:rPr>
            <w:t xml:space="preserve">Police and Crime Commissioner for Cleveland and the Chief Constable for Cleveland Police </w:t>
          </w:r>
        </w:p>
        <w:p w14:paraId="14D1EDD8" w14:textId="77777777" w:rsidR="00E25529" w:rsidRPr="00E25529" w:rsidRDefault="00E25529" w:rsidP="00E311FB">
          <w:pPr>
            <w:pStyle w:val="Header"/>
            <w:tabs>
              <w:tab w:val="clear" w:pos="4680"/>
              <w:tab w:val="clear" w:pos="9360"/>
              <w:tab w:val="center" w:pos="7513"/>
              <w:tab w:val="right" w:pos="15705"/>
            </w:tabs>
            <w:spacing w:before="20" w:after="20"/>
            <w:jc w:val="right"/>
            <w:rPr>
              <w:rFonts w:asciiTheme="minorHAnsi" w:hAnsiTheme="minorHAnsi" w:cstheme="minorHAnsi"/>
              <w:color w:val="808080" w:themeColor="background1" w:themeShade="80"/>
              <w:sz w:val="16"/>
            </w:rPr>
          </w:pPr>
          <w:r w:rsidRPr="00E25529">
            <w:rPr>
              <w:rFonts w:asciiTheme="minorHAnsi" w:hAnsiTheme="minorHAnsi" w:cstheme="minorHAnsi"/>
              <w:color w:val="808080" w:themeColor="background1" w:themeShade="80"/>
              <w:sz w:val="16"/>
            </w:rPr>
            <w:t>Annual Internal Audit Plan 2020/21</w:t>
          </w:r>
        </w:p>
      </w:tc>
      <w:tc>
        <w:tcPr>
          <w:tcW w:w="1189" w:type="dxa"/>
          <w:shd w:val="clear" w:color="auto" w:fill="808080" w:themeFill="background1" w:themeFillShade="80"/>
          <w:vAlign w:val="center"/>
        </w:tcPr>
        <w:p w14:paraId="549E4518" w14:textId="63AD2051" w:rsidR="00E25529" w:rsidRPr="00E25529" w:rsidRDefault="00E25529" w:rsidP="00E311FB">
          <w:pPr>
            <w:pStyle w:val="Header"/>
            <w:tabs>
              <w:tab w:val="clear" w:pos="4680"/>
              <w:tab w:val="clear" w:pos="9360"/>
              <w:tab w:val="center" w:pos="7513"/>
              <w:tab w:val="right" w:pos="15705"/>
            </w:tabs>
            <w:ind w:left="884" w:hanging="884"/>
            <w:jc w:val="center"/>
            <w:rPr>
              <w:rFonts w:asciiTheme="minorHAnsi" w:hAnsiTheme="minorHAnsi" w:cstheme="minorHAnsi"/>
              <w:b/>
              <w:color w:val="FFFFFF" w:themeColor="background1"/>
              <w:sz w:val="16"/>
            </w:rPr>
          </w:pPr>
          <w:r w:rsidRPr="00E25529">
            <w:rPr>
              <w:rFonts w:asciiTheme="minorHAnsi" w:eastAsia="Times New Roman" w:hAnsiTheme="minorHAnsi" w:cstheme="minorHAnsi"/>
              <w:b/>
              <w:color w:val="FFFFFF" w:themeColor="background1"/>
              <w:sz w:val="16"/>
              <w:szCs w:val="20"/>
            </w:rPr>
            <w:t xml:space="preserve">Page </w:t>
          </w:r>
          <w:r w:rsidRPr="00E25529">
            <w:rPr>
              <w:rFonts w:asciiTheme="minorHAnsi" w:eastAsia="Times New Roman" w:hAnsiTheme="minorHAnsi" w:cstheme="minorHAnsi"/>
              <w:b/>
              <w:color w:val="FFFFFF" w:themeColor="background1"/>
              <w:sz w:val="16"/>
              <w:szCs w:val="20"/>
            </w:rPr>
            <w:fldChar w:fldCharType="begin"/>
          </w:r>
          <w:r w:rsidRPr="00E25529">
            <w:rPr>
              <w:rFonts w:asciiTheme="minorHAnsi" w:eastAsia="Times New Roman" w:hAnsiTheme="minorHAnsi" w:cstheme="minorHAnsi"/>
              <w:b/>
              <w:color w:val="FFFFFF" w:themeColor="background1"/>
              <w:sz w:val="16"/>
              <w:szCs w:val="20"/>
            </w:rPr>
            <w:instrText xml:space="preserve"> PAGE   \* MERGEFORMAT </w:instrText>
          </w:r>
          <w:r w:rsidRPr="00E25529">
            <w:rPr>
              <w:rFonts w:asciiTheme="minorHAnsi" w:eastAsia="Times New Roman" w:hAnsiTheme="minorHAnsi" w:cstheme="minorHAnsi"/>
              <w:b/>
              <w:color w:val="FFFFFF" w:themeColor="background1"/>
              <w:sz w:val="16"/>
              <w:szCs w:val="20"/>
            </w:rPr>
            <w:fldChar w:fldCharType="separate"/>
          </w:r>
          <w:r w:rsidR="00BF5EA9">
            <w:rPr>
              <w:rFonts w:asciiTheme="minorHAnsi" w:eastAsia="Times New Roman" w:hAnsiTheme="minorHAnsi" w:cstheme="minorHAnsi"/>
              <w:b/>
              <w:noProof/>
              <w:color w:val="FFFFFF" w:themeColor="background1"/>
              <w:sz w:val="16"/>
              <w:szCs w:val="20"/>
            </w:rPr>
            <w:t>15</w:t>
          </w:r>
          <w:r w:rsidRPr="00E25529">
            <w:rPr>
              <w:rFonts w:asciiTheme="minorHAnsi" w:eastAsia="Times New Roman" w:hAnsiTheme="minorHAnsi" w:cstheme="minorHAnsi"/>
              <w:b/>
              <w:color w:val="FFFFFF" w:themeColor="background1"/>
              <w:sz w:val="16"/>
              <w:szCs w:val="20"/>
            </w:rPr>
            <w:fldChar w:fldCharType="end"/>
          </w:r>
        </w:p>
      </w:tc>
    </w:tr>
  </w:tbl>
  <w:p w14:paraId="26454ABA" w14:textId="77777777" w:rsidR="00E25529" w:rsidRPr="000D0EA9" w:rsidRDefault="00E25529" w:rsidP="000D0EA9">
    <w:pP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91F6C" w14:textId="77777777" w:rsidR="00E25529" w:rsidRPr="00DD7F4D" w:rsidRDefault="00E25529">
    <w:pPr>
      <w:rPr>
        <w:sz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2900"/>
      <w:gridCol w:w="1094"/>
    </w:tblGrid>
    <w:tr w:rsidR="00E25529" w14:paraId="46C7BD35" w14:textId="77777777" w:rsidTr="00F349F0">
      <w:trPr>
        <w:trHeight w:hRule="exact" w:val="454"/>
      </w:trPr>
      <w:tc>
        <w:tcPr>
          <w:tcW w:w="1701" w:type="dxa"/>
          <w:vAlign w:val="center"/>
        </w:tcPr>
        <w:p w14:paraId="0C873E11" w14:textId="77777777" w:rsidR="00E25529" w:rsidRDefault="00E25529" w:rsidP="00DD7F4D">
          <w:pPr>
            <w:pStyle w:val="Header"/>
            <w:tabs>
              <w:tab w:val="clear" w:pos="4680"/>
              <w:tab w:val="clear" w:pos="9360"/>
              <w:tab w:val="center" w:pos="7513"/>
              <w:tab w:val="right" w:pos="15705"/>
            </w:tabs>
            <w:rPr>
              <w:color w:val="808080" w:themeColor="background1" w:themeShade="80"/>
            </w:rPr>
          </w:pPr>
          <w:r w:rsidRPr="00923712">
            <w:rPr>
              <w:rFonts w:cs="Arial"/>
              <w:outline/>
              <w:color w:val="FFFFFF" w:themeColor="background1"/>
              <w:sz w:val="32"/>
              <w14:textOutline w14:w="9525" w14:cap="flat" w14:cmpd="sng" w14:algn="ctr">
                <w14:solidFill>
                  <w14:schemeClr w14:val="bg1"/>
                </w14:solidFill>
                <w14:prstDash w14:val="solid"/>
                <w14:round/>
              </w14:textOutline>
              <w14:textFill>
                <w14:noFill/>
              </w14:textFill>
            </w:rPr>
            <w:t>DRAFT</w:t>
          </w:r>
        </w:p>
      </w:tc>
      <w:tc>
        <w:tcPr>
          <w:tcW w:w="12900" w:type="dxa"/>
          <w:vAlign w:val="center"/>
        </w:tcPr>
        <w:p w14:paraId="3B64BEC2" w14:textId="2F2BCFE3" w:rsidR="00E25529" w:rsidRPr="002B11F5" w:rsidRDefault="00E25529" w:rsidP="002E057C">
          <w:pPr>
            <w:pStyle w:val="Header"/>
            <w:tabs>
              <w:tab w:val="clear" w:pos="4680"/>
              <w:tab w:val="clear" w:pos="9360"/>
              <w:tab w:val="center" w:pos="7513"/>
              <w:tab w:val="right" w:pos="15705"/>
            </w:tabs>
            <w:spacing w:before="20" w:after="20"/>
            <w:jc w:val="right"/>
            <w:rPr>
              <w:color w:val="808080" w:themeColor="background1" w:themeShade="80"/>
              <w:sz w:val="16"/>
            </w:rPr>
          </w:pPr>
          <w:r w:rsidRPr="002B11F5">
            <w:rPr>
              <w:color w:val="808080" w:themeColor="background1" w:themeShade="80"/>
              <w:sz w:val="16"/>
            </w:rPr>
            <w:t>Police and Crime Commissioner for Cleveland and Chief Constable for Cleveland Police</w:t>
          </w:r>
        </w:p>
        <w:p w14:paraId="22F6F53D" w14:textId="77777777" w:rsidR="00E25529" w:rsidRPr="002B11F5" w:rsidRDefault="00E25529">
          <w:pPr>
            <w:pStyle w:val="Header"/>
            <w:tabs>
              <w:tab w:val="clear" w:pos="4680"/>
              <w:tab w:val="clear" w:pos="9360"/>
              <w:tab w:val="center" w:pos="7513"/>
              <w:tab w:val="right" w:pos="15705"/>
            </w:tabs>
            <w:spacing w:before="20" w:after="20"/>
            <w:jc w:val="right"/>
            <w:rPr>
              <w:color w:val="808080" w:themeColor="background1" w:themeShade="80"/>
              <w:sz w:val="16"/>
            </w:rPr>
          </w:pPr>
          <w:r w:rsidRPr="002B11F5">
            <w:rPr>
              <w:color w:val="808080" w:themeColor="background1" w:themeShade="80"/>
              <w:sz w:val="16"/>
            </w:rPr>
            <w:t>Annual Internal Audit Plan 2020/21</w:t>
          </w:r>
        </w:p>
      </w:tc>
      <w:tc>
        <w:tcPr>
          <w:tcW w:w="1094" w:type="dxa"/>
          <w:shd w:val="clear" w:color="auto" w:fill="808080" w:themeFill="background1" w:themeFillShade="80"/>
          <w:vAlign w:val="center"/>
        </w:tcPr>
        <w:p w14:paraId="772AFA0D" w14:textId="6DA7B69B" w:rsidR="00E25529" w:rsidRPr="00D8563B" w:rsidRDefault="00E25529" w:rsidP="00DD7F4D">
          <w:pPr>
            <w:pStyle w:val="Header"/>
            <w:tabs>
              <w:tab w:val="clear" w:pos="4680"/>
              <w:tab w:val="clear" w:pos="9360"/>
              <w:tab w:val="center" w:pos="7513"/>
              <w:tab w:val="right" w:pos="15705"/>
            </w:tabs>
            <w:jc w:val="center"/>
            <w:rPr>
              <w:b/>
              <w:color w:val="FFFFFF" w:themeColor="background1"/>
              <w:sz w:val="16"/>
            </w:rPr>
          </w:pPr>
          <w:r w:rsidRPr="00D8563B">
            <w:rPr>
              <w:rFonts w:eastAsia="Times New Roman" w:cs="Arial"/>
              <w:b/>
              <w:color w:val="FFFFFF" w:themeColor="background1"/>
              <w:sz w:val="16"/>
              <w:szCs w:val="20"/>
            </w:rPr>
            <w:t xml:space="preserve">Page </w:t>
          </w:r>
          <w:r w:rsidRPr="00D8563B">
            <w:rPr>
              <w:rFonts w:eastAsia="Times New Roman" w:cs="Arial"/>
              <w:b/>
              <w:color w:val="FFFFFF" w:themeColor="background1"/>
              <w:sz w:val="16"/>
              <w:szCs w:val="20"/>
            </w:rPr>
            <w:fldChar w:fldCharType="begin"/>
          </w:r>
          <w:r w:rsidRPr="00D8563B">
            <w:rPr>
              <w:rFonts w:eastAsia="Times New Roman" w:cs="Arial"/>
              <w:b/>
              <w:color w:val="FFFFFF" w:themeColor="background1"/>
              <w:sz w:val="16"/>
              <w:szCs w:val="20"/>
            </w:rPr>
            <w:instrText xml:space="preserve"> PAGE   \* MERGEFORMAT </w:instrText>
          </w:r>
          <w:r w:rsidRPr="00D8563B">
            <w:rPr>
              <w:rFonts w:eastAsia="Times New Roman" w:cs="Arial"/>
              <w:b/>
              <w:color w:val="FFFFFF" w:themeColor="background1"/>
              <w:sz w:val="16"/>
              <w:szCs w:val="20"/>
            </w:rPr>
            <w:fldChar w:fldCharType="separate"/>
          </w:r>
          <w:r>
            <w:rPr>
              <w:rFonts w:eastAsia="Times New Roman" w:cs="Arial"/>
              <w:b/>
              <w:noProof/>
              <w:color w:val="FFFFFF" w:themeColor="background1"/>
              <w:sz w:val="16"/>
              <w:szCs w:val="20"/>
            </w:rPr>
            <w:t>4</w:t>
          </w:r>
          <w:r w:rsidRPr="00D8563B">
            <w:rPr>
              <w:rFonts w:eastAsia="Times New Roman" w:cs="Arial"/>
              <w:b/>
              <w:color w:val="FFFFFF" w:themeColor="background1"/>
              <w:sz w:val="16"/>
              <w:szCs w:val="20"/>
            </w:rPr>
            <w:fldChar w:fldCharType="end"/>
          </w:r>
        </w:p>
      </w:tc>
    </w:tr>
  </w:tbl>
  <w:p w14:paraId="77B27716" w14:textId="77777777" w:rsidR="00E25529" w:rsidRPr="00B264BD" w:rsidRDefault="00E25529" w:rsidP="00DD7F4D">
    <w:pP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1"/>
      <w:gridCol w:w="1094"/>
    </w:tblGrid>
    <w:tr w:rsidR="00E25529" w:rsidRPr="00E25529" w14:paraId="34177BA0" w14:textId="77777777" w:rsidTr="00DF5C07">
      <w:trPr>
        <w:trHeight w:hRule="exact" w:val="454"/>
      </w:trPr>
      <w:tc>
        <w:tcPr>
          <w:tcW w:w="14601" w:type="dxa"/>
          <w:vAlign w:val="center"/>
        </w:tcPr>
        <w:p w14:paraId="73F6FB59" w14:textId="77777777" w:rsidR="00E25529" w:rsidRPr="00E25529" w:rsidRDefault="00E25529" w:rsidP="00350928">
          <w:pPr>
            <w:pStyle w:val="Header"/>
            <w:tabs>
              <w:tab w:val="clear" w:pos="4680"/>
              <w:tab w:val="clear" w:pos="9360"/>
              <w:tab w:val="center" w:pos="7513"/>
              <w:tab w:val="right" w:pos="15705"/>
            </w:tabs>
            <w:spacing w:before="20" w:after="20"/>
            <w:jc w:val="right"/>
            <w:rPr>
              <w:rFonts w:asciiTheme="minorHAnsi" w:hAnsiTheme="minorHAnsi" w:cstheme="minorHAnsi"/>
              <w:color w:val="808080" w:themeColor="background1" w:themeShade="80"/>
              <w:sz w:val="16"/>
            </w:rPr>
          </w:pPr>
          <w:r w:rsidRPr="00E25529">
            <w:rPr>
              <w:rFonts w:asciiTheme="minorHAnsi" w:hAnsiTheme="minorHAnsi" w:cstheme="minorHAnsi"/>
              <w:color w:val="808080" w:themeColor="background1" w:themeShade="80"/>
              <w:sz w:val="16"/>
            </w:rPr>
            <w:t xml:space="preserve">Police and Crime Commissioner for Cleveland and the Chief Constable for Cleveland Police </w:t>
          </w:r>
        </w:p>
        <w:p w14:paraId="7867A613" w14:textId="77777777" w:rsidR="00E25529" w:rsidRPr="00E25529" w:rsidRDefault="00E25529" w:rsidP="00DF5C07">
          <w:pPr>
            <w:pStyle w:val="Header"/>
            <w:tabs>
              <w:tab w:val="clear" w:pos="4680"/>
              <w:tab w:val="clear" w:pos="9360"/>
              <w:tab w:val="center" w:pos="7513"/>
              <w:tab w:val="right" w:pos="15705"/>
            </w:tabs>
            <w:spacing w:before="20" w:after="20"/>
            <w:jc w:val="right"/>
            <w:rPr>
              <w:rFonts w:asciiTheme="minorHAnsi" w:hAnsiTheme="minorHAnsi" w:cstheme="minorHAnsi"/>
              <w:color w:val="808080" w:themeColor="background1" w:themeShade="80"/>
              <w:sz w:val="16"/>
            </w:rPr>
          </w:pPr>
          <w:r w:rsidRPr="00E25529">
            <w:rPr>
              <w:rFonts w:asciiTheme="minorHAnsi" w:hAnsiTheme="minorHAnsi" w:cstheme="minorHAnsi"/>
              <w:color w:val="808080" w:themeColor="background1" w:themeShade="80"/>
              <w:sz w:val="16"/>
            </w:rPr>
            <w:t>Annual Internal Audit Plan 2020/21</w:t>
          </w:r>
        </w:p>
      </w:tc>
      <w:tc>
        <w:tcPr>
          <w:tcW w:w="1094" w:type="dxa"/>
          <w:shd w:val="clear" w:color="auto" w:fill="808080" w:themeFill="background1" w:themeFillShade="80"/>
          <w:vAlign w:val="center"/>
        </w:tcPr>
        <w:p w14:paraId="3B5B2E99" w14:textId="3B96732A" w:rsidR="00E25529" w:rsidRPr="00E25529" w:rsidRDefault="00E25529" w:rsidP="00DF5C07">
          <w:pPr>
            <w:pStyle w:val="Header"/>
            <w:tabs>
              <w:tab w:val="clear" w:pos="4680"/>
              <w:tab w:val="clear" w:pos="9360"/>
              <w:tab w:val="center" w:pos="7513"/>
              <w:tab w:val="right" w:pos="15705"/>
            </w:tabs>
            <w:ind w:left="36" w:hanging="36"/>
            <w:jc w:val="center"/>
            <w:rPr>
              <w:rFonts w:asciiTheme="minorHAnsi" w:hAnsiTheme="minorHAnsi" w:cstheme="minorHAnsi"/>
              <w:b/>
              <w:color w:val="FFFFFF" w:themeColor="background1"/>
              <w:sz w:val="16"/>
            </w:rPr>
          </w:pPr>
          <w:r w:rsidRPr="00E25529">
            <w:rPr>
              <w:rFonts w:asciiTheme="minorHAnsi" w:eastAsia="Times New Roman" w:hAnsiTheme="minorHAnsi" w:cstheme="minorHAnsi"/>
              <w:b/>
              <w:color w:val="FFFFFF" w:themeColor="background1"/>
              <w:sz w:val="16"/>
              <w:szCs w:val="20"/>
            </w:rPr>
            <w:t xml:space="preserve">Page </w:t>
          </w:r>
          <w:r w:rsidRPr="00E25529">
            <w:rPr>
              <w:rFonts w:asciiTheme="minorHAnsi" w:eastAsia="Times New Roman" w:hAnsiTheme="minorHAnsi" w:cstheme="minorHAnsi"/>
              <w:b/>
              <w:color w:val="FFFFFF" w:themeColor="background1"/>
              <w:sz w:val="16"/>
              <w:szCs w:val="20"/>
            </w:rPr>
            <w:fldChar w:fldCharType="begin"/>
          </w:r>
          <w:r w:rsidRPr="00E25529">
            <w:rPr>
              <w:rFonts w:asciiTheme="minorHAnsi" w:eastAsia="Times New Roman" w:hAnsiTheme="minorHAnsi" w:cstheme="minorHAnsi"/>
              <w:b/>
              <w:color w:val="FFFFFF" w:themeColor="background1"/>
              <w:sz w:val="16"/>
              <w:szCs w:val="20"/>
            </w:rPr>
            <w:instrText xml:space="preserve"> PAGE   \* MERGEFORMAT </w:instrText>
          </w:r>
          <w:r w:rsidRPr="00E25529">
            <w:rPr>
              <w:rFonts w:asciiTheme="minorHAnsi" w:eastAsia="Times New Roman" w:hAnsiTheme="minorHAnsi" w:cstheme="minorHAnsi"/>
              <w:b/>
              <w:color w:val="FFFFFF" w:themeColor="background1"/>
              <w:sz w:val="16"/>
              <w:szCs w:val="20"/>
            </w:rPr>
            <w:fldChar w:fldCharType="separate"/>
          </w:r>
          <w:r w:rsidR="00BF5EA9">
            <w:rPr>
              <w:rFonts w:asciiTheme="minorHAnsi" w:eastAsia="Times New Roman" w:hAnsiTheme="minorHAnsi" w:cstheme="minorHAnsi"/>
              <w:b/>
              <w:noProof/>
              <w:color w:val="FFFFFF" w:themeColor="background1"/>
              <w:sz w:val="16"/>
              <w:szCs w:val="20"/>
            </w:rPr>
            <w:t>17</w:t>
          </w:r>
          <w:r w:rsidRPr="00E25529">
            <w:rPr>
              <w:rFonts w:asciiTheme="minorHAnsi" w:eastAsia="Times New Roman" w:hAnsiTheme="minorHAnsi" w:cstheme="minorHAnsi"/>
              <w:b/>
              <w:color w:val="FFFFFF" w:themeColor="background1"/>
              <w:sz w:val="16"/>
              <w:szCs w:val="20"/>
            </w:rPr>
            <w:fldChar w:fldCharType="end"/>
          </w:r>
        </w:p>
      </w:tc>
    </w:tr>
  </w:tbl>
  <w:p w14:paraId="03EE6D04" w14:textId="77777777" w:rsidR="00E25529" w:rsidRPr="00F7594C" w:rsidRDefault="00E25529" w:rsidP="00DF5C07">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B1C91" w14:textId="77777777" w:rsidR="00CC1921" w:rsidRDefault="00CC1921" w:rsidP="00EF3B56">
      <w:r>
        <w:separator/>
      </w:r>
    </w:p>
  </w:footnote>
  <w:footnote w:type="continuationSeparator" w:id="0">
    <w:p w14:paraId="04C7BAFF" w14:textId="77777777" w:rsidR="00CC1921" w:rsidRDefault="00CC1921" w:rsidP="00EF3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08412" w14:textId="4C4CAD1D" w:rsidR="00E25529" w:rsidRDefault="00E25529">
    <w:pPr>
      <w:pStyle w:val="Header"/>
    </w:pPr>
    <w:r w:rsidRPr="000D0EA9">
      <w:rPr>
        <w:noProof/>
        <w:lang w:eastAsia="en-GB"/>
      </w:rPr>
      <w:drawing>
        <wp:anchor distT="0" distB="0" distL="114300" distR="114300" simplePos="0" relativeHeight="251660800" behindDoc="1" locked="0" layoutInCell="1" allowOverlap="1" wp14:anchorId="0D8C76B2" wp14:editId="34F59CB9">
          <wp:simplePos x="0" y="0"/>
          <wp:positionH relativeFrom="margin">
            <wp:posOffset>175260</wp:posOffset>
          </wp:positionH>
          <wp:positionV relativeFrom="margin">
            <wp:posOffset>21590</wp:posOffset>
          </wp:positionV>
          <wp:extent cx="1609090" cy="6921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A Logo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090" cy="692150"/>
                  </a:xfrm>
                  <a:prstGeom prst="rect">
                    <a:avLst/>
                  </a:prstGeom>
                </pic:spPr>
              </pic:pic>
            </a:graphicData>
          </a:graphic>
          <wp14:sizeRelH relativeFrom="margin">
            <wp14:pctWidth>0</wp14:pctWidth>
          </wp14:sizeRelH>
          <wp14:sizeRelV relativeFrom="margin">
            <wp14:pctHeight>0</wp14:pctHeight>
          </wp14:sizeRelV>
        </wp:anchor>
      </w:drawing>
    </w:r>
    <w:r w:rsidRPr="000D0EA9">
      <w:rPr>
        <w:noProof/>
        <w:lang w:eastAsia="en-GB"/>
      </w:rPr>
      <w:drawing>
        <wp:anchor distT="0" distB="0" distL="114300" distR="114300" simplePos="0" relativeHeight="251659776" behindDoc="1" locked="0" layoutInCell="1" allowOverlap="1" wp14:anchorId="645D88D9" wp14:editId="7A29BE10">
          <wp:simplePos x="0" y="0"/>
          <wp:positionH relativeFrom="page">
            <wp:posOffset>4661535</wp:posOffset>
          </wp:positionH>
          <wp:positionV relativeFrom="paragraph">
            <wp:posOffset>-1616075</wp:posOffset>
          </wp:positionV>
          <wp:extent cx="7220585" cy="7350108"/>
          <wp:effectExtent l="0" t="0" r="0" b="381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220585" cy="735010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AD3CB" w14:textId="77777777" w:rsidR="00E25529" w:rsidRDefault="00E25529">
    <w:pPr>
      <w:pStyle w:val="Header"/>
    </w:pPr>
    <w:r w:rsidRPr="00F017EA">
      <w:rPr>
        <w:i/>
        <w:noProof/>
        <w:lang w:eastAsia="en-GB"/>
      </w:rPr>
      <w:drawing>
        <wp:anchor distT="0" distB="0" distL="114300" distR="114300" simplePos="0" relativeHeight="251657728" behindDoc="1" locked="0" layoutInCell="1" allowOverlap="1" wp14:anchorId="2E96D00E" wp14:editId="6AB8694C">
          <wp:simplePos x="0" y="0"/>
          <wp:positionH relativeFrom="margin">
            <wp:posOffset>114300</wp:posOffset>
          </wp:positionH>
          <wp:positionV relativeFrom="margin">
            <wp:align>top</wp:align>
          </wp:positionV>
          <wp:extent cx="1609556" cy="6921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A Logo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556" cy="6921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6704" behindDoc="1" locked="0" layoutInCell="1" allowOverlap="1" wp14:anchorId="3FAC7C00" wp14:editId="571DDB59">
          <wp:simplePos x="0" y="0"/>
          <wp:positionH relativeFrom="page">
            <wp:posOffset>4600575</wp:posOffset>
          </wp:positionH>
          <wp:positionV relativeFrom="paragraph">
            <wp:posOffset>-1637665</wp:posOffset>
          </wp:positionV>
          <wp:extent cx="7220585" cy="7350108"/>
          <wp:effectExtent l="0" t="0" r="0" b="381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220585" cy="735010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5ED5F" w14:textId="77777777" w:rsidR="00E25529" w:rsidRDefault="00E25529" w:rsidP="00805F2B">
    <w:pPr>
      <w:pStyle w:val="Header"/>
      <w:spacing w:after="120"/>
      <w:jc w:val="right"/>
      <w:rPr>
        <w:sz w:val="10"/>
      </w:rPr>
    </w:pPr>
    <w:r w:rsidRPr="00A74818">
      <w:rPr>
        <w:rFonts w:ascii="Calibri" w:eastAsia="Calibri" w:hAnsi="Calibri"/>
        <w:noProof/>
        <w:szCs w:val="22"/>
        <w:lang w:eastAsia="en-GB"/>
      </w:rPr>
      <w:drawing>
        <wp:inline distT="0" distB="0" distL="0" distR="0" wp14:anchorId="2F74CCE2" wp14:editId="2EE4D4FE">
          <wp:extent cx="625372" cy="288000"/>
          <wp:effectExtent l="0" t="0" r="3810" b="0"/>
          <wp:docPr id="9" name="Picture 9"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8A565" w14:textId="26EB5514" w:rsidR="00E25529" w:rsidRPr="000D0EA9" w:rsidRDefault="00E25529" w:rsidP="000D0EA9">
    <w:pPr>
      <w:pStyle w:val="Header"/>
      <w:spacing w:after="120"/>
      <w:jc w:val="right"/>
      <w:rPr>
        <w:sz w:val="10"/>
      </w:rPr>
    </w:pPr>
    <w:r>
      <w:rPr>
        <w:sz w:val="10"/>
      </w:rPr>
      <w:tab/>
    </w:r>
    <w:r w:rsidRPr="00A74818">
      <w:rPr>
        <w:rFonts w:ascii="Calibri" w:eastAsia="Calibri" w:hAnsi="Calibri"/>
        <w:noProof/>
        <w:szCs w:val="22"/>
        <w:lang w:eastAsia="en-GB"/>
      </w:rPr>
      <w:drawing>
        <wp:inline distT="0" distB="0" distL="0" distR="0" wp14:anchorId="1BCBD46A" wp14:editId="75A0AC90">
          <wp:extent cx="625372" cy="288000"/>
          <wp:effectExtent l="0" t="0" r="3810" b="0"/>
          <wp:docPr id="11" name="Picture 11"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7D8C"/>
    <w:multiLevelType w:val="hybridMultilevel"/>
    <w:tmpl w:val="8162F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62C2C"/>
    <w:multiLevelType w:val="hybridMultilevel"/>
    <w:tmpl w:val="8A22C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341F20"/>
    <w:multiLevelType w:val="hybridMultilevel"/>
    <w:tmpl w:val="6518C086"/>
    <w:lvl w:ilvl="0" w:tplc="71A41854">
      <w:start w:val="1"/>
      <w:numFmt w:val="bullet"/>
      <w:lvlText w:val=""/>
      <w:lvlJc w:val="left"/>
      <w:pPr>
        <w:ind w:left="720" w:hanging="360"/>
      </w:pPr>
      <w:rPr>
        <w:rFonts w:ascii="Symbol" w:hAnsi="Symbol" w:hint="default"/>
        <w:color w:val="C00000"/>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757A53"/>
    <w:multiLevelType w:val="hybridMultilevel"/>
    <w:tmpl w:val="97F892EA"/>
    <w:lvl w:ilvl="0" w:tplc="8F040C2C">
      <w:start w:val="1"/>
      <w:numFmt w:val="bullet"/>
      <w:lvlText w:val=""/>
      <w:lvlJc w:val="left"/>
      <w:pPr>
        <w:ind w:left="360" w:hanging="360"/>
      </w:pPr>
      <w:rPr>
        <w:rFonts w:ascii="Symbol" w:hAnsi="Symbol" w:hint="default"/>
        <w:color w:val="DC0D15"/>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CE687E"/>
    <w:multiLevelType w:val="hybridMultilevel"/>
    <w:tmpl w:val="09E04D46"/>
    <w:lvl w:ilvl="0" w:tplc="D78E228E">
      <w:start w:val="1"/>
      <w:numFmt w:val="bullet"/>
      <w:lvlText w:val=""/>
      <w:lvlJc w:val="left"/>
      <w:pPr>
        <w:ind w:left="764" w:hanging="360"/>
      </w:pPr>
      <w:rPr>
        <w:rFonts w:ascii="Symbol" w:hAnsi="Symbol" w:hint="default"/>
        <w:color w:val="C00000"/>
        <w:sz w:val="20"/>
        <w:u w:color="FFFFFF" w:themeColor="background1"/>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5" w15:restartNumberingAfterBreak="0">
    <w:nsid w:val="15867949"/>
    <w:multiLevelType w:val="hybridMultilevel"/>
    <w:tmpl w:val="8B1A0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67804"/>
    <w:multiLevelType w:val="hybridMultilevel"/>
    <w:tmpl w:val="4B242832"/>
    <w:lvl w:ilvl="0" w:tplc="2D64A832">
      <w:start w:val="1"/>
      <w:numFmt w:val="bullet"/>
      <w:lvlText w:val=""/>
      <w:lvlJc w:val="left"/>
      <w:pPr>
        <w:ind w:left="720" w:hanging="360"/>
      </w:pPr>
      <w:rPr>
        <w:rFonts w:ascii="Wingdings" w:hAnsi="Wingdings" w:hint="default"/>
        <w:b/>
        <w:i w:val="0"/>
        <w:color w:val="C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3C3F13"/>
    <w:multiLevelType w:val="hybridMultilevel"/>
    <w:tmpl w:val="F0545B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9A1761"/>
    <w:multiLevelType w:val="hybridMultilevel"/>
    <w:tmpl w:val="4F12C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7E215E"/>
    <w:multiLevelType w:val="hybridMultilevel"/>
    <w:tmpl w:val="818ECA56"/>
    <w:lvl w:ilvl="0" w:tplc="71F67428">
      <w:start w:val="1"/>
      <w:numFmt w:val="bullet"/>
      <w:lvlText w:val=""/>
      <w:lvlJc w:val="left"/>
      <w:pPr>
        <w:ind w:left="720" w:hanging="360"/>
      </w:pPr>
      <w:rPr>
        <w:rFonts w:ascii="Wingdings 2" w:hAnsi="Wingdings 2" w:hint="default"/>
        <w:b/>
        <w:i w:val="0"/>
        <w:color w:val="C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7771A1"/>
    <w:multiLevelType w:val="hybridMultilevel"/>
    <w:tmpl w:val="FF90D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ED6E09"/>
    <w:multiLevelType w:val="hybridMultilevel"/>
    <w:tmpl w:val="560EF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6E44C9"/>
    <w:multiLevelType w:val="hybridMultilevel"/>
    <w:tmpl w:val="A296EA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502EDE"/>
    <w:multiLevelType w:val="hybridMultilevel"/>
    <w:tmpl w:val="6B9830DC"/>
    <w:lvl w:ilvl="0" w:tplc="8FA2D95A">
      <w:start w:val="1"/>
      <w:numFmt w:val="bullet"/>
      <w:lvlText w:val=""/>
      <w:lvlJc w:val="left"/>
      <w:pPr>
        <w:ind w:left="360" w:hanging="360"/>
      </w:pPr>
      <w:rPr>
        <w:rFonts w:ascii="Symbol" w:hAnsi="Symbol" w:hint="default"/>
        <w:snapToGrid/>
        <w:color w:val="DC0D15"/>
        <w:sz w:val="20"/>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335516C"/>
    <w:multiLevelType w:val="hybridMultilevel"/>
    <w:tmpl w:val="6D549318"/>
    <w:lvl w:ilvl="0" w:tplc="98962CE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324EF8"/>
    <w:multiLevelType w:val="hybridMultilevel"/>
    <w:tmpl w:val="7CA41AF2"/>
    <w:lvl w:ilvl="0" w:tplc="EE281356">
      <w:start w:val="1"/>
      <w:numFmt w:val="bullet"/>
      <w:lvlText w:val=""/>
      <w:lvlJc w:val="left"/>
      <w:pPr>
        <w:ind w:left="720" w:hanging="360"/>
      </w:pPr>
      <w:rPr>
        <w:rFonts w:ascii="Symbol" w:hAnsi="Symbol" w:hint="default"/>
        <w:color w:val="C00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6F2CF7"/>
    <w:multiLevelType w:val="hybridMultilevel"/>
    <w:tmpl w:val="6472C212"/>
    <w:lvl w:ilvl="0" w:tplc="D8163E92">
      <w:start w:val="1"/>
      <w:numFmt w:val="bullet"/>
      <w:lvlText w:val=""/>
      <w:lvlJc w:val="left"/>
      <w:pPr>
        <w:ind w:left="720" w:hanging="360"/>
      </w:pPr>
      <w:rPr>
        <w:rFonts w:ascii="Symbol" w:hAnsi="Symbol" w:hint="default"/>
        <w:color w:val="DC0D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CF5093"/>
    <w:multiLevelType w:val="hybridMultilevel"/>
    <w:tmpl w:val="C4C20186"/>
    <w:lvl w:ilvl="0" w:tplc="EE281356">
      <w:start w:val="1"/>
      <w:numFmt w:val="bullet"/>
      <w:lvlText w:val=""/>
      <w:lvlJc w:val="left"/>
      <w:pPr>
        <w:ind w:left="720" w:hanging="360"/>
      </w:pPr>
      <w:rPr>
        <w:rFonts w:ascii="Symbol" w:hAnsi="Symbol" w:hint="default"/>
        <w:color w:val="C00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6A043A"/>
    <w:multiLevelType w:val="hybridMultilevel"/>
    <w:tmpl w:val="C6240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390AE6"/>
    <w:multiLevelType w:val="hybridMultilevel"/>
    <w:tmpl w:val="A3824B84"/>
    <w:lvl w:ilvl="0" w:tplc="8A8A7874">
      <w:start w:val="1"/>
      <w:numFmt w:val="bullet"/>
      <w:lvlText w:val=""/>
      <w:lvlJc w:val="left"/>
      <w:pPr>
        <w:tabs>
          <w:tab w:val="num" w:pos="3075"/>
        </w:tabs>
        <w:ind w:left="3075" w:hanging="386"/>
      </w:pPr>
      <w:rPr>
        <w:rFonts w:ascii="Symbol" w:hAnsi="Symbol" w:hint="default"/>
        <w:color w:val="C0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F64B04"/>
    <w:multiLevelType w:val="hybridMultilevel"/>
    <w:tmpl w:val="29224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5"/>
  </w:num>
  <w:num w:numId="4">
    <w:abstractNumId w:val="17"/>
  </w:num>
  <w:num w:numId="5">
    <w:abstractNumId w:val="6"/>
  </w:num>
  <w:num w:numId="6">
    <w:abstractNumId w:val="19"/>
  </w:num>
  <w:num w:numId="7">
    <w:abstractNumId w:val="4"/>
  </w:num>
  <w:num w:numId="8">
    <w:abstractNumId w:val="16"/>
  </w:num>
  <w:num w:numId="9">
    <w:abstractNumId w:val="3"/>
  </w:num>
  <w:num w:numId="10">
    <w:abstractNumId w:val="12"/>
  </w:num>
  <w:num w:numId="11">
    <w:abstractNumId w:val="2"/>
  </w:num>
  <w:num w:numId="12">
    <w:abstractNumId w:val="0"/>
  </w:num>
  <w:num w:numId="13">
    <w:abstractNumId w:val="20"/>
  </w:num>
  <w:num w:numId="14">
    <w:abstractNumId w:val="8"/>
  </w:num>
  <w:num w:numId="15">
    <w:abstractNumId w:val="10"/>
  </w:num>
  <w:num w:numId="16">
    <w:abstractNumId w:val="14"/>
  </w:num>
  <w:num w:numId="17">
    <w:abstractNumId w:val="7"/>
  </w:num>
  <w:num w:numId="18">
    <w:abstractNumId w:val="11"/>
  </w:num>
  <w:num w:numId="19">
    <w:abstractNumId w:val="5"/>
  </w:num>
  <w:num w:numId="20">
    <w:abstractNumId w:val="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trackRevisions/>
  <w:documentProtection w:edit="trackedChanges" w:enforcement="1" w:cryptProviderType="rsaAES" w:cryptAlgorithmClass="hash" w:cryptAlgorithmType="typeAny" w:cryptAlgorithmSid="14" w:cryptSpinCount="100000" w:hash="zRMhJ3hTe8efIubGPa4q4sNiN7oLFTDnE/zHJ3LcOqI7pG5VVrVWIDPuxX40yvnYd94LnNLIE+q1H0lrrYGFNQ==" w:salt="32SYCVti2WI8+EcPTs3ELg=="/>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26/02/2020 14:36"/>
  </w:docVars>
  <w:rsids>
    <w:rsidRoot w:val="00EF3B56"/>
    <w:rsid w:val="00006025"/>
    <w:rsid w:val="000101D3"/>
    <w:rsid w:val="00010F96"/>
    <w:rsid w:val="00014ECA"/>
    <w:rsid w:val="00015F42"/>
    <w:rsid w:val="00053668"/>
    <w:rsid w:val="00075650"/>
    <w:rsid w:val="000775E8"/>
    <w:rsid w:val="000816A2"/>
    <w:rsid w:val="000A1837"/>
    <w:rsid w:val="000A4AAD"/>
    <w:rsid w:val="000B75FD"/>
    <w:rsid w:val="000D0EA9"/>
    <w:rsid w:val="000E233D"/>
    <w:rsid w:val="000F6438"/>
    <w:rsid w:val="00101B15"/>
    <w:rsid w:val="00105735"/>
    <w:rsid w:val="00113100"/>
    <w:rsid w:val="00113450"/>
    <w:rsid w:val="00117D04"/>
    <w:rsid w:val="00140106"/>
    <w:rsid w:val="00140230"/>
    <w:rsid w:val="00144D0C"/>
    <w:rsid w:val="00147B16"/>
    <w:rsid w:val="0015017E"/>
    <w:rsid w:val="00154DE1"/>
    <w:rsid w:val="00157498"/>
    <w:rsid w:val="001650C1"/>
    <w:rsid w:val="00167464"/>
    <w:rsid w:val="00172819"/>
    <w:rsid w:val="001801C3"/>
    <w:rsid w:val="0018187C"/>
    <w:rsid w:val="001921E7"/>
    <w:rsid w:val="001A5177"/>
    <w:rsid w:val="001A6B3D"/>
    <w:rsid w:val="001B53FD"/>
    <w:rsid w:val="001C0564"/>
    <w:rsid w:val="001C0829"/>
    <w:rsid w:val="001C6D7A"/>
    <w:rsid w:val="001C74B4"/>
    <w:rsid w:val="001D04A9"/>
    <w:rsid w:val="001D3208"/>
    <w:rsid w:val="001D3316"/>
    <w:rsid w:val="001D65C1"/>
    <w:rsid w:val="001D7B0A"/>
    <w:rsid w:val="001E0AE7"/>
    <w:rsid w:val="001F4A65"/>
    <w:rsid w:val="00200539"/>
    <w:rsid w:val="00200EF0"/>
    <w:rsid w:val="00212B57"/>
    <w:rsid w:val="002165C4"/>
    <w:rsid w:val="00222BB6"/>
    <w:rsid w:val="002310B3"/>
    <w:rsid w:val="00234710"/>
    <w:rsid w:val="00237FBC"/>
    <w:rsid w:val="00246FE0"/>
    <w:rsid w:val="00251B32"/>
    <w:rsid w:val="002643B6"/>
    <w:rsid w:val="00264A3A"/>
    <w:rsid w:val="00270D81"/>
    <w:rsid w:val="00270FC3"/>
    <w:rsid w:val="00271630"/>
    <w:rsid w:val="00274420"/>
    <w:rsid w:val="00293D4B"/>
    <w:rsid w:val="002B10E4"/>
    <w:rsid w:val="002B11F5"/>
    <w:rsid w:val="002B38FD"/>
    <w:rsid w:val="002B390A"/>
    <w:rsid w:val="002D3C04"/>
    <w:rsid w:val="002D640A"/>
    <w:rsid w:val="002D75D6"/>
    <w:rsid w:val="002D78CE"/>
    <w:rsid w:val="002E057C"/>
    <w:rsid w:val="002E1269"/>
    <w:rsid w:val="002E6232"/>
    <w:rsid w:val="002E6655"/>
    <w:rsid w:val="002F7FDA"/>
    <w:rsid w:val="00301342"/>
    <w:rsid w:val="00302068"/>
    <w:rsid w:val="003029DF"/>
    <w:rsid w:val="00305271"/>
    <w:rsid w:val="003123E8"/>
    <w:rsid w:val="00313C8F"/>
    <w:rsid w:val="00314407"/>
    <w:rsid w:val="003159D6"/>
    <w:rsid w:val="00321FEB"/>
    <w:rsid w:val="0033598B"/>
    <w:rsid w:val="00342365"/>
    <w:rsid w:val="0034332C"/>
    <w:rsid w:val="00350928"/>
    <w:rsid w:val="00351C4D"/>
    <w:rsid w:val="00352EA3"/>
    <w:rsid w:val="0035612E"/>
    <w:rsid w:val="00357962"/>
    <w:rsid w:val="00360C94"/>
    <w:rsid w:val="00360DF6"/>
    <w:rsid w:val="003613BD"/>
    <w:rsid w:val="00364E52"/>
    <w:rsid w:val="00371009"/>
    <w:rsid w:val="0037131F"/>
    <w:rsid w:val="00372224"/>
    <w:rsid w:val="00385587"/>
    <w:rsid w:val="0039047D"/>
    <w:rsid w:val="00391B95"/>
    <w:rsid w:val="003B01AC"/>
    <w:rsid w:val="003B28B8"/>
    <w:rsid w:val="003B5DC5"/>
    <w:rsid w:val="003C0459"/>
    <w:rsid w:val="003C31D5"/>
    <w:rsid w:val="003C7236"/>
    <w:rsid w:val="003C7FE1"/>
    <w:rsid w:val="003D0327"/>
    <w:rsid w:val="003D0C78"/>
    <w:rsid w:val="003D6B78"/>
    <w:rsid w:val="003E0145"/>
    <w:rsid w:val="003E168E"/>
    <w:rsid w:val="003F7BBF"/>
    <w:rsid w:val="00400A13"/>
    <w:rsid w:val="00403A42"/>
    <w:rsid w:val="00406A1A"/>
    <w:rsid w:val="00427C7C"/>
    <w:rsid w:val="00434963"/>
    <w:rsid w:val="00435CA3"/>
    <w:rsid w:val="00441879"/>
    <w:rsid w:val="0044606F"/>
    <w:rsid w:val="00447963"/>
    <w:rsid w:val="00455A65"/>
    <w:rsid w:val="004655E3"/>
    <w:rsid w:val="00480E68"/>
    <w:rsid w:val="0048290D"/>
    <w:rsid w:val="0048535B"/>
    <w:rsid w:val="004908F2"/>
    <w:rsid w:val="0049137F"/>
    <w:rsid w:val="0049569F"/>
    <w:rsid w:val="00497359"/>
    <w:rsid w:val="004A3380"/>
    <w:rsid w:val="004B407E"/>
    <w:rsid w:val="004C3870"/>
    <w:rsid w:val="004C706B"/>
    <w:rsid w:val="004D0050"/>
    <w:rsid w:val="004D4499"/>
    <w:rsid w:val="004D577C"/>
    <w:rsid w:val="004D6BDF"/>
    <w:rsid w:val="004D71AC"/>
    <w:rsid w:val="004F131E"/>
    <w:rsid w:val="004F6848"/>
    <w:rsid w:val="005032AB"/>
    <w:rsid w:val="00511E18"/>
    <w:rsid w:val="00512276"/>
    <w:rsid w:val="00512C0D"/>
    <w:rsid w:val="00513501"/>
    <w:rsid w:val="005153E3"/>
    <w:rsid w:val="005172A2"/>
    <w:rsid w:val="00522133"/>
    <w:rsid w:val="00526E86"/>
    <w:rsid w:val="00537B01"/>
    <w:rsid w:val="00542E3D"/>
    <w:rsid w:val="00544521"/>
    <w:rsid w:val="00557203"/>
    <w:rsid w:val="005573B4"/>
    <w:rsid w:val="005665C6"/>
    <w:rsid w:val="00572993"/>
    <w:rsid w:val="005775CF"/>
    <w:rsid w:val="00577DCF"/>
    <w:rsid w:val="00582D74"/>
    <w:rsid w:val="0058362D"/>
    <w:rsid w:val="00593008"/>
    <w:rsid w:val="00595910"/>
    <w:rsid w:val="005A7AC0"/>
    <w:rsid w:val="005B2855"/>
    <w:rsid w:val="005C2D7E"/>
    <w:rsid w:val="005C77B4"/>
    <w:rsid w:val="005C7E5D"/>
    <w:rsid w:val="005D208B"/>
    <w:rsid w:val="005D746C"/>
    <w:rsid w:val="005E04E9"/>
    <w:rsid w:val="005E4467"/>
    <w:rsid w:val="005E4AA1"/>
    <w:rsid w:val="005F1B6D"/>
    <w:rsid w:val="00611863"/>
    <w:rsid w:val="00612B2E"/>
    <w:rsid w:val="00622B09"/>
    <w:rsid w:val="00623F09"/>
    <w:rsid w:val="00627D4A"/>
    <w:rsid w:val="00630E3E"/>
    <w:rsid w:val="00631B0B"/>
    <w:rsid w:val="00632E65"/>
    <w:rsid w:val="0063337B"/>
    <w:rsid w:val="00636C77"/>
    <w:rsid w:val="00650255"/>
    <w:rsid w:val="00655772"/>
    <w:rsid w:val="00670BEB"/>
    <w:rsid w:val="00671F3F"/>
    <w:rsid w:val="00675BB4"/>
    <w:rsid w:val="00680BCA"/>
    <w:rsid w:val="00680DBA"/>
    <w:rsid w:val="00691596"/>
    <w:rsid w:val="0069453F"/>
    <w:rsid w:val="006962AA"/>
    <w:rsid w:val="006A2724"/>
    <w:rsid w:val="006A486F"/>
    <w:rsid w:val="006A60B8"/>
    <w:rsid w:val="006A6ADE"/>
    <w:rsid w:val="006B1AFD"/>
    <w:rsid w:val="006B4845"/>
    <w:rsid w:val="006B7318"/>
    <w:rsid w:val="006C3E02"/>
    <w:rsid w:val="006C607C"/>
    <w:rsid w:val="006C6DCA"/>
    <w:rsid w:val="006C7530"/>
    <w:rsid w:val="006D4078"/>
    <w:rsid w:val="006D4D32"/>
    <w:rsid w:val="006F0587"/>
    <w:rsid w:val="006F20F6"/>
    <w:rsid w:val="006F2D2E"/>
    <w:rsid w:val="006F60C0"/>
    <w:rsid w:val="00706E52"/>
    <w:rsid w:val="0071445C"/>
    <w:rsid w:val="0072253B"/>
    <w:rsid w:val="00732B49"/>
    <w:rsid w:val="00732F43"/>
    <w:rsid w:val="00740C2E"/>
    <w:rsid w:val="00747510"/>
    <w:rsid w:val="00756D02"/>
    <w:rsid w:val="00764259"/>
    <w:rsid w:val="00764D01"/>
    <w:rsid w:val="00765680"/>
    <w:rsid w:val="0077043E"/>
    <w:rsid w:val="00771BE6"/>
    <w:rsid w:val="00783C07"/>
    <w:rsid w:val="0078424E"/>
    <w:rsid w:val="00796013"/>
    <w:rsid w:val="007A1866"/>
    <w:rsid w:val="007A4ADE"/>
    <w:rsid w:val="007B3DE8"/>
    <w:rsid w:val="007B6D1A"/>
    <w:rsid w:val="007B7F51"/>
    <w:rsid w:val="007C14BE"/>
    <w:rsid w:val="007C1E64"/>
    <w:rsid w:val="007C3892"/>
    <w:rsid w:val="007C674B"/>
    <w:rsid w:val="007D0CA5"/>
    <w:rsid w:val="007D3066"/>
    <w:rsid w:val="007D4A80"/>
    <w:rsid w:val="007D6CF5"/>
    <w:rsid w:val="007E45DD"/>
    <w:rsid w:val="007F0F70"/>
    <w:rsid w:val="007F3C1D"/>
    <w:rsid w:val="007F45BA"/>
    <w:rsid w:val="007F48E5"/>
    <w:rsid w:val="007F73D8"/>
    <w:rsid w:val="00803629"/>
    <w:rsid w:val="00805F2B"/>
    <w:rsid w:val="00806E68"/>
    <w:rsid w:val="00810A4B"/>
    <w:rsid w:val="00815622"/>
    <w:rsid w:val="00815ACC"/>
    <w:rsid w:val="00816CF1"/>
    <w:rsid w:val="008261B2"/>
    <w:rsid w:val="008353C2"/>
    <w:rsid w:val="008468D9"/>
    <w:rsid w:val="00857EEA"/>
    <w:rsid w:val="008676A2"/>
    <w:rsid w:val="00874F86"/>
    <w:rsid w:val="0087657A"/>
    <w:rsid w:val="00882923"/>
    <w:rsid w:val="008836DE"/>
    <w:rsid w:val="00891A25"/>
    <w:rsid w:val="008948AE"/>
    <w:rsid w:val="00896200"/>
    <w:rsid w:val="008A0E5B"/>
    <w:rsid w:val="008A3976"/>
    <w:rsid w:val="008A6D6A"/>
    <w:rsid w:val="008B4331"/>
    <w:rsid w:val="008B50B8"/>
    <w:rsid w:val="008B570A"/>
    <w:rsid w:val="008C0A46"/>
    <w:rsid w:val="008C5DEA"/>
    <w:rsid w:val="008D2CED"/>
    <w:rsid w:val="008D4C60"/>
    <w:rsid w:val="008E5739"/>
    <w:rsid w:val="008E6FC7"/>
    <w:rsid w:val="008F33F2"/>
    <w:rsid w:val="0090725E"/>
    <w:rsid w:val="0091297E"/>
    <w:rsid w:val="00922621"/>
    <w:rsid w:val="00923712"/>
    <w:rsid w:val="00925BF5"/>
    <w:rsid w:val="00927D0E"/>
    <w:rsid w:val="0093566A"/>
    <w:rsid w:val="00935ED0"/>
    <w:rsid w:val="00937937"/>
    <w:rsid w:val="00954745"/>
    <w:rsid w:val="0096010B"/>
    <w:rsid w:val="0097422D"/>
    <w:rsid w:val="00977F7B"/>
    <w:rsid w:val="0098206C"/>
    <w:rsid w:val="00983089"/>
    <w:rsid w:val="00986B61"/>
    <w:rsid w:val="00987716"/>
    <w:rsid w:val="009A2FED"/>
    <w:rsid w:val="009A4CF4"/>
    <w:rsid w:val="009B05BC"/>
    <w:rsid w:val="009B2F34"/>
    <w:rsid w:val="009B4118"/>
    <w:rsid w:val="009C6A81"/>
    <w:rsid w:val="009D38C7"/>
    <w:rsid w:val="009D53ED"/>
    <w:rsid w:val="009D774B"/>
    <w:rsid w:val="009E3AE0"/>
    <w:rsid w:val="009F1DFE"/>
    <w:rsid w:val="009F4638"/>
    <w:rsid w:val="009F5E4C"/>
    <w:rsid w:val="009F6428"/>
    <w:rsid w:val="00A02643"/>
    <w:rsid w:val="00A04C90"/>
    <w:rsid w:val="00A0527D"/>
    <w:rsid w:val="00A2571F"/>
    <w:rsid w:val="00A26CB4"/>
    <w:rsid w:val="00A31439"/>
    <w:rsid w:val="00A31875"/>
    <w:rsid w:val="00A36920"/>
    <w:rsid w:val="00A50CEA"/>
    <w:rsid w:val="00A51D26"/>
    <w:rsid w:val="00A64C51"/>
    <w:rsid w:val="00A71488"/>
    <w:rsid w:val="00A722D5"/>
    <w:rsid w:val="00A7315D"/>
    <w:rsid w:val="00A75A65"/>
    <w:rsid w:val="00A811C4"/>
    <w:rsid w:val="00A86E7A"/>
    <w:rsid w:val="00A9038E"/>
    <w:rsid w:val="00A915B8"/>
    <w:rsid w:val="00A92BA1"/>
    <w:rsid w:val="00AA0EEE"/>
    <w:rsid w:val="00AA110A"/>
    <w:rsid w:val="00AC07AA"/>
    <w:rsid w:val="00AE0EF0"/>
    <w:rsid w:val="00AE4CBD"/>
    <w:rsid w:val="00AE6454"/>
    <w:rsid w:val="00AF63F9"/>
    <w:rsid w:val="00B2428F"/>
    <w:rsid w:val="00B246AF"/>
    <w:rsid w:val="00B24DBD"/>
    <w:rsid w:val="00B264BD"/>
    <w:rsid w:val="00B30280"/>
    <w:rsid w:val="00B31582"/>
    <w:rsid w:val="00B3381A"/>
    <w:rsid w:val="00B33AE0"/>
    <w:rsid w:val="00B459F2"/>
    <w:rsid w:val="00B47DE7"/>
    <w:rsid w:val="00B5411F"/>
    <w:rsid w:val="00B65548"/>
    <w:rsid w:val="00B674BB"/>
    <w:rsid w:val="00B720C8"/>
    <w:rsid w:val="00B74A81"/>
    <w:rsid w:val="00B80C6D"/>
    <w:rsid w:val="00B90004"/>
    <w:rsid w:val="00B90056"/>
    <w:rsid w:val="00B90CCE"/>
    <w:rsid w:val="00B91E0E"/>
    <w:rsid w:val="00B94BFA"/>
    <w:rsid w:val="00B97595"/>
    <w:rsid w:val="00BA0348"/>
    <w:rsid w:val="00BA2C48"/>
    <w:rsid w:val="00BA7D20"/>
    <w:rsid w:val="00BB3710"/>
    <w:rsid w:val="00BC5BDC"/>
    <w:rsid w:val="00BF0606"/>
    <w:rsid w:val="00BF0990"/>
    <w:rsid w:val="00BF1EB4"/>
    <w:rsid w:val="00BF5EA9"/>
    <w:rsid w:val="00BF6446"/>
    <w:rsid w:val="00C00119"/>
    <w:rsid w:val="00C023E6"/>
    <w:rsid w:val="00C054DE"/>
    <w:rsid w:val="00C15678"/>
    <w:rsid w:val="00C15AB8"/>
    <w:rsid w:val="00C20441"/>
    <w:rsid w:val="00C27825"/>
    <w:rsid w:val="00C27D51"/>
    <w:rsid w:val="00C30949"/>
    <w:rsid w:val="00C367FB"/>
    <w:rsid w:val="00C42020"/>
    <w:rsid w:val="00C4643D"/>
    <w:rsid w:val="00C541AF"/>
    <w:rsid w:val="00C544D0"/>
    <w:rsid w:val="00C57B0A"/>
    <w:rsid w:val="00C60B11"/>
    <w:rsid w:val="00C60B62"/>
    <w:rsid w:val="00C62517"/>
    <w:rsid w:val="00C626D4"/>
    <w:rsid w:val="00C6638F"/>
    <w:rsid w:val="00C7489A"/>
    <w:rsid w:val="00C7556F"/>
    <w:rsid w:val="00C908B9"/>
    <w:rsid w:val="00C90A2E"/>
    <w:rsid w:val="00C96B5E"/>
    <w:rsid w:val="00CC1921"/>
    <w:rsid w:val="00CC73D7"/>
    <w:rsid w:val="00CD2DFE"/>
    <w:rsid w:val="00CD475D"/>
    <w:rsid w:val="00CE5527"/>
    <w:rsid w:val="00CF15A9"/>
    <w:rsid w:val="00CF4C5A"/>
    <w:rsid w:val="00D02ABD"/>
    <w:rsid w:val="00D0364E"/>
    <w:rsid w:val="00D048B1"/>
    <w:rsid w:val="00D11418"/>
    <w:rsid w:val="00D15915"/>
    <w:rsid w:val="00D2013F"/>
    <w:rsid w:val="00D2350E"/>
    <w:rsid w:val="00D25194"/>
    <w:rsid w:val="00D25448"/>
    <w:rsid w:val="00D26EEB"/>
    <w:rsid w:val="00D327DE"/>
    <w:rsid w:val="00D40262"/>
    <w:rsid w:val="00D42C1A"/>
    <w:rsid w:val="00D4601A"/>
    <w:rsid w:val="00D46DCF"/>
    <w:rsid w:val="00D476EA"/>
    <w:rsid w:val="00D66AF1"/>
    <w:rsid w:val="00D72C55"/>
    <w:rsid w:val="00D73273"/>
    <w:rsid w:val="00D76CB7"/>
    <w:rsid w:val="00D84355"/>
    <w:rsid w:val="00D8563B"/>
    <w:rsid w:val="00D904B1"/>
    <w:rsid w:val="00DA6399"/>
    <w:rsid w:val="00DB21D2"/>
    <w:rsid w:val="00DB4AC7"/>
    <w:rsid w:val="00DC213E"/>
    <w:rsid w:val="00DC3C67"/>
    <w:rsid w:val="00DC6820"/>
    <w:rsid w:val="00DC7963"/>
    <w:rsid w:val="00DD12C2"/>
    <w:rsid w:val="00DD602C"/>
    <w:rsid w:val="00DD7F4D"/>
    <w:rsid w:val="00DE30D5"/>
    <w:rsid w:val="00DE6AF2"/>
    <w:rsid w:val="00DF1E3C"/>
    <w:rsid w:val="00DF5C07"/>
    <w:rsid w:val="00E050A6"/>
    <w:rsid w:val="00E07BDC"/>
    <w:rsid w:val="00E1714A"/>
    <w:rsid w:val="00E25529"/>
    <w:rsid w:val="00E311FB"/>
    <w:rsid w:val="00E3231E"/>
    <w:rsid w:val="00E32CD7"/>
    <w:rsid w:val="00E36037"/>
    <w:rsid w:val="00E4620C"/>
    <w:rsid w:val="00E57919"/>
    <w:rsid w:val="00E6353E"/>
    <w:rsid w:val="00E66425"/>
    <w:rsid w:val="00E67BA4"/>
    <w:rsid w:val="00E84B01"/>
    <w:rsid w:val="00E86DF5"/>
    <w:rsid w:val="00E87EE0"/>
    <w:rsid w:val="00EA0556"/>
    <w:rsid w:val="00EA1D9A"/>
    <w:rsid w:val="00EA41AD"/>
    <w:rsid w:val="00EA68C9"/>
    <w:rsid w:val="00EB1110"/>
    <w:rsid w:val="00EB749D"/>
    <w:rsid w:val="00EC0D10"/>
    <w:rsid w:val="00ED742A"/>
    <w:rsid w:val="00EE0551"/>
    <w:rsid w:val="00EE0830"/>
    <w:rsid w:val="00EF3B56"/>
    <w:rsid w:val="00EF49CE"/>
    <w:rsid w:val="00EF733F"/>
    <w:rsid w:val="00F130F7"/>
    <w:rsid w:val="00F24358"/>
    <w:rsid w:val="00F349F0"/>
    <w:rsid w:val="00F46BA8"/>
    <w:rsid w:val="00F47C15"/>
    <w:rsid w:val="00F54B0A"/>
    <w:rsid w:val="00F5692C"/>
    <w:rsid w:val="00F56B96"/>
    <w:rsid w:val="00F663F8"/>
    <w:rsid w:val="00F70ACB"/>
    <w:rsid w:val="00F7594C"/>
    <w:rsid w:val="00F84ED6"/>
    <w:rsid w:val="00F85635"/>
    <w:rsid w:val="00F876C8"/>
    <w:rsid w:val="00F93DEF"/>
    <w:rsid w:val="00F967EB"/>
    <w:rsid w:val="00FC1055"/>
    <w:rsid w:val="00FD26F0"/>
    <w:rsid w:val="00FD2AF1"/>
    <w:rsid w:val="00FE095C"/>
    <w:rsid w:val="00FE7A74"/>
    <w:rsid w:val="00FF3CEC"/>
    <w:rsid w:val="00FF3DCB"/>
    <w:rsid w:val="00FF48DA"/>
    <w:rsid w:val="00FF6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448F8E"/>
  <w15:docId w15:val="{FE52A953-6475-4597-9303-61581D7C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B56"/>
    <w:rPr>
      <w:rFonts w:ascii="Arial" w:eastAsia="SimSun" w:hAnsi="Arial" w:cs="Times New Roman"/>
      <w:szCs w:val="24"/>
      <w:lang w:eastAsia="zh-CN"/>
    </w:rPr>
  </w:style>
  <w:style w:type="paragraph" w:styleId="Heading7">
    <w:name w:val="heading 7"/>
    <w:basedOn w:val="Normal"/>
    <w:next w:val="Normal"/>
    <w:link w:val="Heading7Char"/>
    <w:uiPriority w:val="9"/>
    <w:unhideWhenUsed/>
    <w:qFormat/>
    <w:rsid w:val="00EF3B56"/>
    <w:pPr>
      <w:spacing w:before="240" w:after="60"/>
      <w:outlineLvl w:val="6"/>
    </w:pPr>
    <w:rPr>
      <w:rFonts w:ascii="Calibri" w:eastAsia="Times New Roman"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sid w:val="00EF3B56"/>
    <w:rPr>
      <w:rFonts w:ascii="Calibri" w:eastAsia="Times New Roman" w:hAnsi="Calibri" w:cs="Times New Roman"/>
      <w:sz w:val="24"/>
      <w:szCs w:val="24"/>
      <w:lang w:eastAsia="zh-CN"/>
    </w:rPr>
  </w:style>
  <w:style w:type="table" w:styleId="TableGrid">
    <w:name w:val="Table Grid"/>
    <w:basedOn w:val="TableNormal"/>
    <w:uiPriority w:val="39"/>
    <w:rsid w:val="00EF3B56"/>
    <w:rPr>
      <w:rFonts w:ascii="Arial" w:eastAsia="Calibri"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F3B56"/>
    <w:pPr>
      <w:spacing w:before="120" w:after="120"/>
      <w:ind w:left="720"/>
      <w:jc w:val="both"/>
    </w:pPr>
    <w:rPr>
      <w:rFonts w:eastAsia="Calibri"/>
      <w:sz w:val="20"/>
      <w:szCs w:val="22"/>
      <w:lang w:eastAsia="en-US"/>
    </w:rPr>
  </w:style>
  <w:style w:type="paragraph" w:styleId="Header">
    <w:name w:val="header"/>
    <w:basedOn w:val="Normal"/>
    <w:link w:val="HeaderChar"/>
    <w:uiPriority w:val="99"/>
    <w:unhideWhenUsed/>
    <w:rsid w:val="00EF3B56"/>
    <w:pPr>
      <w:tabs>
        <w:tab w:val="center" w:pos="4680"/>
        <w:tab w:val="right" w:pos="9360"/>
      </w:tabs>
    </w:pPr>
    <w:rPr>
      <w:sz w:val="20"/>
    </w:rPr>
  </w:style>
  <w:style w:type="character" w:customStyle="1" w:styleId="HeaderChar">
    <w:name w:val="Header Char"/>
    <w:basedOn w:val="DefaultParagraphFont"/>
    <w:link w:val="Header"/>
    <w:uiPriority w:val="99"/>
    <w:rsid w:val="00EF3B56"/>
    <w:rPr>
      <w:rFonts w:ascii="Arial" w:eastAsia="SimSun" w:hAnsi="Arial" w:cs="Times New Roman"/>
      <w:sz w:val="20"/>
      <w:szCs w:val="24"/>
      <w:lang w:eastAsia="zh-CN"/>
    </w:rPr>
  </w:style>
  <w:style w:type="paragraph" w:styleId="Footer">
    <w:name w:val="footer"/>
    <w:basedOn w:val="Normal"/>
    <w:link w:val="FooterChar"/>
    <w:unhideWhenUsed/>
    <w:rsid w:val="00EF3B56"/>
    <w:pPr>
      <w:tabs>
        <w:tab w:val="center" w:pos="4680"/>
        <w:tab w:val="right" w:pos="9360"/>
      </w:tabs>
    </w:pPr>
    <w:rPr>
      <w:sz w:val="20"/>
    </w:rPr>
  </w:style>
  <w:style w:type="character" w:customStyle="1" w:styleId="FooterChar">
    <w:name w:val="Footer Char"/>
    <w:basedOn w:val="DefaultParagraphFont"/>
    <w:link w:val="Footer"/>
    <w:rsid w:val="00EF3B56"/>
    <w:rPr>
      <w:rFonts w:ascii="Arial" w:eastAsia="SimSun" w:hAnsi="Arial" w:cs="Times New Roman"/>
      <w:sz w:val="20"/>
      <w:szCs w:val="24"/>
      <w:lang w:eastAsia="zh-CN"/>
    </w:rPr>
  </w:style>
  <w:style w:type="character" w:styleId="CommentReference">
    <w:name w:val="annotation reference"/>
    <w:uiPriority w:val="99"/>
    <w:semiHidden/>
    <w:unhideWhenUsed/>
    <w:rsid w:val="00EF3B56"/>
    <w:rPr>
      <w:sz w:val="16"/>
      <w:szCs w:val="16"/>
    </w:rPr>
  </w:style>
  <w:style w:type="paragraph" w:styleId="CommentText">
    <w:name w:val="annotation text"/>
    <w:basedOn w:val="Normal"/>
    <w:link w:val="CommentTextChar"/>
    <w:uiPriority w:val="99"/>
    <w:semiHidden/>
    <w:unhideWhenUsed/>
    <w:rsid w:val="00EF3B56"/>
    <w:rPr>
      <w:sz w:val="20"/>
      <w:szCs w:val="20"/>
    </w:rPr>
  </w:style>
  <w:style w:type="character" w:customStyle="1" w:styleId="CommentTextChar">
    <w:name w:val="Comment Text Char"/>
    <w:basedOn w:val="DefaultParagraphFont"/>
    <w:link w:val="CommentText"/>
    <w:uiPriority w:val="99"/>
    <w:semiHidden/>
    <w:rsid w:val="00EF3B56"/>
    <w:rPr>
      <w:rFonts w:ascii="Arial" w:eastAsia="SimSun" w:hAnsi="Arial" w:cs="Times New Roman"/>
      <w:sz w:val="20"/>
      <w:szCs w:val="20"/>
      <w:lang w:eastAsia="zh-CN"/>
    </w:rPr>
  </w:style>
  <w:style w:type="paragraph" w:customStyle="1" w:styleId="Style1">
    <w:name w:val="Style1"/>
    <w:basedOn w:val="Normal"/>
    <w:rsid w:val="00EF3B56"/>
    <w:pPr>
      <w:spacing w:line="264" w:lineRule="auto"/>
      <w:jc w:val="both"/>
    </w:pPr>
    <w:rPr>
      <w:rFonts w:eastAsia="Times New Roman"/>
      <w:sz w:val="20"/>
      <w:szCs w:val="20"/>
      <w:lang w:eastAsia="en-US"/>
    </w:rPr>
  </w:style>
  <w:style w:type="character" w:customStyle="1" w:styleId="ListParagraphChar">
    <w:name w:val="List Paragraph Char"/>
    <w:link w:val="ListParagraph"/>
    <w:uiPriority w:val="34"/>
    <w:rsid w:val="00EF3B56"/>
    <w:rPr>
      <w:rFonts w:ascii="Arial" w:eastAsia="Calibri" w:hAnsi="Arial" w:cs="Times New Roman"/>
      <w:sz w:val="20"/>
    </w:rPr>
  </w:style>
  <w:style w:type="paragraph" w:styleId="BalloonText">
    <w:name w:val="Balloon Text"/>
    <w:basedOn w:val="Normal"/>
    <w:link w:val="BalloonTextChar"/>
    <w:uiPriority w:val="99"/>
    <w:semiHidden/>
    <w:unhideWhenUsed/>
    <w:rsid w:val="00EF3B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B56"/>
    <w:rPr>
      <w:rFonts w:ascii="Segoe UI" w:eastAsia="SimSun" w:hAnsi="Segoe UI" w:cs="Segoe UI"/>
      <w:sz w:val="18"/>
      <w:szCs w:val="18"/>
      <w:lang w:eastAsia="zh-CN"/>
    </w:rPr>
  </w:style>
  <w:style w:type="paragraph" w:styleId="CommentSubject">
    <w:name w:val="annotation subject"/>
    <w:basedOn w:val="CommentText"/>
    <w:next w:val="CommentText"/>
    <w:link w:val="CommentSubjectChar"/>
    <w:uiPriority w:val="99"/>
    <w:semiHidden/>
    <w:unhideWhenUsed/>
    <w:rsid w:val="007D4A80"/>
    <w:rPr>
      <w:b/>
      <w:bCs/>
    </w:rPr>
  </w:style>
  <w:style w:type="character" w:customStyle="1" w:styleId="CommentSubjectChar">
    <w:name w:val="Comment Subject Char"/>
    <w:basedOn w:val="CommentTextChar"/>
    <w:link w:val="CommentSubject"/>
    <w:uiPriority w:val="99"/>
    <w:semiHidden/>
    <w:rsid w:val="007D4A80"/>
    <w:rPr>
      <w:rFonts w:ascii="Arial" w:eastAsia="SimSun" w:hAnsi="Arial" w:cs="Times New Roman"/>
      <w:b/>
      <w:bCs/>
      <w:sz w:val="20"/>
      <w:szCs w:val="20"/>
      <w:lang w:eastAsia="zh-CN"/>
    </w:rPr>
  </w:style>
  <w:style w:type="paragraph" w:styleId="Revision">
    <w:name w:val="Revision"/>
    <w:hidden/>
    <w:uiPriority w:val="99"/>
    <w:semiHidden/>
    <w:rsid w:val="007D4A80"/>
    <w:rPr>
      <w:rFonts w:ascii="Arial" w:eastAsia="SimSun" w:hAnsi="Arial" w:cs="Times New Roman"/>
      <w:szCs w:val="24"/>
      <w:lang w:eastAsia="zh-CN"/>
    </w:rPr>
  </w:style>
  <w:style w:type="paragraph" w:customStyle="1" w:styleId="Pa0">
    <w:name w:val="Pa0"/>
    <w:basedOn w:val="Normal"/>
    <w:next w:val="Normal"/>
    <w:uiPriority w:val="99"/>
    <w:rsid w:val="00DA6399"/>
    <w:pPr>
      <w:autoSpaceDE w:val="0"/>
      <w:autoSpaceDN w:val="0"/>
      <w:adjustRightInd w:val="0"/>
      <w:spacing w:line="191" w:lineRule="atLeast"/>
    </w:pPr>
    <w:rPr>
      <w:rFonts w:ascii="Verdana" w:eastAsiaTheme="minorHAnsi" w:hAnsi="Verdana" w:cstheme="minorBidi"/>
      <w:sz w:val="24"/>
      <w:lang w:val="en-US" w:eastAsia="en-US"/>
    </w:rPr>
  </w:style>
  <w:style w:type="table" w:customStyle="1" w:styleId="TableGrid1">
    <w:name w:val="Table Grid1"/>
    <w:basedOn w:val="TableNormal"/>
    <w:next w:val="TableGrid"/>
    <w:uiPriority w:val="39"/>
    <w:rsid w:val="00DC3C67"/>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71BE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98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02793-7DB7-48D1-93E6-D0C84CCD3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4507</Words>
  <Characters>25695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Police Audit Strategy</vt:lpstr>
    </vt:vector>
  </TitlesOfParts>
  <Company/>
  <LinksUpToDate>false</LinksUpToDate>
  <CharactersWithSpaces>30142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Police Audit Strategy</dc:title>
  <dc:creator>TIAA</dc:creator>
  <cp:lastModifiedBy>YATES, Jennifer (C8507)</cp:lastModifiedBy>
  <cp:revision>2</cp:revision>
  <cp:lastPrinted>2018-08-16T10:18:00Z</cp:lastPrinted>
  <dcterms:created xsi:type="dcterms:W3CDTF">2020-02-26T14:36:00Z</dcterms:created>
  <dcterms:modified xsi:type="dcterms:W3CDTF">2020-02-26T14:36:00Z</dcterms:modified>
</cp:coreProperties>
</file>