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ink/ink1.xml" ContentType="application/inkml+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E34DE9" w:rsidRDefault="00E34DE9" w:rsidP="0012515D">
      <w:pPr>
        <w:pStyle w:val="Heading3"/>
        <w:tabs>
          <w:tab w:val="left" w:pos="0"/>
        </w:tabs>
        <w:ind w:right="1"/>
        <w:jc w:val="both"/>
        <w:rPr>
          <w:rFonts w:ascii="Tahoma" w:hAnsi="Tahoma" w:cs="Tahoma"/>
          <w:szCs w:val="24"/>
        </w:rPr>
      </w:pPr>
      <w:r w:rsidRPr="00E34DE9">
        <w:rPr>
          <w:rFonts w:ascii="Tahoma" w:hAnsi="Tahoma" w:cs="Tahoma"/>
          <w:noProof/>
          <w:szCs w:val="24"/>
          <w:lang w:eastAsia="en-GB"/>
        </w:rPr>
        <mc:AlternateContent>
          <mc:Choice Requires="wps">
            <w:drawing>
              <wp:anchor distT="45720" distB="45720" distL="114300" distR="114300" simplePos="0" relativeHeight="251694080" behindDoc="0" locked="0" layoutInCell="1" allowOverlap="1">
                <wp:simplePos x="0" y="0"/>
                <wp:positionH relativeFrom="column">
                  <wp:posOffset>5928360</wp:posOffset>
                </wp:positionH>
                <wp:positionV relativeFrom="page">
                  <wp:posOffset>190500</wp:posOffset>
                </wp:positionV>
                <wp:extent cx="793750" cy="342900"/>
                <wp:effectExtent l="0" t="0" r="635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0" cy="342900"/>
                        </a:xfrm>
                        <a:prstGeom prst="rect">
                          <a:avLst/>
                        </a:prstGeom>
                        <a:solidFill>
                          <a:srgbClr val="FFFFFF"/>
                        </a:solidFill>
                        <a:ln w="9525">
                          <a:noFill/>
                          <a:miter lim="800000"/>
                          <a:headEnd/>
                          <a:tailEnd/>
                        </a:ln>
                      </wps:spPr>
                      <wps:txbx>
                        <w:txbxContent>
                          <w:p w:rsidR="00E34DE9" w:rsidRPr="00E34DE9" w:rsidRDefault="00E34DE9">
                            <w:pPr>
                              <w:rPr>
                                <w:rFonts w:ascii="Arial" w:hAnsi="Arial" w:cs="Arial"/>
                                <w:sz w:val="32"/>
                                <w:szCs w:val="32"/>
                              </w:rPr>
                            </w:pPr>
                            <w:r w:rsidRPr="00E34DE9">
                              <w:rPr>
                                <w:rFonts w:ascii="Arial" w:hAnsi="Arial" w:cs="Arial"/>
                                <w:sz w:val="32"/>
                                <w:szCs w:val="32"/>
                              </w:rPr>
                              <w:t xml:space="preserve">Item 5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66.8pt;margin-top:15pt;width:62.5pt;height:27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jiQIAIAABwEAAAOAAAAZHJzL2Uyb0RvYy54bWysU21v2yAQ/j5p/wHxfbHjJktjxam6dJkm&#10;dS9Sux+AMY7RgGNAYme/fgdO06j7VpUPiOOOh+eeu1vdDFqRg3BegqnodJJTIgyHRppdRX89bj9c&#10;U+IDMw1TYERFj8LTm/X7d6velqKADlQjHEEQ48veVrQLwZZZ5nknNPMTsMKgswWnWUDT7bLGsR7R&#10;tcqKPP+Y9eAa64AL7/H2bnTSdcJvW8HDj7b1IhBVUeQW0u7SXsc9W69YuXPMdpKfaLBXsNBMGvz0&#10;DHXHAiN7J/+D0pI78NCGCQedQdtKLlIOmM00f5HNQ8esSLmgON6eZfJvB8u/H346IpuKFtMFJYZp&#10;LNKjGAL5BAMpoj699SWGPVgMDANeY51Trt7eA//tiYFNx8xO3DoHfSdYg/ym8WV28XTE8RGk7r9B&#10;g9+wfYAENLROR/FQDoLoWKfjuTaRCsfLxfJqMUcPR9fVrFjmqXYZK58eW+fDFwGaxENFHZY+gbPD&#10;vQ+RDCufQuJfHpRstlKpZLhdvVGOHBi2yTatxP9FmDKkr+hyXswTsoH4PnWQlgHbWEld0es8rrGx&#10;ohifTZNCApNqPCMTZU7qREFGacJQDxgYJauhOaJODsZ2xfHCQwfuLyU9tmpF/Z89c4IS9dWg1svp&#10;bBZ7Oxmz+aJAw1166ksPMxyhKhooGY+bkOYh6mDgFmvSyqTXM5MTV2zBJONpXGKPX9op6nmo1/8A&#10;AAD//wMAUEsDBBQABgAIAAAAIQCsMQ0W3gAAAAoBAAAPAAAAZHJzL2Rvd25yZXYueG1sTI/BTsMw&#10;DIbvSLxDZCQuiCXQretK3QmQQFw39gBpk7UVjVM12dq9Pd4JjrY//f7+Yju7XpztGDpPCE8LBcJS&#10;7U1HDcLh++MxAxGiJqN7TxbhYgNsy9ubQufGT7Sz531sBIdQyDVCG+OQSxnq1jodFn6wxLejH52O&#10;PI6NNKOeONz18lmpVDrdEX9o9WDfW1v/7E8O4fg1Paw2U/UZD+vdMn3T3bryF8T7u/n1BUS0c/yD&#10;4arP6lCyU+VPZILoETZJkjKKkCjudAXUKuNNhZAtFciykP8rlL8AAAD//wMAUEsBAi0AFAAGAAgA&#10;AAAhALaDOJL+AAAA4QEAABMAAAAAAAAAAAAAAAAAAAAAAFtDb250ZW50X1R5cGVzXS54bWxQSwEC&#10;LQAUAAYACAAAACEAOP0h/9YAAACUAQAACwAAAAAAAAAAAAAAAAAvAQAAX3JlbHMvLnJlbHNQSwEC&#10;LQAUAAYACAAAACEAaQY4kCACAAAcBAAADgAAAAAAAAAAAAAAAAAuAgAAZHJzL2Uyb0RvYy54bWxQ&#10;SwECLQAUAAYACAAAACEArDENFt4AAAAKAQAADwAAAAAAAAAAAAAAAAB6BAAAZHJzL2Rvd25yZXYu&#10;eG1sUEsFBgAAAAAEAAQA8wAAAIUFAAAAAA==&#10;" stroked="f">
                <v:textbox>
                  <w:txbxContent>
                    <w:p w:rsidR="00E34DE9" w:rsidRPr="00E34DE9" w:rsidRDefault="00E34DE9">
                      <w:pPr>
                        <w:rPr>
                          <w:rFonts w:ascii="Arial" w:hAnsi="Arial" w:cs="Arial"/>
                          <w:sz w:val="32"/>
                          <w:szCs w:val="32"/>
                        </w:rPr>
                      </w:pPr>
                      <w:bookmarkStart w:id="1" w:name="_GoBack"/>
                      <w:r w:rsidRPr="00E34DE9">
                        <w:rPr>
                          <w:rFonts w:ascii="Arial" w:hAnsi="Arial" w:cs="Arial"/>
                          <w:sz w:val="32"/>
                          <w:szCs w:val="32"/>
                        </w:rPr>
                        <w:t xml:space="preserve">Item 5 </w:t>
                      </w:r>
                      <w:bookmarkEnd w:id="1"/>
                    </w:p>
                  </w:txbxContent>
                </v:textbox>
                <w10:wrap type="square" anchory="page"/>
              </v:shape>
            </w:pict>
          </mc:Fallback>
        </mc:AlternateContent>
      </w:r>
      <w:r>
        <w:rPr>
          <w:rFonts w:ascii="Tahoma" w:hAnsi="Tahoma" w:cs="Tahoma"/>
          <w:noProof/>
          <w:lang w:eastAsia="en-GB"/>
        </w:rPr>
        <w:drawing>
          <wp:anchor distT="0" distB="0" distL="114300" distR="114300" simplePos="0" relativeHeight="251692032" behindDoc="1" locked="0" layoutInCell="1" allowOverlap="1" wp14:anchorId="51268029" wp14:editId="4D0F9403">
            <wp:simplePos x="0" y="0"/>
            <wp:positionH relativeFrom="column">
              <wp:posOffset>-2540</wp:posOffset>
            </wp:positionH>
            <wp:positionV relativeFrom="page">
              <wp:posOffset>387350</wp:posOffset>
            </wp:positionV>
            <wp:extent cx="2571750" cy="1085850"/>
            <wp:effectExtent l="0" t="0" r="0" b="0"/>
            <wp:wrapTopAndBottom/>
            <wp:docPr id="1" name="Picture 1" descr="CP logo - landscape no p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 logo - landscape no pp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71750" cy="1085850"/>
                    </a:xfrm>
                    <a:prstGeom prst="rect">
                      <a:avLst/>
                    </a:prstGeom>
                    <a:noFill/>
                    <a:ln>
                      <a:noFill/>
                    </a:ln>
                  </pic:spPr>
                </pic:pic>
              </a:graphicData>
            </a:graphic>
          </wp:anchor>
        </w:drawing>
      </w:r>
    </w:p>
    <w:p w:rsidR="00833201" w:rsidRPr="002D35D5" w:rsidRDefault="00507209" w:rsidP="0012515D">
      <w:pPr>
        <w:pStyle w:val="Heading3"/>
        <w:tabs>
          <w:tab w:val="left" w:pos="0"/>
        </w:tabs>
        <w:ind w:right="1"/>
        <w:jc w:val="both"/>
        <w:rPr>
          <w:rFonts w:ascii="Tahoma" w:eastAsia="Arial Unicode MS" w:hAnsi="Tahoma" w:cs="Tahoma"/>
          <w:szCs w:val="24"/>
        </w:rPr>
      </w:pPr>
      <w:r w:rsidRPr="002D35D5">
        <w:rPr>
          <w:rFonts w:ascii="Tahoma" w:hAnsi="Tahoma" w:cs="Tahoma"/>
          <w:szCs w:val="24"/>
        </w:rPr>
        <w:t>Report of the Chief Constable</w:t>
      </w:r>
      <w:r w:rsidR="00E87ED4" w:rsidRPr="002D35D5">
        <w:rPr>
          <w:rFonts w:ascii="Tahoma" w:hAnsi="Tahoma" w:cs="Tahoma"/>
          <w:szCs w:val="24"/>
        </w:rPr>
        <w:t xml:space="preserve"> </w:t>
      </w:r>
      <w:r w:rsidRPr="002D35D5">
        <w:rPr>
          <w:rFonts w:ascii="Tahoma" w:hAnsi="Tahoma" w:cs="Tahoma"/>
          <w:szCs w:val="24"/>
        </w:rPr>
        <w:t>to the Chair and Members</w:t>
      </w:r>
      <w:r w:rsidR="00B55CCF" w:rsidRPr="002D35D5">
        <w:rPr>
          <w:rFonts w:ascii="Tahoma" w:eastAsia="Arial Unicode MS" w:hAnsi="Tahoma" w:cs="Tahoma"/>
          <w:szCs w:val="24"/>
        </w:rPr>
        <w:t xml:space="preserve"> </w:t>
      </w:r>
      <w:r w:rsidRPr="002D35D5">
        <w:rPr>
          <w:rFonts w:ascii="Tahoma" w:hAnsi="Tahoma" w:cs="Tahoma"/>
          <w:szCs w:val="24"/>
        </w:rPr>
        <w:t xml:space="preserve">of the </w:t>
      </w:r>
      <w:r w:rsidR="004A6AE1" w:rsidRPr="002D35D5">
        <w:rPr>
          <w:rFonts w:ascii="Tahoma" w:hAnsi="Tahoma" w:cs="Tahoma"/>
          <w:szCs w:val="24"/>
        </w:rPr>
        <w:t xml:space="preserve">Audit </w:t>
      </w:r>
      <w:r w:rsidR="00535E44" w:rsidRPr="002D35D5">
        <w:rPr>
          <w:rFonts w:ascii="Tahoma" w:hAnsi="Tahoma" w:cs="Tahoma"/>
          <w:szCs w:val="24"/>
        </w:rPr>
        <w:t>Committee</w:t>
      </w:r>
    </w:p>
    <w:p w:rsidR="00507209" w:rsidRPr="002D35D5" w:rsidRDefault="00BB1680" w:rsidP="0012515D">
      <w:pPr>
        <w:tabs>
          <w:tab w:val="left" w:pos="993"/>
        </w:tabs>
        <w:ind w:right="880"/>
        <w:jc w:val="both"/>
        <w:rPr>
          <w:rFonts w:ascii="Tahoma" w:hAnsi="Tahoma" w:cs="Tahoma"/>
          <w:b/>
          <w:bCs/>
          <w:sz w:val="24"/>
          <w:szCs w:val="24"/>
        </w:rPr>
      </w:pPr>
      <w:r>
        <w:rPr>
          <w:rFonts w:ascii="Tahoma" w:hAnsi="Tahoma" w:cs="Tahoma"/>
          <w:b/>
          <w:bCs/>
          <w:sz w:val="24"/>
          <w:szCs w:val="24"/>
        </w:rPr>
        <w:t>2</w:t>
      </w:r>
      <w:r w:rsidR="003E4668">
        <w:rPr>
          <w:rFonts w:ascii="Tahoma" w:hAnsi="Tahoma" w:cs="Tahoma"/>
          <w:b/>
          <w:bCs/>
          <w:sz w:val="24"/>
          <w:szCs w:val="24"/>
        </w:rPr>
        <w:t>7</w:t>
      </w:r>
      <w:r w:rsidR="001360D7" w:rsidRPr="001360D7">
        <w:rPr>
          <w:rFonts w:ascii="Tahoma" w:hAnsi="Tahoma" w:cs="Tahoma"/>
          <w:b/>
          <w:bCs/>
          <w:sz w:val="24"/>
          <w:szCs w:val="24"/>
          <w:vertAlign w:val="superscript"/>
        </w:rPr>
        <w:t>th</w:t>
      </w:r>
      <w:r w:rsidR="001360D7">
        <w:rPr>
          <w:rFonts w:ascii="Tahoma" w:hAnsi="Tahoma" w:cs="Tahoma"/>
          <w:b/>
          <w:bCs/>
          <w:sz w:val="24"/>
          <w:szCs w:val="24"/>
        </w:rPr>
        <w:t xml:space="preserve"> </w:t>
      </w:r>
      <w:r w:rsidR="003E4668">
        <w:rPr>
          <w:rFonts w:ascii="Tahoma" w:hAnsi="Tahoma" w:cs="Tahoma"/>
          <w:b/>
          <w:bCs/>
          <w:sz w:val="24"/>
          <w:szCs w:val="24"/>
        </w:rPr>
        <w:t>February</w:t>
      </w:r>
      <w:r w:rsidR="00831597" w:rsidRPr="002D35D5">
        <w:rPr>
          <w:rFonts w:ascii="Tahoma" w:hAnsi="Tahoma" w:cs="Tahoma"/>
          <w:b/>
          <w:bCs/>
          <w:sz w:val="24"/>
          <w:szCs w:val="24"/>
        </w:rPr>
        <w:t xml:space="preserve"> 20</w:t>
      </w:r>
      <w:r w:rsidR="003E4668">
        <w:rPr>
          <w:rFonts w:ascii="Tahoma" w:hAnsi="Tahoma" w:cs="Tahoma"/>
          <w:b/>
          <w:bCs/>
          <w:sz w:val="24"/>
          <w:szCs w:val="24"/>
        </w:rPr>
        <w:t>20</w:t>
      </w:r>
    </w:p>
    <w:p w:rsidR="00810696" w:rsidRPr="002D35D5" w:rsidRDefault="00810696" w:rsidP="0012515D">
      <w:pPr>
        <w:tabs>
          <w:tab w:val="left" w:pos="993"/>
        </w:tabs>
        <w:ind w:right="880"/>
        <w:jc w:val="both"/>
        <w:rPr>
          <w:rFonts w:ascii="Tahoma" w:hAnsi="Tahoma" w:cs="Tahoma"/>
          <w:b/>
          <w:bCs/>
          <w:sz w:val="24"/>
          <w:szCs w:val="24"/>
        </w:rPr>
      </w:pPr>
    </w:p>
    <w:p w:rsidR="00507209" w:rsidRPr="002D35D5" w:rsidRDefault="0028080E" w:rsidP="0012515D">
      <w:pPr>
        <w:ind w:right="1"/>
        <w:jc w:val="both"/>
        <w:rPr>
          <w:rFonts w:ascii="Tahoma" w:hAnsi="Tahoma" w:cs="Tahoma"/>
          <w:b/>
          <w:sz w:val="24"/>
          <w:szCs w:val="24"/>
        </w:rPr>
      </w:pPr>
      <w:r w:rsidRPr="002D35D5">
        <w:rPr>
          <w:rFonts w:ascii="Tahoma" w:hAnsi="Tahoma" w:cs="Tahoma"/>
          <w:b/>
          <w:sz w:val="24"/>
          <w:szCs w:val="24"/>
        </w:rPr>
        <w:t xml:space="preserve">Executive </w:t>
      </w:r>
      <w:r w:rsidR="00B21C5D" w:rsidRPr="002D35D5">
        <w:rPr>
          <w:rFonts w:ascii="Tahoma" w:hAnsi="Tahoma" w:cs="Tahoma"/>
          <w:b/>
          <w:sz w:val="24"/>
          <w:szCs w:val="24"/>
        </w:rPr>
        <w:t xml:space="preserve">&amp; Presenting </w:t>
      </w:r>
      <w:r w:rsidRPr="002D35D5">
        <w:rPr>
          <w:rFonts w:ascii="Tahoma" w:hAnsi="Tahoma" w:cs="Tahoma"/>
          <w:b/>
          <w:sz w:val="24"/>
          <w:szCs w:val="24"/>
        </w:rPr>
        <w:t>Officer: Mr</w:t>
      </w:r>
      <w:r w:rsidR="002B2B76">
        <w:rPr>
          <w:rFonts w:ascii="Tahoma" w:hAnsi="Tahoma" w:cs="Tahoma"/>
          <w:b/>
          <w:sz w:val="24"/>
          <w:szCs w:val="24"/>
        </w:rPr>
        <w:t>s</w:t>
      </w:r>
      <w:r w:rsidRPr="002D35D5">
        <w:rPr>
          <w:rFonts w:ascii="Tahoma" w:hAnsi="Tahoma" w:cs="Tahoma"/>
          <w:b/>
          <w:sz w:val="24"/>
          <w:szCs w:val="24"/>
        </w:rPr>
        <w:t xml:space="preserve"> </w:t>
      </w:r>
      <w:r w:rsidR="002B2B76">
        <w:rPr>
          <w:rFonts w:ascii="Tahoma" w:hAnsi="Tahoma" w:cs="Tahoma"/>
          <w:b/>
          <w:sz w:val="24"/>
          <w:szCs w:val="24"/>
        </w:rPr>
        <w:t>Joanne Gleeson</w:t>
      </w:r>
      <w:r w:rsidR="00831597" w:rsidRPr="002D35D5">
        <w:rPr>
          <w:rFonts w:ascii="Tahoma" w:hAnsi="Tahoma" w:cs="Tahoma"/>
          <w:b/>
          <w:sz w:val="24"/>
          <w:szCs w:val="24"/>
        </w:rPr>
        <w:t>, Chief Finance Officer</w:t>
      </w:r>
    </w:p>
    <w:p w:rsidR="00507209" w:rsidRPr="002D35D5" w:rsidRDefault="00507209" w:rsidP="0012515D">
      <w:pPr>
        <w:ind w:right="880"/>
        <w:jc w:val="both"/>
        <w:rPr>
          <w:rFonts w:ascii="Tahoma" w:hAnsi="Tahoma" w:cs="Tahoma"/>
          <w:b/>
          <w:sz w:val="24"/>
          <w:szCs w:val="24"/>
        </w:rPr>
      </w:pPr>
    </w:p>
    <w:p w:rsidR="00507209" w:rsidRPr="002D35D5" w:rsidRDefault="00507209" w:rsidP="0012515D">
      <w:pPr>
        <w:ind w:right="880"/>
        <w:jc w:val="both"/>
        <w:rPr>
          <w:rFonts w:ascii="Tahoma" w:hAnsi="Tahoma" w:cs="Tahoma"/>
          <w:b/>
          <w:sz w:val="24"/>
          <w:szCs w:val="24"/>
        </w:rPr>
      </w:pPr>
      <w:r w:rsidRPr="002D35D5">
        <w:rPr>
          <w:rFonts w:ascii="Tahoma" w:hAnsi="Tahoma" w:cs="Tahoma"/>
          <w:b/>
          <w:sz w:val="24"/>
          <w:szCs w:val="24"/>
        </w:rPr>
        <w:t xml:space="preserve">Status: For </w:t>
      </w:r>
      <w:r w:rsidR="00B21C5D" w:rsidRPr="002D35D5">
        <w:rPr>
          <w:rFonts w:ascii="Tahoma" w:hAnsi="Tahoma" w:cs="Tahoma"/>
          <w:b/>
          <w:sz w:val="24"/>
          <w:szCs w:val="24"/>
        </w:rPr>
        <w:t>Information</w:t>
      </w:r>
    </w:p>
    <w:p w:rsidR="00EB0584" w:rsidRPr="002D35D5" w:rsidRDefault="00EB0584" w:rsidP="0012515D">
      <w:pPr>
        <w:jc w:val="both"/>
        <w:rPr>
          <w:rFonts w:ascii="Tahoma" w:hAnsi="Tahoma" w:cs="Tahoma"/>
          <w:sz w:val="24"/>
          <w:szCs w:val="24"/>
        </w:rPr>
      </w:pPr>
    </w:p>
    <w:p w:rsidR="00507209" w:rsidRPr="002D35D5" w:rsidRDefault="00B44F60" w:rsidP="0012515D">
      <w:pPr>
        <w:ind w:right="1"/>
        <w:jc w:val="both"/>
        <w:rPr>
          <w:rFonts w:ascii="Tahoma" w:hAnsi="Tahoma" w:cs="Tahoma"/>
          <w:b/>
          <w:bCs/>
          <w:sz w:val="28"/>
          <w:szCs w:val="28"/>
        </w:rPr>
      </w:pPr>
      <w:r w:rsidRPr="002D35D5">
        <w:rPr>
          <w:rFonts w:ascii="Tahoma" w:hAnsi="Tahoma" w:cs="Tahoma"/>
          <w:b/>
          <w:bCs/>
          <w:sz w:val="28"/>
          <w:szCs w:val="28"/>
        </w:rPr>
        <w:t xml:space="preserve">Contract </w:t>
      </w:r>
      <w:r w:rsidR="007B3FA0" w:rsidRPr="002D35D5">
        <w:rPr>
          <w:rFonts w:ascii="Tahoma" w:hAnsi="Tahoma" w:cs="Tahoma"/>
          <w:b/>
          <w:bCs/>
          <w:sz w:val="28"/>
          <w:szCs w:val="28"/>
        </w:rPr>
        <w:t>Standing Order</w:t>
      </w:r>
      <w:r w:rsidR="00B55CCF" w:rsidRPr="002D35D5">
        <w:rPr>
          <w:rFonts w:ascii="Tahoma" w:hAnsi="Tahoma" w:cs="Tahoma"/>
          <w:b/>
          <w:bCs/>
          <w:sz w:val="28"/>
          <w:szCs w:val="28"/>
        </w:rPr>
        <w:t xml:space="preserve"> </w:t>
      </w:r>
      <w:r w:rsidR="00BE112F">
        <w:rPr>
          <w:rFonts w:ascii="Tahoma" w:hAnsi="Tahoma" w:cs="Tahoma"/>
          <w:b/>
          <w:bCs/>
          <w:sz w:val="28"/>
          <w:szCs w:val="28"/>
        </w:rPr>
        <w:t>10</w:t>
      </w:r>
      <w:r w:rsidR="00560FBC" w:rsidRPr="002D35D5">
        <w:rPr>
          <w:rFonts w:ascii="Tahoma" w:hAnsi="Tahoma" w:cs="Tahoma"/>
          <w:b/>
          <w:bCs/>
          <w:sz w:val="28"/>
          <w:szCs w:val="28"/>
        </w:rPr>
        <w:t xml:space="preserve"> </w:t>
      </w:r>
      <w:r w:rsidR="0036192D" w:rsidRPr="002D35D5">
        <w:rPr>
          <w:rFonts w:ascii="Tahoma" w:hAnsi="Tahoma" w:cs="Tahoma"/>
          <w:b/>
          <w:bCs/>
          <w:sz w:val="28"/>
          <w:szCs w:val="28"/>
        </w:rPr>
        <w:t>–</w:t>
      </w:r>
      <w:r w:rsidR="00B21C5D" w:rsidRPr="002D35D5">
        <w:rPr>
          <w:rFonts w:ascii="Tahoma" w:hAnsi="Tahoma" w:cs="Tahoma"/>
          <w:b/>
          <w:bCs/>
          <w:sz w:val="28"/>
          <w:szCs w:val="28"/>
        </w:rPr>
        <w:t xml:space="preserve"> </w:t>
      </w:r>
      <w:r w:rsidR="0036192D" w:rsidRPr="002D35D5">
        <w:rPr>
          <w:rFonts w:ascii="Tahoma" w:hAnsi="Tahoma" w:cs="Tahoma"/>
          <w:b/>
          <w:bCs/>
          <w:sz w:val="28"/>
          <w:szCs w:val="28"/>
        </w:rPr>
        <w:t>Exceptional Situations</w:t>
      </w:r>
      <w:r w:rsidR="001C6032" w:rsidRPr="002D35D5">
        <w:rPr>
          <w:rFonts w:ascii="Tahoma" w:hAnsi="Tahoma" w:cs="Tahoma"/>
          <w:b/>
          <w:bCs/>
          <w:sz w:val="28"/>
          <w:szCs w:val="28"/>
        </w:rPr>
        <w:t xml:space="preserve"> </w:t>
      </w:r>
      <w:r w:rsidR="00BB1680">
        <w:rPr>
          <w:rFonts w:ascii="Tahoma" w:hAnsi="Tahoma" w:cs="Tahoma"/>
          <w:b/>
          <w:bCs/>
          <w:sz w:val="28"/>
          <w:szCs w:val="28"/>
        </w:rPr>
        <w:t>and Procurement</w:t>
      </w:r>
      <w:r w:rsidR="00B052AB">
        <w:rPr>
          <w:rFonts w:ascii="Tahoma" w:hAnsi="Tahoma" w:cs="Tahoma"/>
          <w:b/>
          <w:bCs/>
          <w:sz w:val="28"/>
          <w:szCs w:val="28"/>
        </w:rPr>
        <w:t xml:space="preserve"> Performance Report</w:t>
      </w:r>
    </w:p>
    <w:p w:rsidR="00474511" w:rsidRPr="002D35D5" w:rsidRDefault="00474511" w:rsidP="0012515D">
      <w:pPr>
        <w:ind w:right="880"/>
        <w:jc w:val="both"/>
        <w:rPr>
          <w:rFonts w:ascii="Tahoma" w:hAnsi="Tahoma" w:cs="Tahoma"/>
          <w:bCs/>
          <w:sz w:val="24"/>
          <w:szCs w:val="24"/>
        </w:rPr>
      </w:pPr>
    </w:p>
    <w:p w:rsidR="00474511" w:rsidRPr="002D35D5" w:rsidRDefault="00474511" w:rsidP="0012515D">
      <w:pPr>
        <w:ind w:right="880"/>
        <w:jc w:val="both"/>
        <w:rPr>
          <w:rFonts w:ascii="Tahoma" w:hAnsi="Tahoma" w:cs="Tahoma"/>
          <w:sz w:val="24"/>
          <w:szCs w:val="24"/>
        </w:rPr>
      </w:pPr>
    </w:p>
    <w:p w:rsidR="00507209" w:rsidRPr="002D35D5" w:rsidRDefault="00507209" w:rsidP="0012515D">
      <w:pPr>
        <w:pStyle w:val="BodyText"/>
        <w:tabs>
          <w:tab w:val="left" w:pos="709"/>
        </w:tabs>
        <w:jc w:val="both"/>
        <w:rPr>
          <w:rFonts w:ascii="Tahoma" w:hAnsi="Tahoma" w:cs="Tahoma"/>
          <w:b/>
          <w:bCs/>
          <w:szCs w:val="24"/>
        </w:rPr>
      </w:pPr>
      <w:r w:rsidRPr="002D35D5">
        <w:rPr>
          <w:rFonts w:ascii="Tahoma" w:hAnsi="Tahoma" w:cs="Tahoma"/>
          <w:b/>
          <w:bCs/>
          <w:szCs w:val="24"/>
        </w:rPr>
        <w:t>1</w:t>
      </w:r>
      <w:r w:rsidR="00B21C5D" w:rsidRPr="002D35D5">
        <w:rPr>
          <w:rFonts w:ascii="Tahoma" w:hAnsi="Tahoma" w:cs="Tahoma"/>
          <w:b/>
          <w:bCs/>
          <w:szCs w:val="24"/>
        </w:rPr>
        <w:t>.</w:t>
      </w:r>
      <w:r w:rsidRPr="002D35D5">
        <w:rPr>
          <w:rFonts w:ascii="Tahoma" w:hAnsi="Tahoma" w:cs="Tahoma"/>
          <w:b/>
          <w:bCs/>
          <w:szCs w:val="24"/>
        </w:rPr>
        <w:tab/>
        <w:t>Purpose</w:t>
      </w:r>
      <w:r w:rsidRPr="002D35D5">
        <w:rPr>
          <w:rFonts w:ascii="Tahoma" w:hAnsi="Tahoma" w:cs="Tahoma"/>
          <w:b/>
          <w:bCs/>
          <w:szCs w:val="24"/>
        </w:rPr>
        <w:br/>
      </w:r>
    </w:p>
    <w:p w:rsidR="00D941D0" w:rsidRPr="002D35D5" w:rsidRDefault="00D941D0" w:rsidP="0012515D">
      <w:pPr>
        <w:pStyle w:val="BodyTextIndent"/>
        <w:jc w:val="both"/>
        <w:rPr>
          <w:szCs w:val="24"/>
        </w:rPr>
      </w:pPr>
      <w:r w:rsidRPr="002D35D5">
        <w:rPr>
          <w:szCs w:val="24"/>
        </w:rPr>
        <w:t>1.1</w:t>
      </w:r>
      <w:r w:rsidRPr="002D35D5">
        <w:rPr>
          <w:szCs w:val="24"/>
        </w:rPr>
        <w:tab/>
      </w:r>
      <w:r w:rsidR="009C70F0" w:rsidRPr="002D35D5">
        <w:rPr>
          <w:szCs w:val="24"/>
        </w:rPr>
        <w:t>Contract standing orders were revised on 22</w:t>
      </w:r>
      <w:r w:rsidR="009C70F0" w:rsidRPr="002D35D5">
        <w:rPr>
          <w:szCs w:val="24"/>
          <w:vertAlign w:val="superscript"/>
        </w:rPr>
        <w:t>nd</w:t>
      </w:r>
      <w:r w:rsidR="009C70F0" w:rsidRPr="002D35D5">
        <w:rPr>
          <w:szCs w:val="24"/>
        </w:rPr>
        <w:t xml:space="preserve"> November 2012 following the introduction of the Police &amp; Crime Commissioner. Members will recall that an update of the Contract Standi</w:t>
      </w:r>
      <w:r w:rsidR="00670AA3">
        <w:rPr>
          <w:szCs w:val="24"/>
        </w:rPr>
        <w:t>ng Orders was agreed at the July</w:t>
      </w:r>
      <w:r w:rsidR="009C70F0" w:rsidRPr="002D35D5">
        <w:rPr>
          <w:szCs w:val="24"/>
        </w:rPr>
        <w:t xml:space="preserve"> 201</w:t>
      </w:r>
      <w:r w:rsidR="00670AA3">
        <w:rPr>
          <w:szCs w:val="24"/>
        </w:rPr>
        <w:t>8</w:t>
      </w:r>
      <w:r w:rsidR="009C70F0" w:rsidRPr="002D35D5">
        <w:rPr>
          <w:szCs w:val="24"/>
        </w:rPr>
        <w:t xml:space="preserve"> meeting of the Audit Committee. Contract Standing Orders state that “Utilisat</w:t>
      </w:r>
      <w:r w:rsidR="00BE112F">
        <w:rPr>
          <w:szCs w:val="24"/>
        </w:rPr>
        <w:t>ion of Contract Standing Order 10</w:t>
      </w:r>
      <w:r w:rsidR="009C70F0" w:rsidRPr="002D35D5">
        <w:rPr>
          <w:szCs w:val="24"/>
        </w:rPr>
        <w:t xml:space="preserve"> or failure to follow contract standing orders shall be reported </w:t>
      </w:r>
      <w:r w:rsidR="009C70F0" w:rsidRPr="002D35D5">
        <w:t xml:space="preserve">by the CFO of the CC </w:t>
      </w:r>
      <w:r w:rsidR="009C70F0" w:rsidRPr="002D35D5">
        <w:rPr>
          <w:szCs w:val="24"/>
        </w:rPr>
        <w:t>to the Audit Committee”.</w:t>
      </w:r>
    </w:p>
    <w:p w:rsidR="00D941D0" w:rsidRPr="002D35D5" w:rsidRDefault="00D941D0" w:rsidP="0012515D">
      <w:pPr>
        <w:pStyle w:val="BodyTextIndent"/>
        <w:ind w:left="0" w:firstLine="0"/>
        <w:jc w:val="both"/>
        <w:rPr>
          <w:szCs w:val="24"/>
        </w:rPr>
      </w:pPr>
    </w:p>
    <w:p w:rsidR="006D1B9A" w:rsidRPr="002D35D5" w:rsidRDefault="00C613BD" w:rsidP="00A42B73">
      <w:pPr>
        <w:numPr>
          <w:ilvl w:val="1"/>
          <w:numId w:val="5"/>
        </w:numPr>
        <w:jc w:val="both"/>
        <w:rPr>
          <w:rFonts w:ascii="Tahoma" w:hAnsi="Tahoma" w:cs="Tahoma"/>
          <w:sz w:val="24"/>
          <w:szCs w:val="24"/>
        </w:rPr>
      </w:pPr>
      <w:r w:rsidRPr="002D35D5">
        <w:rPr>
          <w:rFonts w:ascii="Tahoma" w:hAnsi="Tahoma" w:cs="Tahoma"/>
          <w:sz w:val="24"/>
          <w:szCs w:val="24"/>
        </w:rPr>
        <w:t>The purpose of this report is to advise the Audit Committee on the use of Contract Standin</w:t>
      </w:r>
      <w:r w:rsidR="00A642D9" w:rsidRPr="002D35D5">
        <w:rPr>
          <w:rFonts w:ascii="Tahoma" w:hAnsi="Tahoma" w:cs="Tahoma"/>
          <w:sz w:val="24"/>
          <w:szCs w:val="24"/>
        </w:rPr>
        <w:t xml:space="preserve">g Order </w:t>
      </w:r>
      <w:r w:rsidR="00BE112F">
        <w:rPr>
          <w:rFonts w:ascii="Tahoma" w:hAnsi="Tahoma" w:cs="Tahoma"/>
          <w:sz w:val="24"/>
          <w:szCs w:val="24"/>
        </w:rPr>
        <w:t>10</w:t>
      </w:r>
      <w:r w:rsidR="00A642D9" w:rsidRPr="002D35D5">
        <w:rPr>
          <w:rFonts w:ascii="Tahoma" w:hAnsi="Tahoma" w:cs="Tahoma"/>
          <w:sz w:val="24"/>
          <w:szCs w:val="24"/>
        </w:rPr>
        <w:t xml:space="preserve"> during the period </w:t>
      </w:r>
      <w:r w:rsidR="003E4668">
        <w:rPr>
          <w:rFonts w:ascii="Tahoma" w:hAnsi="Tahoma" w:cs="Tahoma"/>
          <w:sz w:val="24"/>
          <w:szCs w:val="24"/>
        </w:rPr>
        <w:t>July</w:t>
      </w:r>
      <w:r w:rsidR="001E2EB7">
        <w:rPr>
          <w:rFonts w:ascii="Tahoma" w:hAnsi="Tahoma" w:cs="Tahoma"/>
          <w:sz w:val="24"/>
          <w:szCs w:val="24"/>
        </w:rPr>
        <w:t xml:space="preserve"> 201</w:t>
      </w:r>
      <w:r w:rsidR="006306B9">
        <w:rPr>
          <w:rFonts w:ascii="Tahoma" w:hAnsi="Tahoma" w:cs="Tahoma"/>
          <w:sz w:val="24"/>
          <w:szCs w:val="24"/>
        </w:rPr>
        <w:t>9</w:t>
      </w:r>
      <w:r w:rsidRPr="002D35D5">
        <w:rPr>
          <w:rFonts w:ascii="Tahoma" w:hAnsi="Tahoma" w:cs="Tahoma"/>
          <w:sz w:val="24"/>
          <w:szCs w:val="24"/>
        </w:rPr>
        <w:t xml:space="preserve"> to </w:t>
      </w:r>
      <w:r w:rsidR="003E4668">
        <w:rPr>
          <w:rFonts w:ascii="Tahoma" w:hAnsi="Tahoma" w:cs="Tahoma"/>
          <w:sz w:val="24"/>
          <w:szCs w:val="24"/>
        </w:rPr>
        <w:t>January</w:t>
      </w:r>
      <w:r w:rsidR="00831597" w:rsidRPr="002D35D5">
        <w:rPr>
          <w:rFonts w:ascii="Tahoma" w:hAnsi="Tahoma" w:cs="Tahoma"/>
          <w:sz w:val="24"/>
          <w:szCs w:val="24"/>
        </w:rPr>
        <w:t xml:space="preserve"> </w:t>
      </w:r>
      <w:r w:rsidR="003E4668">
        <w:rPr>
          <w:rFonts w:ascii="Tahoma" w:hAnsi="Tahoma" w:cs="Tahoma"/>
          <w:sz w:val="24"/>
          <w:szCs w:val="24"/>
        </w:rPr>
        <w:t>2020</w:t>
      </w:r>
      <w:r w:rsidR="001E2EB7">
        <w:rPr>
          <w:rFonts w:ascii="Tahoma" w:hAnsi="Tahoma" w:cs="Tahoma"/>
          <w:sz w:val="24"/>
          <w:szCs w:val="24"/>
        </w:rPr>
        <w:t xml:space="preserve"> and the Procurement Activity and Performance during the period</w:t>
      </w:r>
      <w:r w:rsidR="003E4668">
        <w:rPr>
          <w:rFonts w:ascii="Tahoma" w:hAnsi="Tahoma" w:cs="Tahoma"/>
          <w:sz w:val="24"/>
          <w:szCs w:val="24"/>
        </w:rPr>
        <w:t xml:space="preserve"> July</w:t>
      </w:r>
      <w:r w:rsidR="001E2EB7">
        <w:rPr>
          <w:rFonts w:ascii="Tahoma" w:hAnsi="Tahoma" w:cs="Tahoma"/>
          <w:sz w:val="24"/>
          <w:szCs w:val="24"/>
        </w:rPr>
        <w:t xml:space="preserve"> 201</w:t>
      </w:r>
      <w:r w:rsidR="006306B9">
        <w:rPr>
          <w:rFonts w:ascii="Tahoma" w:hAnsi="Tahoma" w:cs="Tahoma"/>
          <w:sz w:val="24"/>
          <w:szCs w:val="24"/>
        </w:rPr>
        <w:t>9</w:t>
      </w:r>
      <w:r w:rsidR="001E2EB7">
        <w:rPr>
          <w:rFonts w:ascii="Tahoma" w:hAnsi="Tahoma" w:cs="Tahoma"/>
          <w:sz w:val="24"/>
          <w:szCs w:val="24"/>
        </w:rPr>
        <w:t xml:space="preserve"> to </w:t>
      </w:r>
      <w:r w:rsidR="00337126">
        <w:rPr>
          <w:rFonts w:ascii="Tahoma" w:hAnsi="Tahoma" w:cs="Tahoma"/>
          <w:sz w:val="24"/>
          <w:szCs w:val="24"/>
        </w:rPr>
        <w:t>J</w:t>
      </w:r>
      <w:r w:rsidR="003E4668">
        <w:rPr>
          <w:rFonts w:ascii="Tahoma" w:hAnsi="Tahoma" w:cs="Tahoma"/>
          <w:sz w:val="24"/>
          <w:szCs w:val="24"/>
        </w:rPr>
        <w:t>anuary 2020</w:t>
      </w:r>
      <w:r w:rsidR="001E2EB7">
        <w:rPr>
          <w:rFonts w:ascii="Tahoma" w:hAnsi="Tahoma" w:cs="Tahoma"/>
          <w:sz w:val="24"/>
          <w:szCs w:val="24"/>
        </w:rPr>
        <w:t>.</w:t>
      </w:r>
    </w:p>
    <w:p w:rsidR="00831597" w:rsidRPr="002D35D5" w:rsidRDefault="00831597" w:rsidP="0012515D">
      <w:pPr>
        <w:jc w:val="both"/>
        <w:rPr>
          <w:rFonts w:ascii="Tahoma" w:hAnsi="Tahoma" w:cs="Tahoma"/>
          <w:sz w:val="24"/>
          <w:szCs w:val="24"/>
        </w:rPr>
      </w:pPr>
    </w:p>
    <w:p w:rsidR="00507209" w:rsidRPr="002D35D5" w:rsidRDefault="00507209" w:rsidP="004D327E">
      <w:pPr>
        <w:pStyle w:val="BodyText"/>
        <w:numPr>
          <w:ilvl w:val="0"/>
          <w:numId w:val="4"/>
        </w:numPr>
        <w:tabs>
          <w:tab w:val="clear" w:pos="360"/>
        </w:tabs>
        <w:ind w:left="709" w:hanging="709"/>
        <w:jc w:val="both"/>
        <w:rPr>
          <w:rFonts w:ascii="Tahoma" w:hAnsi="Tahoma" w:cs="Tahoma"/>
          <w:b/>
          <w:bCs/>
          <w:szCs w:val="24"/>
        </w:rPr>
      </w:pPr>
      <w:r w:rsidRPr="002D35D5">
        <w:rPr>
          <w:rFonts w:ascii="Tahoma" w:hAnsi="Tahoma" w:cs="Tahoma"/>
          <w:b/>
          <w:bCs/>
          <w:szCs w:val="24"/>
        </w:rPr>
        <w:t>Recommendations</w:t>
      </w:r>
    </w:p>
    <w:p w:rsidR="00507209" w:rsidRPr="002D35D5" w:rsidRDefault="00507209" w:rsidP="0012515D">
      <w:pPr>
        <w:pStyle w:val="BodyText"/>
        <w:jc w:val="both"/>
        <w:rPr>
          <w:rFonts w:ascii="Tahoma" w:hAnsi="Tahoma" w:cs="Tahoma"/>
          <w:szCs w:val="24"/>
        </w:rPr>
      </w:pPr>
    </w:p>
    <w:p w:rsidR="0033176A" w:rsidRDefault="0033176A" w:rsidP="0012515D">
      <w:pPr>
        <w:pStyle w:val="BodyTextIndent2"/>
        <w:numPr>
          <w:ilvl w:val="1"/>
          <w:numId w:val="3"/>
        </w:numPr>
        <w:jc w:val="both"/>
        <w:rPr>
          <w:szCs w:val="24"/>
        </w:rPr>
      </w:pPr>
      <w:r w:rsidRPr="002D35D5">
        <w:rPr>
          <w:szCs w:val="24"/>
        </w:rPr>
        <w:t xml:space="preserve">It is recommended that </w:t>
      </w:r>
      <w:r w:rsidR="00535E44" w:rsidRPr="002D35D5">
        <w:rPr>
          <w:szCs w:val="24"/>
        </w:rPr>
        <w:t xml:space="preserve">the </w:t>
      </w:r>
      <w:r w:rsidR="00B55CCF" w:rsidRPr="002D35D5">
        <w:rPr>
          <w:szCs w:val="24"/>
        </w:rPr>
        <w:t xml:space="preserve">Audit </w:t>
      </w:r>
      <w:r w:rsidR="00535E44" w:rsidRPr="002D35D5">
        <w:rPr>
          <w:szCs w:val="24"/>
        </w:rPr>
        <w:t>Committee</w:t>
      </w:r>
      <w:r w:rsidR="00B55CCF" w:rsidRPr="002D35D5">
        <w:rPr>
          <w:szCs w:val="24"/>
        </w:rPr>
        <w:t xml:space="preserve"> note the exceptional situations detailed in Appendix 1</w:t>
      </w:r>
      <w:r w:rsidRPr="002D35D5">
        <w:rPr>
          <w:szCs w:val="24"/>
        </w:rPr>
        <w:t xml:space="preserve">.  </w:t>
      </w:r>
    </w:p>
    <w:p w:rsidR="00EF7A02" w:rsidRDefault="00EF7A02" w:rsidP="00EF7A02">
      <w:pPr>
        <w:pStyle w:val="BodyTextIndent2"/>
        <w:ind w:left="720" w:firstLine="0"/>
        <w:jc w:val="both"/>
        <w:rPr>
          <w:szCs w:val="24"/>
        </w:rPr>
      </w:pPr>
    </w:p>
    <w:p w:rsidR="001E2EB7" w:rsidRPr="002D35D5" w:rsidRDefault="001E2EB7" w:rsidP="0012515D">
      <w:pPr>
        <w:pStyle w:val="BodyTextIndent2"/>
        <w:numPr>
          <w:ilvl w:val="1"/>
          <w:numId w:val="3"/>
        </w:numPr>
        <w:jc w:val="both"/>
        <w:rPr>
          <w:szCs w:val="24"/>
        </w:rPr>
      </w:pPr>
      <w:r>
        <w:rPr>
          <w:szCs w:val="24"/>
        </w:rPr>
        <w:t>It is recommended that the Audit Committee not</w:t>
      </w:r>
      <w:r w:rsidR="00A364CB">
        <w:rPr>
          <w:szCs w:val="24"/>
        </w:rPr>
        <w:t>e</w:t>
      </w:r>
      <w:r>
        <w:rPr>
          <w:szCs w:val="24"/>
        </w:rPr>
        <w:t xml:space="preserve"> the Procurement Activity and Performance of the Procurement function</w:t>
      </w:r>
      <w:r w:rsidR="00EF7A02">
        <w:rPr>
          <w:szCs w:val="24"/>
        </w:rPr>
        <w:t xml:space="preserve"> detailed in Appendix 2.</w:t>
      </w:r>
    </w:p>
    <w:p w:rsidR="00831597" w:rsidRPr="002D35D5" w:rsidRDefault="00831597" w:rsidP="0012515D">
      <w:pPr>
        <w:pStyle w:val="BodyTextIndent2"/>
        <w:ind w:left="0" w:firstLine="0"/>
        <w:jc w:val="both"/>
        <w:rPr>
          <w:szCs w:val="24"/>
        </w:rPr>
      </w:pPr>
    </w:p>
    <w:p w:rsidR="00507209" w:rsidRPr="002D35D5" w:rsidRDefault="00B55CCF" w:rsidP="004D327E">
      <w:pPr>
        <w:pStyle w:val="BodyText"/>
        <w:numPr>
          <w:ilvl w:val="0"/>
          <w:numId w:val="4"/>
        </w:numPr>
        <w:tabs>
          <w:tab w:val="clear" w:pos="360"/>
        </w:tabs>
        <w:ind w:left="709" w:hanging="709"/>
        <w:jc w:val="both"/>
        <w:rPr>
          <w:rFonts w:ascii="Tahoma" w:hAnsi="Tahoma" w:cs="Tahoma"/>
          <w:b/>
          <w:bCs/>
          <w:szCs w:val="24"/>
        </w:rPr>
      </w:pPr>
      <w:r w:rsidRPr="002D35D5">
        <w:rPr>
          <w:rFonts w:ascii="Tahoma" w:hAnsi="Tahoma" w:cs="Tahoma"/>
          <w:b/>
          <w:bCs/>
          <w:szCs w:val="24"/>
        </w:rPr>
        <w:t>Background</w:t>
      </w:r>
    </w:p>
    <w:p w:rsidR="00507209" w:rsidRPr="002D35D5" w:rsidRDefault="00507209" w:rsidP="0012515D">
      <w:pPr>
        <w:pStyle w:val="BodyText"/>
        <w:ind w:left="360"/>
        <w:jc w:val="both"/>
        <w:rPr>
          <w:rFonts w:ascii="Tahoma" w:hAnsi="Tahoma" w:cs="Tahoma"/>
          <w:szCs w:val="24"/>
        </w:rPr>
      </w:pPr>
    </w:p>
    <w:p w:rsidR="00C613BD" w:rsidRPr="002D35D5" w:rsidRDefault="00C613BD" w:rsidP="0012515D">
      <w:pPr>
        <w:numPr>
          <w:ilvl w:val="1"/>
          <w:numId w:val="2"/>
        </w:numPr>
        <w:jc w:val="both"/>
        <w:rPr>
          <w:rFonts w:ascii="Tahoma" w:hAnsi="Tahoma" w:cs="Tahoma"/>
          <w:sz w:val="24"/>
          <w:szCs w:val="24"/>
        </w:rPr>
      </w:pPr>
      <w:r w:rsidRPr="002D35D5">
        <w:rPr>
          <w:rFonts w:ascii="Tahoma" w:hAnsi="Tahoma" w:cs="Tahoma"/>
          <w:sz w:val="24"/>
          <w:szCs w:val="24"/>
        </w:rPr>
        <w:t>Contract Standing Orders reflect both the policies of the Office of the Police &amp; Crime Commissioner for Cleveland and the requirements of current legislation. Their purpose is to provide help and guidance to all members of staff who are involved in supplier negotiations for the provision of goods and services. They are mandatory and as such must be complied with at all times.</w:t>
      </w:r>
    </w:p>
    <w:p w:rsidR="00C613BD" w:rsidRDefault="00C613BD" w:rsidP="0012515D">
      <w:pPr>
        <w:jc w:val="both"/>
        <w:rPr>
          <w:rFonts w:ascii="Tahoma" w:hAnsi="Tahoma" w:cs="Tahoma"/>
          <w:sz w:val="24"/>
          <w:szCs w:val="24"/>
        </w:rPr>
      </w:pPr>
    </w:p>
    <w:p w:rsidR="00674FD9" w:rsidRDefault="00C43B46" w:rsidP="0012515D">
      <w:pPr>
        <w:numPr>
          <w:ilvl w:val="1"/>
          <w:numId w:val="2"/>
        </w:numPr>
        <w:jc w:val="both"/>
        <w:rPr>
          <w:rFonts w:ascii="Tahoma" w:hAnsi="Tahoma" w:cs="Tahoma"/>
          <w:sz w:val="24"/>
          <w:szCs w:val="24"/>
        </w:rPr>
      </w:pPr>
      <w:r w:rsidRPr="002D35D5">
        <w:rPr>
          <w:rFonts w:ascii="Tahoma" w:hAnsi="Tahoma" w:cs="Tahoma"/>
          <w:sz w:val="24"/>
          <w:szCs w:val="24"/>
        </w:rPr>
        <w:t>Contract Standing Orders regulate the arrangements and procedures for acquiring goods and services. There is an underlying requirement that where such an acquisition is amenable to competitive tender that this mechanism</w:t>
      </w:r>
      <w:r w:rsidR="0033176A" w:rsidRPr="002D35D5">
        <w:rPr>
          <w:rFonts w:ascii="Tahoma" w:hAnsi="Tahoma" w:cs="Tahoma"/>
          <w:sz w:val="24"/>
          <w:szCs w:val="24"/>
        </w:rPr>
        <w:t xml:space="preserve"> </w:t>
      </w:r>
      <w:r w:rsidRPr="002D35D5">
        <w:rPr>
          <w:rFonts w:ascii="Tahoma" w:hAnsi="Tahoma" w:cs="Tahoma"/>
          <w:sz w:val="24"/>
          <w:szCs w:val="24"/>
        </w:rPr>
        <w:t>should be</w:t>
      </w:r>
      <w:r w:rsidR="00674FD9" w:rsidRPr="002D35D5">
        <w:rPr>
          <w:rFonts w:ascii="Tahoma" w:hAnsi="Tahoma" w:cs="Tahoma"/>
          <w:sz w:val="24"/>
          <w:szCs w:val="24"/>
        </w:rPr>
        <w:t xml:space="preserve"> </w:t>
      </w:r>
      <w:r w:rsidRPr="002D35D5">
        <w:rPr>
          <w:rFonts w:ascii="Tahoma" w:hAnsi="Tahoma" w:cs="Tahoma"/>
          <w:sz w:val="24"/>
          <w:szCs w:val="24"/>
        </w:rPr>
        <w:lastRenderedPageBreak/>
        <w:t xml:space="preserve">employed. This requirement is modified in practice </w:t>
      </w:r>
      <w:r w:rsidR="00500B1E" w:rsidRPr="002D35D5">
        <w:rPr>
          <w:rFonts w:ascii="Tahoma" w:hAnsi="Tahoma" w:cs="Tahoma"/>
          <w:sz w:val="24"/>
          <w:szCs w:val="24"/>
        </w:rPr>
        <w:t xml:space="preserve">when </w:t>
      </w:r>
      <w:r w:rsidR="00AF1E13" w:rsidRPr="002D35D5">
        <w:rPr>
          <w:rFonts w:ascii="Tahoma" w:hAnsi="Tahoma" w:cs="Tahoma"/>
          <w:sz w:val="24"/>
          <w:szCs w:val="24"/>
        </w:rPr>
        <w:t>competitive</w:t>
      </w:r>
      <w:r w:rsidRPr="002D35D5">
        <w:rPr>
          <w:rFonts w:ascii="Tahoma" w:hAnsi="Tahoma" w:cs="Tahoma"/>
          <w:sz w:val="24"/>
          <w:szCs w:val="24"/>
        </w:rPr>
        <w:t xml:space="preserve"> tendering is not considered either efficient or practical.</w:t>
      </w:r>
    </w:p>
    <w:p w:rsidR="001E2EB7" w:rsidRDefault="001E2EB7" w:rsidP="001E2EB7">
      <w:pPr>
        <w:pStyle w:val="ListParagraph"/>
        <w:rPr>
          <w:rFonts w:ascii="Tahoma" w:hAnsi="Tahoma" w:cs="Tahoma"/>
          <w:sz w:val="24"/>
          <w:szCs w:val="24"/>
        </w:rPr>
      </w:pPr>
    </w:p>
    <w:p w:rsidR="009B782C" w:rsidRPr="002D35D5" w:rsidRDefault="009A2DC8" w:rsidP="0012515D">
      <w:pPr>
        <w:ind w:left="709" w:hanging="709"/>
        <w:jc w:val="both"/>
        <w:rPr>
          <w:rFonts w:ascii="Tahoma" w:hAnsi="Tahoma" w:cs="Tahoma"/>
          <w:sz w:val="24"/>
          <w:szCs w:val="24"/>
        </w:rPr>
      </w:pPr>
      <w:r w:rsidRPr="002D35D5">
        <w:rPr>
          <w:rFonts w:ascii="Tahoma" w:hAnsi="Tahoma" w:cs="Tahoma"/>
          <w:sz w:val="24"/>
          <w:szCs w:val="24"/>
        </w:rPr>
        <w:t>3.3</w:t>
      </w:r>
      <w:r w:rsidRPr="002D35D5">
        <w:rPr>
          <w:rFonts w:ascii="Tahoma" w:hAnsi="Tahoma" w:cs="Tahoma"/>
          <w:sz w:val="24"/>
          <w:szCs w:val="24"/>
        </w:rPr>
        <w:tab/>
        <w:t>Furthermore there are classes of goods and services which are not amenable to competitive tendering, examples of these would be property rental, water supply and contributions to national bodies supplying services to police forces either</w:t>
      </w:r>
      <w:r w:rsidR="00A642D9" w:rsidRPr="002D35D5">
        <w:rPr>
          <w:rFonts w:ascii="Tahoma" w:hAnsi="Tahoma" w:cs="Tahoma"/>
          <w:sz w:val="24"/>
          <w:szCs w:val="24"/>
        </w:rPr>
        <w:t xml:space="preserve"> </w:t>
      </w:r>
      <w:r w:rsidR="009B782C" w:rsidRPr="002D35D5">
        <w:rPr>
          <w:rFonts w:ascii="Tahoma" w:hAnsi="Tahoma" w:cs="Tahoma"/>
          <w:sz w:val="24"/>
          <w:szCs w:val="24"/>
        </w:rPr>
        <w:t xml:space="preserve">individually or as a “community of interest”. </w:t>
      </w:r>
    </w:p>
    <w:p w:rsidR="009B782C" w:rsidRPr="002D35D5" w:rsidRDefault="009B782C" w:rsidP="0012515D">
      <w:pPr>
        <w:jc w:val="both"/>
        <w:rPr>
          <w:rFonts w:ascii="Tahoma" w:hAnsi="Tahoma" w:cs="Tahoma"/>
          <w:sz w:val="24"/>
          <w:szCs w:val="24"/>
        </w:rPr>
      </w:pPr>
    </w:p>
    <w:p w:rsidR="0036192D" w:rsidRPr="002D35D5" w:rsidRDefault="00BE112F" w:rsidP="00A42B73">
      <w:pPr>
        <w:numPr>
          <w:ilvl w:val="1"/>
          <w:numId w:val="6"/>
        </w:numPr>
        <w:jc w:val="both"/>
        <w:rPr>
          <w:rFonts w:ascii="Tahoma" w:hAnsi="Tahoma" w:cs="Tahoma"/>
          <w:sz w:val="24"/>
          <w:szCs w:val="24"/>
        </w:rPr>
      </w:pPr>
      <w:r>
        <w:rPr>
          <w:rFonts w:ascii="Tahoma" w:hAnsi="Tahoma" w:cs="Tahoma"/>
          <w:sz w:val="24"/>
          <w:szCs w:val="24"/>
        </w:rPr>
        <w:t>Contract Standing Order 10</w:t>
      </w:r>
      <w:r w:rsidR="0036192D" w:rsidRPr="002D35D5">
        <w:rPr>
          <w:rFonts w:ascii="Tahoma" w:hAnsi="Tahoma" w:cs="Tahoma"/>
          <w:sz w:val="24"/>
          <w:szCs w:val="24"/>
        </w:rPr>
        <w:t xml:space="preserve"> states that “Exceptional situations are those created by external actions and events over which the Force has no control but has an obligation to respond.”</w:t>
      </w:r>
    </w:p>
    <w:p w:rsidR="0036192D" w:rsidRPr="002D35D5" w:rsidRDefault="0036192D" w:rsidP="0012515D">
      <w:pPr>
        <w:jc w:val="both"/>
        <w:rPr>
          <w:rFonts w:ascii="Tahoma" w:hAnsi="Tahoma" w:cs="Tahoma"/>
          <w:sz w:val="24"/>
          <w:szCs w:val="24"/>
        </w:rPr>
      </w:pPr>
    </w:p>
    <w:p w:rsidR="000E576B" w:rsidRPr="002D35D5" w:rsidRDefault="000E576B" w:rsidP="000E576B">
      <w:pPr>
        <w:numPr>
          <w:ilvl w:val="1"/>
          <w:numId w:val="6"/>
        </w:numPr>
        <w:jc w:val="both"/>
        <w:rPr>
          <w:rFonts w:ascii="Tahoma" w:hAnsi="Tahoma" w:cs="Tahoma"/>
          <w:sz w:val="24"/>
          <w:szCs w:val="24"/>
        </w:rPr>
      </w:pPr>
      <w:r w:rsidRPr="002D35D5">
        <w:rPr>
          <w:rFonts w:ascii="Tahoma" w:hAnsi="Tahoma" w:cs="Tahoma"/>
          <w:sz w:val="24"/>
          <w:szCs w:val="24"/>
        </w:rPr>
        <w:t>In compliance with Contract Standing Orders it is the practice to report every exceptional circumstance where it appears that the normal requirement to tender has not been followed.</w:t>
      </w:r>
      <w:r>
        <w:rPr>
          <w:rFonts w:ascii="Tahoma" w:hAnsi="Tahoma" w:cs="Tahoma"/>
          <w:sz w:val="24"/>
          <w:szCs w:val="24"/>
        </w:rPr>
        <w:t xml:space="preserve"> Changes to the reporting schedule have taken place to coincide with changes to the accounting reporting timetable. Reports will be su</w:t>
      </w:r>
      <w:r w:rsidR="00702AB0">
        <w:rPr>
          <w:rFonts w:ascii="Tahoma" w:hAnsi="Tahoma" w:cs="Tahoma"/>
          <w:sz w:val="24"/>
          <w:szCs w:val="24"/>
        </w:rPr>
        <w:t>bmitted for information in February</w:t>
      </w:r>
      <w:r>
        <w:rPr>
          <w:rFonts w:ascii="Tahoma" w:hAnsi="Tahoma" w:cs="Tahoma"/>
          <w:sz w:val="24"/>
          <w:szCs w:val="24"/>
        </w:rPr>
        <w:t xml:space="preserve"> and July of each year. </w:t>
      </w:r>
      <w:r w:rsidRPr="002D35D5">
        <w:rPr>
          <w:rFonts w:ascii="Tahoma" w:hAnsi="Tahoma" w:cs="Tahoma"/>
          <w:sz w:val="24"/>
          <w:szCs w:val="24"/>
        </w:rPr>
        <w:t>The details</w:t>
      </w:r>
      <w:r>
        <w:rPr>
          <w:rFonts w:ascii="Tahoma" w:hAnsi="Tahoma" w:cs="Tahoma"/>
          <w:sz w:val="24"/>
          <w:szCs w:val="24"/>
        </w:rPr>
        <w:t xml:space="preserve"> of exceptional circumstances for this reporting period</w:t>
      </w:r>
      <w:r w:rsidRPr="002D35D5">
        <w:rPr>
          <w:rFonts w:ascii="Tahoma" w:hAnsi="Tahoma" w:cs="Tahoma"/>
          <w:sz w:val="24"/>
          <w:szCs w:val="24"/>
        </w:rPr>
        <w:t xml:space="preserve"> are listed in Appendix 1. </w:t>
      </w:r>
    </w:p>
    <w:p w:rsidR="00EF7A02" w:rsidRDefault="00EF7A02" w:rsidP="00EF7A02">
      <w:pPr>
        <w:pStyle w:val="ListParagraph"/>
        <w:rPr>
          <w:rFonts w:ascii="Tahoma" w:hAnsi="Tahoma" w:cs="Tahoma"/>
          <w:sz w:val="24"/>
          <w:szCs w:val="24"/>
        </w:rPr>
      </w:pPr>
    </w:p>
    <w:p w:rsidR="00EF7A02" w:rsidRPr="002D35D5" w:rsidRDefault="006A17AD" w:rsidP="00A42B73">
      <w:pPr>
        <w:numPr>
          <w:ilvl w:val="1"/>
          <w:numId w:val="6"/>
        </w:numPr>
        <w:jc w:val="both"/>
        <w:rPr>
          <w:rFonts w:ascii="Tahoma" w:hAnsi="Tahoma" w:cs="Tahoma"/>
          <w:sz w:val="24"/>
          <w:szCs w:val="24"/>
        </w:rPr>
      </w:pPr>
      <w:r>
        <w:rPr>
          <w:rFonts w:ascii="Tahoma" w:hAnsi="Tahoma" w:cs="Tahoma"/>
          <w:sz w:val="24"/>
          <w:szCs w:val="24"/>
        </w:rPr>
        <w:t>To provide members of</w:t>
      </w:r>
      <w:r w:rsidR="00EF7A02">
        <w:rPr>
          <w:rFonts w:ascii="Tahoma" w:hAnsi="Tahoma" w:cs="Tahoma"/>
          <w:sz w:val="24"/>
          <w:szCs w:val="24"/>
        </w:rPr>
        <w:t xml:space="preserve"> </w:t>
      </w:r>
      <w:r w:rsidR="004D23C1">
        <w:rPr>
          <w:rFonts w:ascii="Tahoma" w:hAnsi="Tahoma" w:cs="Tahoma"/>
          <w:sz w:val="24"/>
          <w:szCs w:val="24"/>
        </w:rPr>
        <w:t xml:space="preserve">the Audit Committee with a full </w:t>
      </w:r>
      <w:r w:rsidR="00EF7A02">
        <w:rPr>
          <w:rFonts w:ascii="Tahoma" w:hAnsi="Tahoma" w:cs="Tahoma"/>
          <w:sz w:val="24"/>
          <w:szCs w:val="24"/>
        </w:rPr>
        <w:t xml:space="preserve">picture of </w:t>
      </w:r>
      <w:r w:rsidR="004D23C1">
        <w:rPr>
          <w:rFonts w:ascii="Tahoma" w:hAnsi="Tahoma" w:cs="Tahoma"/>
          <w:sz w:val="24"/>
          <w:szCs w:val="24"/>
        </w:rPr>
        <w:t xml:space="preserve">the </w:t>
      </w:r>
      <w:r w:rsidR="00EF7A02">
        <w:rPr>
          <w:rFonts w:ascii="Tahoma" w:hAnsi="Tahoma" w:cs="Tahoma"/>
          <w:sz w:val="24"/>
          <w:szCs w:val="24"/>
        </w:rPr>
        <w:t>Procurement</w:t>
      </w:r>
      <w:r w:rsidR="004D23C1">
        <w:rPr>
          <w:rFonts w:ascii="Tahoma" w:hAnsi="Tahoma" w:cs="Tahoma"/>
          <w:sz w:val="24"/>
          <w:szCs w:val="24"/>
        </w:rPr>
        <w:t xml:space="preserve"> activity in the Force and putting the exception report into context</w:t>
      </w:r>
      <w:r w:rsidR="00EF7A02">
        <w:rPr>
          <w:rFonts w:ascii="Tahoma" w:hAnsi="Tahoma" w:cs="Tahoma"/>
          <w:sz w:val="24"/>
          <w:szCs w:val="24"/>
        </w:rPr>
        <w:t xml:space="preserve"> a Procurement Performance report ha</w:t>
      </w:r>
      <w:r w:rsidR="004D23C1">
        <w:rPr>
          <w:rFonts w:ascii="Tahoma" w:hAnsi="Tahoma" w:cs="Tahoma"/>
          <w:sz w:val="24"/>
          <w:szCs w:val="24"/>
        </w:rPr>
        <w:t xml:space="preserve">s been provided in Appendix 2. </w:t>
      </w:r>
    </w:p>
    <w:p w:rsidR="0012515D" w:rsidRPr="002D35D5" w:rsidRDefault="0012515D" w:rsidP="0012515D">
      <w:pPr>
        <w:jc w:val="both"/>
        <w:rPr>
          <w:rFonts w:ascii="Tahoma" w:hAnsi="Tahoma" w:cs="Tahoma"/>
        </w:rPr>
      </w:pPr>
    </w:p>
    <w:p w:rsidR="00507209" w:rsidRPr="002D35D5" w:rsidRDefault="00507209" w:rsidP="0012515D">
      <w:pPr>
        <w:pStyle w:val="BodyText"/>
        <w:jc w:val="both"/>
        <w:rPr>
          <w:rFonts w:ascii="Tahoma" w:hAnsi="Tahoma" w:cs="Tahoma"/>
          <w:b/>
          <w:bCs/>
          <w:szCs w:val="24"/>
        </w:rPr>
      </w:pPr>
      <w:r w:rsidRPr="002D35D5">
        <w:rPr>
          <w:rFonts w:ascii="Tahoma" w:hAnsi="Tahoma" w:cs="Tahoma"/>
          <w:b/>
          <w:bCs/>
          <w:szCs w:val="24"/>
        </w:rPr>
        <w:t>4</w:t>
      </w:r>
      <w:r w:rsidR="00EB7650" w:rsidRPr="002D35D5">
        <w:rPr>
          <w:rFonts w:ascii="Tahoma" w:hAnsi="Tahoma" w:cs="Tahoma"/>
          <w:b/>
          <w:bCs/>
          <w:szCs w:val="24"/>
        </w:rPr>
        <w:t>.</w:t>
      </w:r>
      <w:r w:rsidRPr="002D35D5">
        <w:rPr>
          <w:rFonts w:ascii="Tahoma" w:hAnsi="Tahoma" w:cs="Tahoma"/>
          <w:b/>
          <w:bCs/>
          <w:szCs w:val="24"/>
        </w:rPr>
        <w:tab/>
        <w:t>Implications</w:t>
      </w:r>
      <w:r w:rsidRPr="002D35D5">
        <w:rPr>
          <w:rFonts w:ascii="Tahoma" w:hAnsi="Tahoma" w:cs="Tahoma"/>
          <w:b/>
          <w:bCs/>
          <w:szCs w:val="24"/>
        </w:rPr>
        <w:br/>
      </w:r>
    </w:p>
    <w:p w:rsidR="00077B9E" w:rsidRPr="002D35D5" w:rsidRDefault="00507209" w:rsidP="0012515D">
      <w:pPr>
        <w:pStyle w:val="BodyText"/>
        <w:ind w:left="720" w:hanging="720"/>
        <w:jc w:val="both"/>
        <w:rPr>
          <w:rFonts w:ascii="Tahoma" w:hAnsi="Tahoma" w:cs="Tahoma"/>
          <w:b/>
          <w:bCs/>
          <w:szCs w:val="24"/>
        </w:rPr>
      </w:pPr>
      <w:r w:rsidRPr="002D35D5">
        <w:rPr>
          <w:rFonts w:ascii="Tahoma" w:hAnsi="Tahoma" w:cs="Tahoma"/>
          <w:szCs w:val="24"/>
        </w:rPr>
        <w:t>4.1</w:t>
      </w:r>
      <w:r w:rsidRPr="002D35D5">
        <w:rPr>
          <w:rFonts w:ascii="Tahoma" w:hAnsi="Tahoma" w:cs="Tahoma"/>
          <w:szCs w:val="24"/>
        </w:rPr>
        <w:tab/>
      </w:r>
      <w:r w:rsidRPr="002D35D5">
        <w:rPr>
          <w:rFonts w:ascii="Tahoma" w:hAnsi="Tahoma" w:cs="Tahoma"/>
          <w:bCs/>
          <w:szCs w:val="24"/>
          <w:u w:val="single"/>
        </w:rPr>
        <w:t>Finance</w:t>
      </w:r>
    </w:p>
    <w:p w:rsidR="00507209" w:rsidRDefault="00507209" w:rsidP="0012515D">
      <w:pPr>
        <w:pStyle w:val="BodyText"/>
        <w:ind w:left="720"/>
        <w:jc w:val="both"/>
        <w:rPr>
          <w:rFonts w:ascii="Tahoma" w:hAnsi="Tahoma" w:cs="Tahoma"/>
          <w:szCs w:val="24"/>
        </w:rPr>
      </w:pPr>
      <w:r w:rsidRPr="002D35D5">
        <w:rPr>
          <w:rFonts w:ascii="Tahoma" w:hAnsi="Tahoma" w:cs="Tahoma"/>
          <w:szCs w:val="24"/>
        </w:rPr>
        <w:t>All commitmen</w:t>
      </w:r>
      <w:r w:rsidR="009B782C" w:rsidRPr="002D35D5">
        <w:rPr>
          <w:rFonts w:ascii="Tahoma" w:hAnsi="Tahoma" w:cs="Tahoma"/>
          <w:szCs w:val="24"/>
        </w:rPr>
        <w:t xml:space="preserve">ts are within existing budgets. </w:t>
      </w:r>
    </w:p>
    <w:p w:rsidR="001E2EB7" w:rsidRDefault="001E2EB7" w:rsidP="0012515D">
      <w:pPr>
        <w:pStyle w:val="BodyText"/>
        <w:ind w:left="720"/>
        <w:jc w:val="both"/>
        <w:rPr>
          <w:rFonts w:ascii="Tahoma" w:hAnsi="Tahoma" w:cs="Tahoma"/>
          <w:szCs w:val="24"/>
        </w:rPr>
      </w:pPr>
    </w:p>
    <w:p w:rsidR="001A7000" w:rsidRPr="002D35D5" w:rsidRDefault="001A7000" w:rsidP="001A7000">
      <w:pPr>
        <w:pStyle w:val="BodyText"/>
        <w:ind w:left="720"/>
        <w:jc w:val="both"/>
        <w:rPr>
          <w:rFonts w:ascii="Tahoma" w:hAnsi="Tahoma" w:cs="Tahoma"/>
          <w:szCs w:val="24"/>
        </w:rPr>
      </w:pPr>
      <w:r>
        <w:rPr>
          <w:rFonts w:ascii="Tahoma" w:hAnsi="Tahoma" w:cs="Tahoma"/>
          <w:szCs w:val="24"/>
        </w:rPr>
        <w:t>Procurement Savings 2019/20 Year to Date (Apr 19-Jan 20) are £383,599.60</w:t>
      </w:r>
    </w:p>
    <w:p w:rsidR="00507209" w:rsidRPr="002D35D5" w:rsidRDefault="00507209" w:rsidP="0012515D">
      <w:pPr>
        <w:pStyle w:val="BodyTextIndent"/>
        <w:jc w:val="both"/>
        <w:rPr>
          <w:szCs w:val="24"/>
        </w:rPr>
      </w:pPr>
    </w:p>
    <w:p w:rsidR="00507209" w:rsidRPr="002D35D5" w:rsidRDefault="00507209" w:rsidP="0012515D">
      <w:pPr>
        <w:pStyle w:val="BodyTextIndent"/>
        <w:numPr>
          <w:ilvl w:val="1"/>
          <w:numId w:val="1"/>
        </w:numPr>
        <w:jc w:val="both"/>
        <w:rPr>
          <w:bCs/>
          <w:szCs w:val="24"/>
          <w:u w:val="single"/>
        </w:rPr>
      </w:pPr>
      <w:r w:rsidRPr="002D35D5">
        <w:rPr>
          <w:bCs/>
          <w:szCs w:val="24"/>
          <w:u w:val="single"/>
        </w:rPr>
        <w:t xml:space="preserve">Legal </w:t>
      </w:r>
    </w:p>
    <w:p w:rsidR="007077C8" w:rsidRPr="002D35D5" w:rsidRDefault="00507209" w:rsidP="0012515D">
      <w:pPr>
        <w:pStyle w:val="BodyTextIndent"/>
        <w:jc w:val="both"/>
        <w:rPr>
          <w:szCs w:val="24"/>
        </w:rPr>
      </w:pPr>
      <w:r w:rsidRPr="002D35D5">
        <w:rPr>
          <w:szCs w:val="24"/>
        </w:rPr>
        <w:tab/>
      </w:r>
      <w:r w:rsidR="009A2DC8" w:rsidRPr="002D35D5">
        <w:rPr>
          <w:szCs w:val="24"/>
        </w:rPr>
        <w:t>A</w:t>
      </w:r>
      <w:r w:rsidR="00BA00A3" w:rsidRPr="002D35D5">
        <w:rPr>
          <w:szCs w:val="24"/>
        </w:rPr>
        <w:t xml:space="preserve">ny requests </w:t>
      </w:r>
      <w:r w:rsidR="009A2DC8" w:rsidRPr="002D35D5">
        <w:rPr>
          <w:szCs w:val="24"/>
        </w:rPr>
        <w:t xml:space="preserve">to utilise Contract Standing Order </w:t>
      </w:r>
      <w:r w:rsidR="00BE112F">
        <w:rPr>
          <w:szCs w:val="24"/>
        </w:rPr>
        <w:t>10</w:t>
      </w:r>
      <w:r w:rsidR="009A2DC8" w:rsidRPr="002D35D5">
        <w:rPr>
          <w:szCs w:val="24"/>
        </w:rPr>
        <w:t xml:space="preserve"> </w:t>
      </w:r>
      <w:r w:rsidR="00BA00A3" w:rsidRPr="002D35D5">
        <w:rPr>
          <w:szCs w:val="24"/>
        </w:rPr>
        <w:t xml:space="preserve">which involve new </w:t>
      </w:r>
      <w:r w:rsidR="002049AD" w:rsidRPr="002D35D5">
        <w:rPr>
          <w:szCs w:val="24"/>
        </w:rPr>
        <w:t xml:space="preserve">supplier terms and conditions are </w:t>
      </w:r>
      <w:r w:rsidR="00BA00A3" w:rsidRPr="002D35D5">
        <w:rPr>
          <w:szCs w:val="24"/>
        </w:rPr>
        <w:t>discussed and agreed with Legal Services.</w:t>
      </w:r>
      <w:r w:rsidR="007077C8" w:rsidRPr="002D35D5">
        <w:rPr>
          <w:szCs w:val="24"/>
        </w:rPr>
        <w:t xml:space="preserve"> </w:t>
      </w:r>
      <w:r w:rsidR="009B782C" w:rsidRPr="002D35D5">
        <w:rPr>
          <w:szCs w:val="24"/>
        </w:rPr>
        <w:t>There are no legal implications arising from the content of this report.</w:t>
      </w:r>
    </w:p>
    <w:p w:rsidR="007077C8" w:rsidRPr="002D35D5" w:rsidRDefault="007077C8" w:rsidP="0012515D">
      <w:pPr>
        <w:pStyle w:val="BodyTextIndent"/>
        <w:jc w:val="both"/>
        <w:rPr>
          <w:szCs w:val="24"/>
        </w:rPr>
      </w:pPr>
    </w:p>
    <w:p w:rsidR="00507209" w:rsidRPr="002D35D5" w:rsidRDefault="00507209" w:rsidP="0012515D">
      <w:pPr>
        <w:pStyle w:val="BodyText"/>
        <w:numPr>
          <w:ilvl w:val="1"/>
          <w:numId w:val="1"/>
        </w:numPr>
        <w:jc w:val="both"/>
        <w:rPr>
          <w:rFonts w:ascii="Tahoma" w:hAnsi="Tahoma" w:cs="Tahoma"/>
          <w:bCs/>
          <w:szCs w:val="24"/>
          <w:u w:val="single"/>
        </w:rPr>
      </w:pPr>
      <w:r w:rsidRPr="002D35D5">
        <w:rPr>
          <w:rFonts w:ascii="Tahoma" w:hAnsi="Tahoma" w:cs="Tahoma"/>
          <w:bCs/>
          <w:szCs w:val="24"/>
          <w:u w:val="single"/>
        </w:rPr>
        <w:t>Diversity</w:t>
      </w:r>
      <w:r w:rsidR="00C96CEA" w:rsidRPr="002D35D5">
        <w:rPr>
          <w:rFonts w:ascii="Tahoma" w:hAnsi="Tahoma" w:cs="Tahoma"/>
          <w:bCs/>
          <w:szCs w:val="24"/>
          <w:u w:val="single"/>
        </w:rPr>
        <w:t xml:space="preserve"> &amp; Equal Opportunities</w:t>
      </w:r>
    </w:p>
    <w:p w:rsidR="00507209" w:rsidRPr="002D35D5" w:rsidRDefault="009B782C" w:rsidP="0012515D">
      <w:pPr>
        <w:pStyle w:val="BodyText"/>
        <w:ind w:left="720"/>
        <w:jc w:val="both"/>
        <w:rPr>
          <w:rFonts w:ascii="Tahoma" w:hAnsi="Tahoma" w:cs="Tahoma"/>
          <w:szCs w:val="24"/>
        </w:rPr>
      </w:pPr>
      <w:r w:rsidRPr="002D35D5">
        <w:rPr>
          <w:rFonts w:ascii="Tahoma" w:hAnsi="Tahoma" w:cs="Tahoma"/>
          <w:szCs w:val="24"/>
        </w:rPr>
        <w:t>There are no diversity or equal opportunities implications arising from the content of this report.</w:t>
      </w:r>
    </w:p>
    <w:p w:rsidR="00507209" w:rsidRPr="002D35D5" w:rsidRDefault="00507209" w:rsidP="0012515D">
      <w:pPr>
        <w:pStyle w:val="BodyText"/>
        <w:jc w:val="both"/>
        <w:rPr>
          <w:rFonts w:ascii="Tahoma" w:hAnsi="Tahoma" w:cs="Tahoma"/>
          <w:szCs w:val="24"/>
        </w:rPr>
      </w:pPr>
    </w:p>
    <w:p w:rsidR="00B21C5D" w:rsidRPr="002D35D5" w:rsidRDefault="00B21C5D" w:rsidP="0012515D">
      <w:pPr>
        <w:pStyle w:val="BodyText"/>
        <w:numPr>
          <w:ilvl w:val="1"/>
          <w:numId w:val="1"/>
        </w:numPr>
        <w:jc w:val="both"/>
        <w:rPr>
          <w:rFonts w:ascii="Tahoma" w:hAnsi="Tahoma" w:cs="Tahoma"/>
          <w:szCs w:val="24"/>
          <w:u w:val="single"/>
        </w:rPr>
      </w:pPr>
      <w:r w:rsidRPr="002D35D5">
        <w:rPr>
          <w:rFonts w:ascii="Tahoma" w:hAnsi="Tahoma" w:cs="Tahoma"/>
          <w:szCs w:val="24"/>
          <w:u w:val="single"/>
        </w:rPr>
        <w:t xml:space="preserve">Human Rights Act </w:t>
      </w:r>
    </w:p>
    <w:p w:rsidR="00B21C5D" w:rsidRPr="002D35D5" w:rsidRDefault="00B21C5D" w:rsidP="0012515D">
      <w:pPr>
        <w:pStyle w:val="BodyText"/>
        <w:ind w:firstLine="720"/>
        <w:jc w:val="both"/>
        <w:rPr>
          <w:rFonts w:ascii="Tahoma" w:hAnsi="Tahoma" w:cs="Tahoma"/>
          <w:szCs w:val="24"/>
        </w:rPr>
      </w:pPr>
      <w:r w:rsidRPr="002D35D5">
        <w:rPr>
          <w:rFonts w:ascii="Tahoma" w:hAnsi="Tahoma" w:cs="Tahoma"/>
          <w:szCs w:val="24"/>
        </w:rPr>
        <w:t xml:space="preserve">There are no Human Rights Act implications arising from </w:t>
      </w:r>
      <w:r w:rsidR="009B782C" w:rsidRPr="002D35D5">
        <w:rPr>
          <w:rFonts w:ascii="Tahoma" w:hAnsi="Tahoma" w:cs="Tahoma"/>
          <w:szCs w:val="24"/>
        </w:rPr>
        <w:t xml:space="preserve">the content of </w:t>
      </w:r>
      <w:r w:rsidRPr="002D35D5">
        <w:rPr>
          <w:rFonts w:ascii="Tahoma" w:hAnsi="Tahoma" w:cs="Tahoma"/>
          <w:szCs w:val="24"/>
        </w:rPr>
        <w:t>this report.</w:t>
      </w:r>
    </w:p>
    <w:p w:rsidR="00B21C5D" w:rsidRDefault="00B21C5D" w:rsidP="0012515D">
      <w:pPr>
        <w:pStyle w:val="BodyText"/>
        <w:jc w:val="both"/>
        <w:rPr>
          <w:rFonts w:ascii="Tahoma" w:hAnsi="Tahoma" w:cs="Tahoma"/>
          <w:szCs w:val="24"/>
          <w:u w:val="single"/>
        </w:rPr>
      </w:pPr>
    </w:p>
    <w:p w:rsidR="009655AC" w:rsidRPr="002D35D5" w:rsidRDefault="009655AC" w:rsidP="0012515D">
      <w:pPr>
        <w:pStyle w:val="BodyText"/>
        <w:jc w:val="both"/>
        <w:rPr>
          <w:rFonts w:ascii="Tahoma" w:hAnsi="Tahoma" w:cs="Tahoma"/>
          <w:szCs w:val="24"/>
          <w:u w:val="single"/>
        </w:rPr>
      </w:pPr>
    </w:p>
    <w:p w:rsidR="00507209" w:rsidRPr="002D35D5" w:rsidRDefault="00507209" w:rsidP="0012515D">
      <w:pPr>
        <w:pStyle w:val="BodyText"/>
        <w:numPr>
          <w:ilvl w:val="1"/>
          <w:numId w:val="1"/>
        </w:numPr>
        <w:jc w:val="both"/>
        <w:rPr>
          <w:rFonts w:ascii="Tahoma" w:hAnsi="Tahoma" w:cs="Tahoma"/>
          <w:szCs w:val="24"/>
          <w:u w:val="single"/>
        </w:rPr>
      </w:pPr>
      <w:r w:rsidRPr="002D35D5">
        <w:rPr>
          <w:rFonts w:ascii="Tahoma" w:hAnsi="Tahoma" w:cs="Tahoma"/>
          <w:bCs/>
          <w:szCs w:val="24"/>
          <w:u w:val="single"/>
        </w:rPr>
        <w:t>Sustainability</w:t>
      </w:r>
      <w:r w:rsidRPr="002D35D5">
        <w:rPr>
          <w:rFonts w:ascii="Tahoma" w:hAnsi="Tahoma" w:cs="Tahoma"/>
          <w:szCs w:val="24"/>
          <w:u w:val="single"/>
        </w:rPr>
        <w:t xml:space="preserve"> </w:t>
      </w:r>
    </w:p>
    <w:p w:rsidR="00507209" w:rsidRPr="002D35D5" w:rsidRDefault="00617A23" w:rsidP="0012515D">
      <w:pPr>
        <w:ind w:left="709" w:firstLine="11"/>
        <w:jc w:val="both"/>
        <w:rPr>
          <w:rFonts w:ascii="Tahoma" w:hAnsi="Tahoma" w:cs="Tahoma"/>
          <w:sz w:val="24"/>
          <w:szCs w:val="24"/>
        </w:rPr>
      </w:pPr>
      <w:r w:rsidRPr="002D35D5">
        <w:rPr>
          <w:rFonts w:ascii="Tahoma" w:hAnsi="Tahoma" w:cs="Tahoma"/>
          <w:sz w:val="24"/>
          <w:szCs w:val="24"/>
        </w:rPr>
        <w:t xml:space="preserve">There are no sustainability implications arising from </w:t>
      </w:r>
      <w:r w:rsidR="009B782C" w:rsidRPr="002D35D5">
        <w:rPr>
          <w:rFonts w:ascii="Tahoma" w:hAnsi="Tahoma" w:cs="Tahoma"/>
          <w:sz w:val="24"/>
          <w:szCs w:val="24"/>
        </w:rPr>
        <w:t xml:space="preserve">the content of </w:t>
      </w:r>
      <w:r w:rsidRPr="002D35D5">
        <w:rPr>
          <w:rFonts w:ascii="Tahoma" w:hAnsi="Tahoma" w:cs="Tahoma"/>
          <w:sz w:val="24"/>
          <w:szCs w:val="24"/>
        </w:rPr>
        <w:t>this report</w:t>
      </w:r>
      <w:r w:rsidR="00E962BD" w:rsidRPr="002D35D5">
        <w:rPr>
          <w:rFonts w:ascii="Tahoma" w:hAnsi="Tahoma" w:cs="Tahoma"/>
          <w:sz w:val="24"/>
          <w:szCs w:val="24"/>
        </w:rPr>
        <w:t>.</w:t>
      </w:r>
    </w:p>
    <w:p w:rsidR="0028080E" w:rsidRDefault="0028080E" w:rsidP="0012515D">
      <w:pPr>
        <w:jc w:val="both"/>
        <w:rPr>
          <w:rFonts w:ascii="Tahoma" w:hAnsi="Tahoma" w:cs="Tahoma"/>
          <w:sz w:val="24"/>
          <w:szCs w:val="24"/>
        </w:rPr>
      </w:pPr>
    </w:p>
    <w:p w:rsidR="0028080E" w:rsidRPr="002D35D5" w:rsidRDefault="0028080E" w:rsidP="0012515D">
      <w:pPr>
        <w:numPr>
          <w:ilvl w:val="1"/>
          <w:numId w:val="1"/>
        </w:numPr>
        <w:jc w:val="both"/>
        <w:rPr>
          <w:rFonts w:ascii="Tahoma" w:hAnsi="Tahoma" w:cs="Tahoma"/>
          <w:sz w:val="24"/>
          <w:szCs w:val="24"/>
          <w:u w:val="single"/>
        </w:rPr>
      </w:pPr>
      <w:r w:rsidRPr="002D35D5">
        <w:rPr>
          <w:rFonts w:ascii="Tahoma" w:hAnsi="Tahoma" w:cs="Tahoma"/>
          <w:sz w:val="24"/>
          <w:szCs w:val="24"/>
          <w:u w:val="single"/>
        </w:rPr>
        <w:t>Risk</w:t>
      </w:r>
    </w:p>
    <w:p w:rsidR="0028080E" w:rsidRPr="002D35D5" w:rsidRDefault="0092093F" w:rsidP="0012515D">
      <w:pPr>
        <w:jc w:val="both"/>
        <w:rPr>
          <w:rFonts w:ascii="Tahoma" w:hAnsi="Tahoma" w:cs="Tahoma"/>
          <w:sz w:val="24"/>
          <w:szCs w:val="24"/>
        </w:rPr>
      </w:pPr>
      <w:r w:rsidRPr="002D35D5">
        <w:rPr>
          <w:rFonts w:ascii="Tahoma" w:hAnsi="Tahoma" w:cs="Tahoma"/>
          <w:sz w:val="24"/>
          <w:szCs w:val="24"/>
        </w:rPr>
        <w:tab/>
        <w:t xml:space="preserve">There are no risk implications </w:t>
      </w:r>
      <w:r w:rsidR="009B782C" w:rsidRPr="002D35D5">
        <w:rPr>
          <w:rFonts w:ascii="Tahoma" w:hAnsi="Tahoma" w:cs="Tahoma"/>
          <w:sz w:val="24"/>
          <w:szCs w:val="24"/>
        </w:rPr>
        <w:t>arising from the content of this</w:t>
      </w:r>
      <w:r w:rsidRPr="002D35D5">
        <w:rPr>
          <w:rFonts w:ascii="Tahoma" w:hAnsi="Tahoma" w:cs="Tahoma"/>
          <w:sz w:val="24"/>
          <w:szCs w:val="24"/>
        </w:rPr>
        <w:t xml:space="preserve"> report.</w:t>
      </w:r>
    </w:p>
    <w:p w:rsidR="005F1CBE" w:rsidRPr="002D35D5" w:rsidRDefault="005F1CBE" w:rsidP="0012515D">
      <w:pPr>
        <w:jc w:val="both"/>
        <w:rPr>
          <w:rFonts w:ascii="Tahoma" w:hAnsi="Tahoma" w:cs="Tahoma"/>
        </w:rPr>
      </w:pPr>
    </w:p>
    <w:p w:rsidR="0012515D" w:rsidRPr="002D35D5" w:rsidRDefault="0012515D" w:rsidP="0012515D">
      <w:pPr>
        <w:jc w:val="both"/>
        <w:rPr>
          <w:rFonts w:ascii="Tahoma" w:hAnsi="Tahoma" w:cs="Tahoma"/>
        </w:rPr>
      </w:pPr>
    </w:p>
    <w:p w:rsidR="00507209" w:rsidRPr="002D35D5" w:rsidRDefault="0028080E" w:rsidP="0012515D">
      <w:pPr>
        <w:pStyle w:val="BodyText"/>
        <w:jc w:val="both"/>
        <w:rPr>
          <w:rFonts w:ascii="Tahoma" w:hAnsi="Tahoma" w:cs="Tahoma"/>
          <w:b/>
          <w:bCs/>
          <w:szCs w:val="24"/>
        </w:rPr>
      </w:pPr>
      <w:r w:rsidRPr="002D35D5">
        <w:rPr>
          <w:rFonts w:ascii="Tahoma" w:hAnsi="Tahoma" w:cs="Tahoma"/>
          <w:b/>
          <w:bCs/>
          <w:szCs w:val="24"/>
        </w:rPr>
        <w:lastRenderedPageBreak/>
        <w:t>5</w:t>
      </w:r>
      <w:r w:rsidR="00B21C5D" w:rsidRPr="002D35D5">
        <w:rPr>
          <w:rFonts w:ascii="Tahoma" w:hAnsi="Tahoma" w:cs="Tahoma"/>
          <w:b/>
          <w:bCs/>
          <w:szCs w:val="24"/>
        </w:rPr>
        <w:t>.</w:t>
      </w:r>
      <w:r w:rsidR="00507209" w:rsidRPr="002D35D5">
        <w:rPr>
          <w:rFonts w:ascii="Tahoma" w:hAnsi="Tahoma" w:cs="Tahoma"/>
          <w:b/>
          <w:bCs/>
          <w:szCs w:val="24"/>
        </w:rPr>
        <w:tab/>
        <w:t>Conclusions</w:t>
      </w:r>
    </w:p>
    <w:p w:rsidR="00507209" w:rsidRPr="002D35D5" w:rsidRDefault="00507209" w:rsidP="0012515D">
      <w:pPr>
        <w:pStyle w:val="BodyText"/>
        <w:ind w:firstLine="720"/>
        <w:jc w:val="both"/>
        <w:rPr>
          <w:rFonts w:ascii="Tahoma" w:hAnsi="Tahoma" w:cs="Tahoma"/>
          <w:szCs w:val="24"/>
        </w:rPr>
      </w:pPr>
    </w:p>
    <w:p w:rsidR="00507209" w:rsidRDefault="0028080E" w:rsidP="0012515D">
      <w:pPr>
        <w:pStyle w:val="BodyTextIndent2"/>
        <w:ind w:left="720" w:hanging="720"/>
        <w:jc w:val="both"/>
        <w:rPr>
          <w:szCs w:val="24"/>
        </w:rPr>
      </w:pPr>
      <w:r w:rsidRPr="002D35D5">
        <w:rPr>
          <w:szCs w:val="24"/>
        </w:rPr>
        <w:t>5</w:t>
      </w:r>
      <w:r w:rsidR="009B782C" w:rsidRPr="002D35D5">
        <w:rPr>
          <w:szCs w:val="24"/>
        </w:rPr>
        <w:t>.1</w:t>
      </w:r>
      <w:r w:rsidR="009B782C" w:rsidRPr="002D35D5">
        <w:rPr>
          <w:szCs w:val="24"/>
        </w:rPr>
        <w:tab/>
        <w:t xml:space="preserve">The details of </w:t>
      </w:r>
      <w:r w:rsidR="00C613BD" w:rsidRPr="002D35D5">
        <w:rPr>
          <w:szCs w:val="24"/>
        </w:rPr>
        <w:t>the</w:t>
      </w:r>
      <w:r w:rsidR="009B782C" w:rsidRPr="002D35D5">
        <w:rPr>
          <w:szCs w:val="24"/>
        </w:rPr>
        <w:t xml:space="preserve"> exceptional situations</w:t>
      </w:r>
      <w:r w:rsidR="00B55CCF" w:rsidRPr="002D35D5">
        <w:rPr>
          <w:szCs w:val="24"/>
        </w:rPr>
        <w:t xml:space="preserve"> </w:t>
      </w:r>
      <w:r w:rsidR="00C613BD" w:rsidRPr="002D35D5">
        <w:rPr>
          <w:szCs w:val="24"/>
        </w:rPr>
        <w:t xml:space="preserve">listed in Appendix 1 </w:t>
      </w:r>
      <w:r w:rsidR="00813E47">
        <w:rPr>
          <w:szCs w:val="24"/>
        </w:rPr>
        <w:t xml:space="preserve">and the Procurement Performance in Appendix 2 </w:t>
      </w:r>
      <w:r w:rsidR="00507209" w:rsidRPr="002D35D5">
        <w:rPr>
          <w:szCs w:val="24"/>
        </w:rPr>
        <w:t xml:space="preserve">not only comply with </w:t>
      </w:r>
      <w:r w:rsidR="00E67101" w:rsidRPr="002D35D5">
        <w:rPr>
          <w:szCs w:val="24"/>
        </w:rPr>
        <w:t>the process detai</w:t>
      </w:r>
      <w:r w:rsidR="00BE112F">
        <w:rPr>
          <w:szCs w:val="24"/>
        </w:rPr>
        <w:t>led in Contract Standing Order</w:t>
      </w:r>
      <w:r w:rsidR="00813E47">
        <w:rPr>
          <w:szCs w:val="24"/>
        </w:rPr>
        <w:t>s</w:t>
      </w:r>
      <w:r w:rsidR="00507209" w:rsidRPr="002D35D5">
        <w:rPr>
          <w:szCs w:val="24"/>
        </w:rPr>
        <w:t xml:space="preserve"> but represent the Force’s ongoing commitment to greater efficiency and effectiveness.     </w:t>
      </w:r>
    </w:p>
    <w:p w:rsidR="00507209" w:rsidRPr="002D35D5" w:rsidRDefault="00507209" w:rsidP="0012515D">
      <w:pPr>
        <w:pStyle w:val="BodyTextIndent2"/>
        <w:ind w:left="0" w:firstLine="0"/>
        <w:jc w:val="both"/>
        <w:rPr>
          <w:szCs w:val="24"/>
        </w:rPr>
      </w:pPr>
    </w:p>
    <w:p w:rsidR="00091924" w:rsidRPr="002D35D5" w:rsidRDefault="00091924" w:rsidP="0012515D">
      <w:pPr>
        <w:pStyle w:val="BodyTextIndent2"/>
        <w:ind w:left="0" w:firstLine="0"/>
        <w:jc w:val="both"/>
        <w:rPr>
          <w:szCs w:val="24"/>
        </w:rPr>
      </w:pPr>
    </w:p>
    <w:p w:rsidR="00507209" w:rsidRPr="002D35D5" w:rsidRDefault="001C0F1A" w:rsidP="0012515D">
      <w:pPr>
        <w:pStyle w:val="BodyText"/>
        <w:jc w:val="both"/>
        <w:rPr>
          <w:rFonts w:ascii="Tahoma" w:hAnsi="Tahoma" w:cs="Tahoma"/>
          <w:szCs w:val="24"/>
        </w:rPr>
      </w:pPr>
      <w:r>
        <w:rPr>
          <w:rFonts w:ascii="Tahoma" w:hAnsi="Tahoma" w:cs="Tahoma"/>
          <w:szCs w:val="24"/>
        </w:rPr>
        <w:t>Claire Wrightson</w:t>
      </w:r>
    </w:p>
    <w:p w:rsidR="0012515D" w:rsidRDefault="001C0F1A" w:rsidP="0012515D">
      <w:pPr>
        <w:jc w:val="both"/>
        <w:rPr>
          <w:rFonts w:ascii="Tahoma" w:hAnsi="Tahoma" w:cs="Tahoma"/>
          <w:sz w:val="24"/>
          <w:szCs w:val="24"/>
        </w:rPr>
      </w:pPr>
      <w:r>
        <w:rPr>
          <w:rFonts w:ascii="Tahoma" w:hAnsi="Tahoma" w:cs="Tahoma"/>
          <w:sz w:val="24"/>
          <w:szCs w:val="24"/>
        </w:rPr>
        <w:t xml:space="preserve">Head of Procurement and Fleet </w:t>
      </w:r>
    </w:p>
    <w:p w:rsidR="001C0F1A" w:rsidRPr="002D35D5" w:rsidRDefault="001C0F1A" w:rsidP="0012515D">
      <w:pPr>
        <w:jc w:val="both"/>
        <w:rPr>
          <w:rFonts w:ascii="Tahoma" w:hAnsi="Tahoma" w:cs="Tahoma"/>
          <w:sz w:val="24"/>
          <w:szCs w:val="24"/>
        </w:rPr>
        <w:sectPr w:rsidR="001C0F1A" w:rsidRPr="002D35D5" w:rsidSect="00535E44">
          <w:headerReference w:type="default" r:id="rId9"/>
          <w:pgSz w:w="11909" w:h="16834" w:code="9"/>
          <w:pgMar w:top="1134" w:right="1134" w:bottom="1134" w:left="1134" w:header="709" w:footer="709" w:gutter="0"/>
          <w:paperSrc w:first="15" w:other="15"/>
          <w:cols w:space="720"/>
          <w:formProt w:val="0"/>
        </w:sectPr>
      </w:pPr>
    </w:p>
    <w:p w:rsidR="00A4787C" w:rsidRPr="002D35D5" w:rsidRDefault="009A2DC8" w:rsidP="0012515D">
      <w:pPr>
        <w:jc w:val="both"/>
        <w:rPr>
          <w:rFonts w:ascii="Tahoma" w:hAnsi="Tahoma" w:cs="Tahoma"/>
          <w:b/>
          <w:sz w:val="24"/>
          <w:szCs w:val="24"/>
          <w:u w:val="single"/>
          <w:lang w:eastAsia="en-GB"/>
        </w:rPr>
      </w:pPr>
      <w:r w:rsidRPr="002D35D5">
        <w:rPr>
          <w:rFonts w:ascii="Tahoma" w:hAnsi="Tahoma" w:cs="Tahoma"/>
          <w:b/>
          <w:sz w:val="24"/>
          <w:szCs w:val="24"/>
          <w:u w:val="single"/>
          <w:lang w:eastAsia="en-GB"/>
        </w:rPr>
        <w:lastRenderedPageBreak/>
        <w:t>Exceptional Situation</w:t>
      </w:r>
      <w:r w:rsidR="008C5DCD" w:rsidRPr="002D35D5">
        <w:rPr>
          <w:rFonts w:ascii="Tahoma" w:hAnsi="Tahoma" w:cs="Tahoma"/>
          <w:b/>
          <w:sz w:val="24"/>
          <w:szCs w:val="24"/>
          <w:u w:val="single"/>
          <w:lang w:eastAsia="en-GB"/>
        </w:rPr>
        <w:t xml:space="preserve"> </w:t>
      </w:r>
      <w:r w:rsidR="00AD6694" w:rsidRPr="002D35D5">
        <w:rPr>
          <w:rFonts w:ascii="Tahoma" w:hAnsi="Tahoma" w:cs="Tahoma"/>
          <w:b/>
          <w:sz w:val="24"/>
          <w:szCs w:val="24"/>
          <w:u w:val="single"/>
          <w:lang w:eastAsia="en-GB"/>
        </w:rPr>
        <w:t>– Proprietary</w:t>
      </w:r>
      <w:r w:rsidR="008C5DCD" w:rsidRPr="002D35D5">
        <w:rPr>
          <w:rFonts w:ascii="Tahoma" w:hAnsi="Tahoma" w:cs="Tahoma"/>
          <w:b/>
          <w:sz w:val="24"/>
          <w:szCs w:val="24"/>
          <w:u w:val="single"/>
          <w:lang w:eastAsia="en-GB"/>
        </w:rPr>
        <w:t xml:space="preserve"> Product</w:t>
      </w:r>
    </w:p>
    <w:p w:rsidR="0085271D" w:rsidRDefault="0085271D" w:rsidP="0085271D">
      <w:pPr>
        <w:pStyle w:val="BodyText2"/>
        <w:jc w:val="both"/>
        <w:rPr>
          <w:b/>
          <w:szCs w:val="24"/>
          <w:lang w:eastAsia="en-GB"/>
        </w:rPr>
      </w:pPr>
    </w:p>
    <w:p w:rsidR="00E6097A" w:rsidRPr="00831597" w:rsidRDefault="004B0AC4" w:rsidP="0085271D">
      <w:pPr>
        <w:pStyle w:val="BodyText2"/>
        <w:numPr>
          <w:ilvl w:val="0"/>
          <w:numId w:val="37"/>
        </w:numPr>
        <w:jc w:val="both"/>
        <w:rPr>
          <w:szCs w:val="24"/>
        </w:rPr>
      </w:pPr>
      <w:r>
        <w:rPr>
          <w:b/>
          <w:noProof/>
          <w:szCs w:val="24"/>
          <w:u w:val="none"/>
          <w:lang w:eastAsia="en-GB"/>
        </w:rPr>
        <mc:AlternateContent>
          <mc:Choice Requires="wpi">
            <w:drawing>
              <wp:anchor distT="0" distB="0" distL="114300" distR="114300" simplePos="0" relativeHeight="251689984" behindDoc="0" locked="0" layoutInCell="1" allowOverlap="1" wp14:anchorId="14AA7DD5" wp14:editId="6BAA102B">
                <wp:simplePos x="0" y="0"/>
                <wp:positionH relativeFrom="column">
                  <wp:posOffset>6432790</wp:posOffset>
                </wp:positionH>
                <wp:positionV relativeFrom="paragraph">
                  <wp:posOffset>237130</wp:posOffset>
                </wp:positionV>
                <wp:extent cx="360" cy="360"/>
                <wp:effectExtent l="57150" t="57150" r="76200" b="76200"/>
                <wp:wrapNone/>
                <wp:docPr id="36" name="Ink 36"/>
                <wp:cNvGraphicFramePr/>
                <a:graphic xmlns:a="http://schemas.openxmlformats.org/drawingml/2006/main">
                  <a:graphicData uri="http://schemas.microsoft.com/office/word/2010/wordprocessingInk">
                    <w14:contentPart bwMode="auto" r:id="rId10">
                      <w14:nvContentPartPr>
                        <w14:cNvContentPartPr/>
                      </w14:nvContentPartPr>
                      <w14:xfrm>
                        <a:off x="0" y="0"/>
                        <a:ext cx="360" cy="360"/>
                      </w14:xfrm>
                    </w14:contentPart>
                  </a:graphicData>
                </a:graphic>
              </wp:anchor>
            </w:drawing>
          </mc:Choice>
          <mc:Fallback>
            <w:pict>
              <v:shapetype w14:anchorId="5A2B228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6" o:spid="_x0000_s1026" type="#_x0000_t75" style="position:absolute;margin-left:505.1pt;margin-top:17.25pt;width:2.9pt;height:2.9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1CplR9AQAALAMAAA4AAABkcnMvZTJvRG9jLnhtbJxSy27CMBC8V+o/&#10;WL4XB6gQiggciipxKOXQfoDr2MRq7I3WhsDfd5MQoK2qSlyifcSzMzs7WxxcyfYagwWf8eEg4Ux7&#10;Bbn124y/vz0/TDkLUfpcluB1xo868MX8/m5WV6keQQFlrpERiA9pXWW8iLFKhQiq0E6GAVTaU9MA&#10;Ohkpxa3IUdaE7koxSpKJqAHzCkHpEKi67Jp83uIbo1V8NSboyEpiN00S4hfPETbReEK1jz4S85lM&#10;tyirwqoTLXkDKyetJxJnqKWMku3Q/oJyViEEMHGgwAkwxirdaiJ1w+SHupX/bJQNH9UOUwU+ah83&#10;EmO/v7ZxywhX0grqF8jJIbmLwE+ItKD/DelIL0HtHPHpXEFdykgnEQpbBc4wtXnGcZUPL/z9/umi&#10;YIMXXev9Blnz/3jCmZeOOJFwRhmZ04tff39NHXFq/YV7MOgaR4guO2ScTD8239ZwfYhMUbG9BUX1&#10;JrjC7N72E642T2O/eXydN5Sujnz+BQ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wQUAAYACAAA&#10;ACEA9f+cBeEAAAALAQAADwAAAGRycy9kb3ducmV2LnhtbEyPwU7DMBBE70j8g7VIXBC105YCIU5V&#10;IYqEqBAEuLvxkqTE6yh20/D3bE9wHO3T7JtsObpWDNiHxpOGZKJAIJXeNlRp+HhfX96ACNGQNa0n&#10;1PCDAZb56UlmUusP9IZDESvBJRRSo6GOsUulDGWNzoSJ75D49uV7ZyLHvpK2Nwcud62cKrWQzjTE&#10;H2rT4X2N5XexdxqeH9aHz9Xm6fp12N0+xt14UdjNi9bnZ+PqDkTEMf7BcNRndcjZaev3ZINoOatE&#10;TZnVMJtfgTgSKlnwvK2GuZqBzDP5f0P+CwAA//8DAFBLAwQUAAYACAAAACEAz0pf3+EBAAC6BAAA&#10;EAAAAGRycy9pbmsvaW5rMS54bWysU8GK2zAQvRf6D0I99BLbUpwmWbPOHkoXCi0s3RTao9eexGIt&#10;KchynPx9x7IjZ1svhVIEsjyj9zTvaXR7d5IVOYKphVYp5SGjBFSuC6H2Kf2+vQ/WlNQ2U0VWaQUp&#10;PUNN7zZv39wK9SyrBGeCDKruVrJKaWntIYmitm3DNg612UdzxuLos3r++oVuBlQBO6GExSPrSyjX&#10;ysLJdmSJKFKa2xPz+5H7UTcmB5/uIiYfd1iT5XCvjcysZywzpaAiKpNY9w9K7PmAC4Hn7MFQIrMT&#10;CmY8XlLSYDU1HippNA3/OQ1frpZo2F/R22n0POSL1WL96cZTFHDsKoicmcnroh6MPoCxAkb/erVD&#10;4kzy/t8J7x0wUOuq6Uyn5JhVDXqxYGP1PJpQ/ycdGvE/6dCZV+m4t4VHL40ZxF27MFjmO+VyjVZI&#10;wP6VB986tkbRXfjRGtflc8bXAYsDNt+ymyTmyWIV8lV8dRFDc144n0xTl57vyYxt6DLetF5ZKwpb&#10;estZOMq6NnwKWYLYl/afoDtht/pjY47g4fxKkDvN99nEc3StRwbd32CX0nfuRRKH7ANOOCM4Zu9Z&#10;N2aU4eDLGYYC3s8fug+5xFyKcBcM+s+QQxKH+m3Hi6fgC8Zb3vwCAAD//wMAUEsBAi0AFAAGAAgA&#10;AAAhAJszJzcMAQAALQIAABMAAAAAAAAAAAAAAAAAAAAAAFtDb250ZW50X1R5cGVzXS54bWxQSwEC&#10;LQAUAAYACAAAACEAOP0h/9YAAACUAQAACwAAAAAAAAAAAAAAAAA9AQAAX3JlbHMvLnJlbHNQSwEC&#10;LQAUAAYACAAAACEAXUKmVH0BAAAsAwAADgAAAAAAAAAAAAAAAAA8AgAAZHJzL2Uyb0RvYy54bWxQ&#10;SwECLQAUAAYACAAAACEAeRi8nb8AAAAhAQAAGQAAAAAAAAAAAAAAAADlAwAAZHJzL19yZWxzL2Uy&#10;b0RvYy54bWwucmVsc1BLAQItABQABgAIAAAAIQD1/5wF4QAAAAsBAAAPAAAAAAAAAAAAAAAAANsE&#10;AABkcnMvZG93bnJldi54bWxQSwECLQAUAAYACAAAACEAz0pf3+EBAAC6BAAAEAAAAAAAAAAAAAAA&#10;AADpBQAAZHJzL2luay9pbmsxLnhtbFBLBQYAAAAABgAGAHgBAAD4BwAAAAA=&#10;">
                <v:imagedata r:id="rId11" o:title=""/>
              </v:shape>
            </w:pict>
          </mc:Fallback>
        </mc:AlternateContent>
      </w:r>
      <w:r w:rsidR="0029516A">
        <w:rPr>
          <w:b/>
          <w:szCs w:val="24"/>
          <w:u w:val="none"/>
        </w:rPr>
        <w:t>Loan of the Knife Angel Sculpture for a month for the OPCC at a cost of £40,000 from Absolute Services Group and Middlesbrough Borough Council</w:t>
      </w:r>
      <w:r w:rsidR="00E6097A">
        <w:rPr>
          <w:b/>
          <w:szCs w:val="24"/>
          <w:u w:val="none"/>
        </w:rPr>
        <w:t>.</w:t>
      </w:r>
    </w:p>
    <w:p w:rsidR="00E6097A" w:rsidRDefault="00E6097A" w:rsidP="00E6097A">
      <w:pPr>
        <w:pStyle w:val="BodyText2"/>
        <w:jc w:val="both"/>
        <w:rPr>
          <w:szCs w:val="24"/>
          <w:u w:val="none"/>
        </w:rPr>
      </w:pPr>
    </w:p>
    <w:p w:rsidR="00765534" w:rsidRDefault="0029516A" w:rsidP="0029516A">
      <w:pPr>
        <w:pStyle w:val="BodyText2"/>
        <w:numPr>
          <w:ilvl w:val="1"/>
          <w:numId w:val="34"/>
        </w:numPr>
        <w:jc w:val="both"/>
        <w:rPr>
          <w:u w:val="none"/>
        </w:rPr>
      </w:pPr>
      <w:r>
        <w:rPr>
          <w:u w:val="none"/>
        </w:rPr>
        <w:t>The Knife Angel is a unique piece of artwork which has been designed to promote the awareness of knife crime.</w:t>
      </w:r>
    </w:p>
    <w:p w:rsidR="0029516A" w:rsidRDefault="0029516A" w:rsidP="0029516A">
      <w:pPr>
        <w:pStyle w:val="BodyText2"/>
        <w:ind w:left="720"/>
        <w:jc w:val="both"/>
        <w:rPr>
          <w:u w:val="none"/>
        </w:rPr>
      </w:pPr>
    </w:p>
    <w:p w:rsidR="0029516A" w:rsidRDefault="0029516A" w:rsidP="0029516A">
      <w:pPr>
        <w:pStyle w:val="BodyText2"/>
        <w:numPr>
          <w:ilvl w:val="1"/>
          <w:numId w:val="34"/>
        </w:numPr>
        <w:jc w:val="both"/>
        <w:rPr>
          <w:szCs w:val="24"/>
          <w:u w:val="none"/>
        </w:rPr>
      </w:pPr>
      <w:r>
        <w:rPr>
          <w:u w:val="none"/>
        </w:rPr>
        <w:t>The Knife Angel is loaned to regions to aid their anti-knife crime campaigns free of charge, however regions are required to fund the transportation and erection of the Knife Angel.</w:t>
      </w:r>
    </w:p>
    <w:p w:rsidR="00765534" w:rsidRDefault="00765534" w:rsidP="00765534">
      <w:pPr>
        <w:pStyle w:val="BodyText2"/>
        <w:ind w:left="709" w:hanging="709"/>
        <w:jc w:val="both"/>
        <w:rPr>
          <w:szCs w:val="24"/>
          <w:u w:val="none"/>
        </w:rPr>
      </w:pPr>
    </w:p>
    <w:p w:rsidR="00765534" w:rsidRDefault="00765534" w:rsidP="00765534">
      <w:pPr>
        <w:pStyle w:val="BodyText2"/>
        <w:ind w:left="709" w:hanging="709"/>
        <w:jc w:val="both"/>
        <w:rPr>
          <w:szCs w:val="24"/>
          <w:u w:val="none"/>
        </w:rPr>
      </w:pPr>
      <w:r>
        <w:rPr>
          <w:szCs w:val="24"/>
          <w:u w:val="none"/>
        </w:rPr>
        <w:t>1.2</w:t>
      </w:r>
      <w:r>
        <w:rPr>
          <w:szCs w:val="24"/>
          <w:u w:val="none"/>
        </w:rPr>
        <w:tab/>
      </w:r>
      <w:r w:rsidR="0029516A">
        <w:rPr>
          <w:szCs w:val="24"/>
          <w:u w:val="none"/>
        </w:rPr>
        <w:t xml:space="preserve">Absolute Services Group are the only provider who have experience transporting the sculpture and therefore the only provider approved by the owner. The costs </w:t>
      </w:r>
      <w:r w:rsidR="00651602">
        <w:rPr>
          <w:szCs w:val="24"/>
          <w:u w:val="none"/>
        </w:rPr>
        <w:t>include transportation, crane hire, signage and communications and works from Mi</w:t>
      </w:r>
      <w:r w:rsidR="0085271D">
        <w:rPr>
          <w:szCs w:val="24"/>
          <w:u w:val="none"/>
        </w:rPr>
        <w:t>ddlesbrough Council to include g</w:t>
      </w:r>
      <w:r w:rsidR="00651602">
        <w:rPr>
          <w:szCs w:val="24"/>
          <w:u w:val="none"/>
        </w:rPr>
        <w:t>round works, fencing, lighting and security.</w:t>
      </w:r>
    </w:p>
    <w:p w:rsidR="00E6097A" w:rsidRDefault="00E6097A" w:rsidP="00E6097A">
      <w:pPr>
        <w:pStyle w:val="ListParagraph"/>
        <w:rPr>
          <w:b/>
          <w:szCs w:val="24"/>
        </w:rPr>
      </w:pPr>
    </w:p>
    <w:p w:rsidR="00A009B0" w:rsidRPr="00AF5C2D" w:rsidRDefault="00FE6891" w:rsidP="00651602">
      <w:pPr>
        <w:pStyle w:val="BodyText2"/>
        <w:numPr>
          <w:ilvl w:val="0"/>
          <w:numId w:val="35"/>
        </w:numPr>
        <w:jc w:val="both"/>
        <w:rPr>
          <w:noProof/>
          <w:szCs w:val="24"/>
          <w:u w:val="none"/>
        </w:rPr>
      </w:pPr>
      <w:r>
        <w:rPr>
          <w:b/>
          <w:bCs/>
          <w:noProof/>
          <w:szCs w:val="24"/>
          <w:u w:val="none"/>
        </w:rPr>
        <w:t xml:space="preserve">2 x </w:t>
      </w:r>
      <w:r w:rsidR="00242047">
        <w:rPr>
          <w:b/>
          <w:bCs/>
          <w:noProof/>
          <w:szCs w:val="24"/>
          <w:u w:val="none"/>
        </w:rPr>
        <w:t>12 Month Student Placement</w:t>
      </w:r>
      <w:r>
        <w:rPr>
          <w:b/>
          <w:bCs/>
          <w:noProof/>
          <w:szCs w:val="24"/>
          <w:u w:val="none"/>
        </w:rPr>
        <w:t>s</w:t>
      </w:r>
      <w:r w:rsidR="00242047">
        <w:rPr>
          <w:b/>
          <w:bCs/>
          <w:noProof/>
          <w:szCs w:val="24"/>
          <w:u w:val="none"/>
        </w:rPr>
        <w:t xml:space="preserve"> within Scientific Support at a cost o</w:t>
      </w:r>
      <w:r w:rsidR="00A93AEF">
        <w:rPr>
          <w:b/>
          <w:bCs/>
          <w:noProof/>
          <w:szCs w:val="24"/>
          <w:u w:val="none"/>
        </w:rPr>
        <w:t>f</w:t>
      </w:r>
      <w:r>
        <w:rPr>
          <w:b/>
          <w:bCs/>
          <w:noProof/>
          <w:szCs w:val="24"/>
          <w:u w:val="none"/>
        </w:rPr>
        <w:t xml:space="preserve"> £24</w:t>
      </w:r>
      <w:r w:rsidR="00242047">
        <w:rPr>
          <w:b/>
          <w:bCs/>
          <w:noProof/>
          <w:szCs w:val="24"/>
          <w:u w:val="none"/>
        </w:rPr>
        <w:t>,000 from Teesside University.</w:t>
      </w:r>
    </w:p>
    <w:p w:rsidR="00A009B0" w:rsidRPr="00AB3599" w:rsidRDefault="00A009B0" w:rsidP="00A009B0">
      <w:pPr>
        <w:pStyle w:val="BodyText2"/>
        <w:ind w:left="360"/>
        <w:jc w:val="both"/>
        <w:rPr>
          <w:b/>
          <w:bCs/>
          <w:noProof/>
          <w:szCs w:val="24"/>
          <w:u w:val="none"/>
        </w:rPr>
      </w:pPr>
    </w:p>
    <w:p w:rsidR="00494E6D" w:rsidRDefault="00FE6891" w:rsidP="00A009B0">
      <w:pPr>
        <w:pStyle w:val="BodyText2"/>
        <w:ind w:left="709" w:hanging="709"/>
        <w:jc w:val="both"/>
        <w:rPr>
          <w:noProof/>
          <w:szCs w:val="24"/>
          <w:u w:val="none"/>
        </w:rPr>
      </w:pPr>
      <w:r>
        <w:rPr>
          <w:noProof/>
          <w:szCs w:val="24"/>
          <w:u w:val="none"/>
        </w:rPr>
        <w:t>2</w:t>
      </w:r>
      <w:r w:rsidR="00A009B0" w:rsidRPr="006930C7">
        <w:rPr>
          <w:noProof/>
          <w:szCs w:val="24"/>
          <w:u w:val="none"/>
        </w:rPr>
        <w:t>.1</w:t>
      </w:r>
      <w:r w:rsidR="00A009B0" w:rsidRPr="006930C7">
        <w:rPr>
          <w:noProof/>
          <w:szCs w:val="24"/>
          <w:u w:val="none"/>
        </w:rPr>
        <w:tab/>
      </w:r>
      <w:r w:rsidR="00242047">
        <w:rPr>
          <w:noProof/>
          <w:szCs w:val="24"/>
          <w:u w:val="none"/>
        </w:rPr>
        <w:t>The Force</w:t>
      </w:r>
      <w:r w:rsidR="00494E6D">
        <w:rPr>
          <w:noProof/>
          <w:szCs w:val="24"/>
          <w:u w:val="none"/>
        </w:rPr>
        <w:t xml:space="preserve"> works closely with the University of Teesside in a number of areas includ</w:t>
      </w:r>
      <w:r w:rsidR="00A93AEF">
        <w:rPr>
          <w:noProof/>
          <w:szCs w:val="24"/>
          <w:u w:val="none"/>
        </w:rPr>
        <w:t>ing</w:t>
      </w:r>
      <w:r w:rsidR="00494E6D">
        <w:rPr>
          <w:noProof/>
          <w:szCs w:val="24"/>
          <w:u w:val="none"/>
        </w:rPr>
        <w:t xml:space="preserve"> Scenes of Crime</w:t>
      </w:r>
      <w:r w:rsidR="00A93AEF">
        <w:rPr>
          <w:noProof/>
          <w:szCs w:val="24"/>
          <w:u w:val="none"/>
        </w:rPr>
        <w:t xml:space="preserve">. This includes the sharing of </w:t>
      </w:r>
      <w:r w:rsidR="00494E6D">
        <w:rPr>
          <w:noProof/>
          <w:szCs w:val="24"/>
          <w:u w:val="none"/>
        </w:rPr>
        <w:t>facilities such as Scene houses. The University has one of the main CSI Crime Scene Courses in  the Country and is the only Further Education provider in the Cleveland area.</w:t>
      </w:r>
    </w:p>
    <w:p w:rsidR="00494E6D" w:rsidRDefault="00494E6D" w:rsidP="00A009B0">
      <w:pPr>
        <w:pStyle w:val="BodyText2"/>
        <w:ind w:left="709" w:hanging="709"/>
        <w:jc w:val="both"/>
        <w:rPr>
          <w:noProof/>
          <w:szCs w:val="24"/>
          <w:u w:val="none"/>
        </w:rPr>
      </w:pPr>
    </w:p>
    <w:p w:rsidR="00A009B0" w:rsidRDefault="00FE6891" w:rsidP="00A12501">
      <w:pPr>
        <w:pStyle w:val="BodyText2"/>
        <w:ind w:left="709" w:hanging="709"/>
        <w:jc w:val="both"/>
        <w:rPr>
          <w:noProof/>
          <w:szCs w:val="24"/>
          <w:u w:val="none"/>
        </w:rPr>
      </w:pPr>
      <w:r>
        <w:rPr>
          <w:noProof/>
          <w:szCs w:val="24"/>
          <w:u w:val="none"/>
        </w:rPr>
        <w:t>2</w:t>
      </w:r>
      <w:r w:rsidR="00494E6D">
        <w:rPr>
          <w:noProof/>
          <w:szCs w:val="24"/>
          <w:u w:val="none"/>
        </w:rPr>
        <w:t>.2</w:t>
      </w:r>
      <w:r w:rsidR="00494E6D">
        <w:rPr>
          <w:noProof/>
          <w:szCs w:val="24"/>
          <w:u w:val="none"/>
        </w:rPr>
        <w:tab/>
      </w:r>
      <w:r w:rsidR="00A93AEF">
        <w:rPr>
          <w:noProof/>
          <w:szCs w:val="24"/>
          <w:u w:val="none"/>
        </w:rPr>
        <w:t>The Force has an a</w:t>
      </w:r>
      <w:r w:rsidR="00A12501">
        <w:rPr>
          <w:noProof/>
          <w:szCs w:val="24"/>
          <w:u w:val="none"/>
        </w:rPr>
        <w:t>greement</w:t>
      </w:r>
      <w:r w:rsidR="00A93AEF">
        <w:rPr>
          <w:noProof/>
          <w:szCs w:val="24"/>
          <w:u w:val="none"/>
        </w:rPr>
        <w:t xml:space="preserve"> with the University of Teesside to offer a work placement</w:t>
      </w:r>
      <w:r w:rsidR="00A12501">
        <w:rPr>
          <w:noProof/>
          <w:szCs w:val="24"/>
          <w:u w:val="none"/>
        </w:rPr>
        <w:t xml:space="preserve"> for a CSI </w:t>
      </w:r>
      <w:r w:rsidR="00A93AEF">
        <w:rPr>
          <w:noProof/>
          <w:szCs w:val="24"/>
          <w:u w:val="none"/>
        </w:rPr>
        <w:t>Student</w:t>
      </w:r>
      <w:r w:rsidR="00A12501">
        <w:rPr>
          <w:noProof/>
          <w:szCs w:val="24"/>
          <w:u w:val="none"/>
        </w:rPr>
        <w:t xml:space="preserve"> within Scenes of Crime</w:t>
      </w:r>
      <w:r w:rsidR="00A93AEF">
        <w:rPr>
          <w:noProof/>
          <w:szCs w:val="24"/>
          <w:u w:val="none"/>
        </w:rPr>
        <w:t>. This placement</w:t>
      </w:r>
      <w:r w:rsidR="00A12501">
        <w:rPr>
          <w:noProof/>
          <w:szCs w:val="24"/>
          <w:u w:val="none"/>
        </w:rPr>
        <w:t xml:space="preserve"> assist</w:t>
      </w:r>
      <w:r w:rsidR="00A93AEF">
        <w:rPr>
          <w:noProof/>
          <w:szCs w:val="24"/>
          <w:u w:val="none"/>
        </w:rPr>
        <w:t>s</w:t>
      </w:r>
      <w:r w:rsidR="00A12501">
        <w:rPr>
          <w:noProof/>
          <w:szCs w:val="24"/>
          <w:u w:val="none"/>
        </w:rPr>
        <w:t xml:space="preserve"> in Volume Crime</w:t>
      </w:r>
      <w:r w:rsidR="00A93AEF">
        <w:rPr>
          <w:noProof/>
          <w:szCs w:val="24"/>
          <w:u w:val="none"/>
        </w:rPr>
        <w:t xml:space="preserve"> and provides mutual benefit to both the University and Student in </w:t>
      </w:r>
      <w:r w:rsidR="00A12501">
        <w:rPr>
          <w:noProof/>
          <w:szCs w:val="24"/>
          <w:u w:val="none"/>
        </w:rPr>
        <w:t xml:space="preserve"> providing work placement as part of their course and </w:t>
      </w:r>
      <w:r w:rsidR="00A93AEF">
        <w:rPr>
          <w:noProof/>
          <w:szCs w:val="24"/>
          <w:u w:val="none"/>
        </w:rPr>
        <w:t xml:space="preserve">the Force </w:t>
      </w:r>
      <w:r w:rsidR="00A12501">
        <w:rPr>
          <w:noProof/>
          <w:szCs w:val="24"/>
          <w:u w:val="none"/>
        </w:rPr>
        <w:t xml:space="preserve">assisting with the workload within the Force. </w:t>
      </w:r>
    </w:p>
    <w:p w:rsidR="00A009B0" w:rsidRDefault="00A009B0" w:rsidP="00A009B0">
      <w:pPr>
        <w:pStyle w:val="BodyText2"/>
        <w:ind w:left="709" w:hanging="709"/>
        <w:jc w:val="both"/>
        <w:rPr>
          <w:szCs w:val="24"/>
          <w:u w:val="none"/>
        </w:rPr>
      </w:pPr>
    </w:p>
    <w:p w:rsidR="00A009B0" w:rsidRDefault="00FE6891" w:rsidP="006A17AD">
      <w:pPr>
        <w:pStyle w:val="BodyText2"/>
        <w:numPr>
          <w:ilvl w:val="0"/>
          <w:numId w:val="24"/>
        </w:numPr>
        <w:jc w:val="both"/>
        <w:rPr>
          <w:b/>
          <w:noProof/>
          <w:szCs w:val="24"/>
          <w:u w:val="none"/>
        </w:rPr>
      </w:pPr>
      <w:r>
        <w:rPr>
          <w:b/>
          <w:noProof/>
          <w:szCs w:val="24"/>
          <w:u w:val="none"/>
        </w:rPr>
        <w:t>Extension of Victim Care and Advice Service for 12 months by OPCC at a cost of £364,500 from Safe in Tees Valley</w:t>
      </w:r>
      <w:r w:rsidR="004C10A0">
        <w:rPr>
          <w:b/>
          <w:noProof/>
          <w:szCs w:val="24"/>
          <w:u w:val="none"/>
        </w:rPr>
        <w:t>.</w:t>
      </w:r>
    </w:p>
    <w:p w:rsidR="00A009B0" w:rsidRDefault="00A009B0" w:rsidP="00A009B0">
      <w:pPr>
        <w:pStyle w:val="BodyText2"/>
        <w:ind w:left="709" w:hanging="709"/>
        <w:jc w:val="both"/>
        <w:rPr>
          <w:b/>
          <w:noProof/>
          <w:szCs w:val="24"/>
          <w:u w:val="none"/>
        </w:rPr>
      </w:pPr>
    </w:p>
    <w:p w:rsidR="00FE6891" w:rsidRDefault="00AF5C2D" w:rsidP="00A009B0">
      <w:pPr>
        <w:pStyle w:val="BodyText2"/>
        <w:ind w:left="709" w:hanging="709"/>
        <w:jc w:val="both"/>
        <w:rPr>
          <w:noProof/>
          <w:szCs w:val="24"/>
          <w:u w:val="none"/>
        </w:rPr>
      </w:pPr>
      <w:r>
        <w:rPr>
          <w:noProof/>
          <w:szCs w:val="24"/>
          <w:u w:val="none"/>
        </w:rPr>
        <w:t xml:space="preserve"> </w:t>
      </w:r>
      <w:r w:rsidR="00FE6891">
        <w:rPr>
          <w:noProof/>
          <w:szCs w:val="24"/>
          <w:u w:val="none"/>
        </w:rPr>
        <w:t>3</w:t>
      </w:r>
      <w:r w:rsidR="00A009B0">
        <w:rPr>
          <w:noProof/>
          <w:szCs w:val="24"/>
          <w:u w:val="none"/>
        </w:rPr>
        <w:t>.1</w:t>
      </w:r>
      <w:r w:rsidR="00A009B0">
        <w:rPr>
          <w:noProof/>
          <w:szCs w:val="24"/>
          <w:u w:val="none"/>
        </w:rPr>
        <w:tab/>
      </w:r>
      <w:r w:rsidR="00FE6891">
        <w:rPr>
          <w:noProof/>
          <w:szCs w:val="24"/>
          <w:u w:val="none"/>
        </w:rPr>
        <w:t>A Co</w:t>
      </w:r>
      <w:r w:rsidR="004D0DF8">
        <w:rPr>
          <w:noProof/>
          <w:szCs w:val="24"/>
          <w:u w:val="none"/>
        </w:rPr>
        <w:t>l</w:t>
      </w:r>
      <w:r w:rsidR="00FE6891">
        <w:rPr>
          <w:noProof/>
          <w:szCs w:val="24"/>
          <w:u w:val="none"/>
        </w:rPr>
        <w:t>laborative contract between bot</w:t>
      </w:r>
      <w:r w:rsidR="004D0DF8">
        <w:rPr>
          <w:noProof/>
          <w:szCs w:val="24"/>
          <w:u w:val="none"/>
        </w:rPr>
        <w:t>h</w:t>
      </w:r>
      <w:r w:rsidR="00FE6891">
        <w:rPr>
          <w:noProof/>
          <w:szCs w:val="24"/>
          <w:u w:val="none"/>
        </w:rPr>
        <w:t xml:space="preserve"> Durham and Cleveland PCC’s was put in place 5 years</w:t>
      </w:r>
      <w:r w:rsidR="004D0DF8">
        <w:rPr>
          <w:noProof/>
          <w:szCs w:val="24"/>
          <w:u w:val="none"/>
        </w:rPr>
        <w:t xml:space="preserve"> ago</w:t>
      </w:r>
      <w:r w:rsidR="0085271D">
        <w:rPr>
          <w:noProof/>
          <w:szCs w:val="24"/>
          <w:u w:val="none"/>
        </w:rPr>
        <w:t xml:space="preserve"> for the provision of v</w:t>
      </w:r>
      <w:r w:rsidR="00FE6891">
        <w:rPr>
          <w:noProof/>
          <w:szCs w:val="24"/>
          <w:u w:val="none"/>
        </w:rPr>
        <w:t xml:space="preserve">ictim advice and support services. This is a vital service which provides support for </w:t>
      </w:r>
      <w:r w:rsidR="004D0DF8">
        <w:rPr>
          <w:noProof/>
          <w:szCs w:val="24"/>
          <w:u w:val="none"/>
        </w:rPr>
        <w:t>V</w:t>
      </w:r>
      <w:r w:rsidR="00FE6891">
        <w:rPr>
          <w:noProof/>
          <w:szCs w:val="24"/>
          <w:u w:val="none"/>
        </w:rPr>
        <w:t>ictims of Crim</w:t>
      </w:r>
      <w:r w:rsidR="004D0DF8">
        <w:rPr>
          <w:noProof/>
          <w:szCs w:val="24"/>
          <w:u w:val="none"/>
        </w:rPr>
        <w:t>e</w:t>
      </w:r>
      <w:r w:rsidR="00FE6891">
        <w:rPr>
          <w:noProof/>
          <w:szCs w:val="24"/>
          <w:u w:val="none"/>
        </w:rPr>
        <w:t xml:space="preserve"> across both Cleveland and Durham.</w:t>
      </w:r>
    </w:p>
    <w:p w:rsidR="00FE6891" w:rsidRDefault="00FE6891" w:rsidP="00A009B0">
      <w:pPr>
        <w:pStyle w:val="BodyText2"/>
        <w:ind w:left="709" w:hanging="709"/>
        <w:jc w:val="both"/>
        <w:rPr>
          <w:noProof/>
          <w:szCs w:val="24"/>
          <w:u w:val="none"/>
        </w:rPr>
      </w:pPr>
    </w:p>
    <w:p w:rsidR="004D0DF8" w:rsidRDefault="00FE6891" w:rsidP="004D0DF8">
      <w:pPr>
        <w:pStyle w:val="BodyText2"/>
        <w:numPr>
          <w:ilvl w:val="1"/>
          <w:numId w:val="2"/>
        </w:numPr>
        <w:jc w:val="both"/>
        <w:rPr>
          <w:noProof/>
          <w:szCs w:val="24"/>
          <w:u w:val="none"/>
        </w:rPr>
      </w:pPr>
      <w:r>
        <w:rPr>
          <w:noProof/>
          <w:szCs w:val="24"/>
          <w:u w:val="none"/>
        </w:rPr>
        <w:t xml:space="preserve">The contract was due to come to its natural end in March 2020, however </w:t>
      </w:r>
      <w:r w:rsidR="004D0DF8">
        <w:rPr>
          <w:noProof/>
          <w:szCs w:val="24"/>
          <w:u w:val="none"/>
        </w:rPr>
        <w:t>the PCC’s for both Cleveland and Durham have agreed to extend the contract for 12 months. The rationale for this is to ensure continuity of service prov</w:t>
      </w:r>
      <w:r w:rsidR="00E34DE9">
        <w:rPr>
          <w:noProof/>
          <w:szCs w:val="24"/>
          <w:u w:val="none"/>
        </w:rPr>
        <w:t>i</w:t>
      </w:r>
      <w:r w:rsidR="004D0DF8">
        <w:rPr>
          <w:noProof/>
          <w:szCs w:val="24"/>
          <w:u w:val="none"/>
        </w:rPr>
        <w:t>sion throughout the PCC election period, ensuring the incoming PCC is not committed to a long term contractual arrangement. The risk of re-procuring this service for a short period of tie may result in limited interest from the market.</w:t>
      </w:r>
    </w:p>
    <w:p w:rsidR="0085271D" w:rsidRDefault="0085271D" w:rsidP="0085271D">
      <w:pPr>
        <w:pStyle w:val="BodyText2"/>
        <w:ind w:left="720"/>
        <w:jc w:val="both"/>
        <w:rPr>
          <w:noProof/>
          <w:szCs w:val="24"/>
          <w:u w:val="none"/>
        </w:rPr>
      </w:pPr>
    </w:p>
    <w:p w:rsidR="004D0DF8" w:rsidRPr="004D0DF8" w:rsidRDefault="004D0DF8" w:rsidP="004D0DF8">
      <w:pPr>
        <w:pStyle w:val="BodyText2"/>
        <w:numPr>
          <w:ilvl w:val="1"/>
          <w:numId w:val="2"/>
        </w:numPr>
        <w:jc w:val="both"/>
        <w:rPr>
          <w:b/>
          <w:szCs w:val="24"/>
          <w:u w:val="none"/>
        </w:rPr>
      </w:pPr>
      <w:r>
        <w:rPr>
          <w:noProof/>
          <w:szCs w:val="24"/>
          <w:u w:val="none"/>
        </w:rPr>
        <w:t>It is unclear at this stage of each incoming PCC’s intentions in terms of the future service model, however it is Cleveland’s intention to re-procure the services in readiness for March 2021.</w:t>
      </w:r>
    </w:p>
    <w:p w:rsidR="00AF5C2D" w:rsidRDefault="004D0DF8" w:rsidP="004D0DF8">
      <w:pPr>
        <w:pStyle w:val="BodyText2"/>
        <w:ind w:left="720"/>
        <w:jc w:val="both"/>
        <w:rPr>
          <w:b/>
          <w:szCs w:val="24"/>
          <w:u w:val="none"/>
        </w:rPr>
      </w:pPr>
      <w:r>
        <w:rPr>
          <w:b/>
          <w:szCs w:val="24"/>
          <w:u w:val="none"/>
        </w:rPr>
        <w:lastRenderedPageBreak/>
        <w:t xml:space="preserve"> </w:t>
      </w:r>
    </w:p>
    <w:p w:rsidR="004D0DF8" w:rsidRPr="004D0DF8" w:rsidRDefault="004D0DF8" w:rsidP="004D0DF8">
      <w:pPr>
        <w:pStyle w:val="BodyText2"/>
        <w:numPr>
          <w:ilvl w:val="0"/>
          <w:numId w:val="24"/>
        </w:numPr>
        <w:jc w:val="both"/>
        <w:rPr>
          <w:noProof/>
          <w:szCs w:val="24"/>
          <w:u w:val="none"/>
        </w:rPr>
      </w:pPr>
      <w:r>
        <w:rPr>
          <w:b/>
          <w:noProof/>
          <w:szCs w:val="24"/>
          <w:u w:val="none"/>
        </w:rPr>
        <w:t>Extension of Support and Maintenance for 15 months of the ANPR System by ICT at a cost of £23,036 from Cleartone.</w:t>
      </w:r>
    </w:p>
    <w:p w:rsidR="004D0DF8" w:rsidRPr="004D0DF8" w:rsidRDefault="004D0DF8" w:rsidP="004D0DF8">
      <w:pPr>
        <w:pStyle w:val="BodyText2"/>
        <w:ind w:left="720"/>
        <w:jc w:val="both"/>
        <w:rPr>
          <w:noProof/>
          <w:szCs w:val="24"/>
          <w:u w:val="none"/>
        </w:rPr>
      </w:pPr>
    </w:p>
    <w:p w:rsidR="00D05E9D" w:rsidRDefault="004D0DF8" w:rsidP="004D0DF8">
      <w:pPr>
        <w:pStyle w:val="BodyText2"/>
        <w:ind w:left="709" w:hanging="709"/>
        <w:jc w:val="both"/>
        <w:rPr>
          <w:noProof/>
          <w:szCs w:val="24"/>
          <w:u w:val="none"/>
        </w:rPr>
      </w:pPr>
      <w:r>
        <w:rPr>
          <w:noProof/>
          <w:szCs w:val="24"/>
          <w:u w:val="none"/>
        </w:rPr>
        <w:t>4</w:t>
      </w:r>
      <w:r w:rsidR="00D05E9D">
        <w:rPr>
          <w:noProof/>
          <w:szCs w:val="24"/>
          <w:u w:val="none"/>
        </w:rPr>
        <w:t>.1</w:t>
      </w:r>
      <w:r w:rsidR="00D05E9D">
        <w:rPr>
          <w:noProof/>
          <w:szCs w:val="24"/>
          <w:u w:val="none"/>
        </w:rPr>
        <w:tab/>
      </w:r>
      <w:r>
        <w:rPr>
          <w:noProof/>
          <w:szCs w:val="24"/>
          <w:u w:val="none"/>
        </w:rPr>
        <w:t xml:space="preserve">The ANPR Back Office System is a vital tool used operationally to identify vehicles within the Cleveland area which may have intelligence on criminal activity. </w:t>
      </w:r>
    </w:p>
    <w:p w:rsidR="00D05E9D" w:rsidRDefault="00D05E9D" w:rsidP="00D05E9D">
      <w:pPr>
        <w:pStyle w:val="BodyText2"/>
        <w:ind w:left="709" w:hanging="709"/>
        <w:jc w:val="both"/>
        <w:rPr>
          <w:noProof/>
          <w:szCs w:val="24"/>
          <w:u w:val="none"/>
        </w:rPr>
      </w:pPr>
    </w:p>
    <w:p w:rsidR="00B345CF" w:rsidRDefault="00B345CF" w:rsidP="00D05E9D">
      <w:pPr>
        <w:pStyle w:val="BodyText2"/>
        <w:ind w:left="709" w:hanging="709"/>
        <w:jc w:val="both"/>
        <w:rPr>
          <w:noProof/>
          <w:szCs w:val="24"/>
          <w:u w:val="none"/>
        </w:rPr>
      </w:pPr>
      <w:r>
        <w:rPr>
          <w:noProof/>
          <w:szCs w:val="24"/>
          <w:u w:val="none"/>
        </w:rPr>
        <w:t>4</w:t>
      </w:r>
      <w:r w:rsidR="00D05E9D">
        <w:rPr>
          <w:noProof/>
          <w:szCs w:val="24"/>
          <w:u w:val="none"/>
        </w:rPr>
        <w:t>.2</w:t>
      </w:r>
      <w:r w:rsidR="00D05E9D">
        <w:rPr>
          <w:noProof/>
          <w:szCs w:val="24"/>
          <w:u w:val="none"/>
        </w:rPr>
        <w:tab/>
      </w:r>
      <w:r>
        <w:rPr>
          <w:noProof/>
          <w:szCs w:val="24"/>
          <w:u w:val="none"/>
        </w:rPr>
        <w:t>In order to ensure that the ANPR system are mantained with the latest software releases and repaired should any problems occur a support and maintenance agreement is required.</w:t>
      </w:r>
    </w:p>
    <w:p w:rsidR="00B345CF" w:rsidRDefault="00B345CF" w:rsidP="00D05E9D">
      <w:pPr>
        <w:pStyle w:val="BodyText2"/>
        <w:ind w:left="709" w:hanging="709"/>
        <w:jc w:val="both"/>
        <w:rPr>
          <w:noProof/>
          <w:szCs w:val="24"/>
          <w:u w:val="none"/>
        </w:rPr>
      </w:pPr>
    </w:p>
    <w:p w:rsidR="00D05E9D" w:rsidRDefault="00B345CF" w:rsidP="00B345CF">
      <w:pPr>
        <w:pStyle w:val="BodyText2"/>
        <w:ind w:left="709" w:hanging="709"/>
        <w:jc w:val="both"/>
        <w:rPr>
          <w:noProof/>
          <w:szCs w:val="24"/>
          <w:u w:val="none"/>
        </w:rPr>
      </w:pPr>
      <w:r>
        <w:rPr>
          <w:noProof/>
          <w:szCs w:val="24"/>
          <w:u w:val="none"/>
        </w:rPr>
        <w:t>4</w:t>
      </w:r>
      <w:r w:rsidR="00D05E9D">
        <w:rPr>
          <w:noProof/>
          <w:szCs w:val="24"/>
          <w:u w:val="none"/>
        </w:rPr>
        <w:t>.3</w:t>
      </w:r>
      <w:r w:rsidR="00D05E9D">
        <w:rPr>
          <w:noProof/>
          <w:szCs w:val="24"/>
          <w:u w:val="none"/>
        </w:rPr>
        <w:tab/>
      </w:r>
      <w:r>
        <w:rPr>
          <w:noProof/>
          <w:szCs w:val="24"/>
          <w:u w:val="none"/>
        </w:rPr>
        <w:t>Cleartone are the sole provider of support and maintenance of the ANPR systems used by the Force</w:t>
      </w:r>
      <w:r w:rsidR="0085271D">
        <w:rPr>
          <w:noProof/>
          <w:szCs w:val="24"/>
          <w:u w:val="none"/>
        </w:rPr>
        <w:t>. I</w:t>
      </w:r>
      <w:r>
        <w:rPr>
          <w:noProof/>
          <w:szCs w:val="24"/>
          <w:u w:val="none"/>
        </w:rPr>
        <w:t>n order to align the renewal dates with the financial year end a 15 month extension has been agreed.</w:t>
      </w:r>
    </w:p>
    <w:p w:rsidR="00D05E9D" w:rsidRDefault="00D05E9D" w:rsidP="00E6097A">
      <w:pPr>
        <w:pStyle w:val="BodyText2"/>
        <w:ind w:left="709" w:hanging="709"/>
        <w:jc w:val="both"/>
        <w:rPr>
          <w:b/>
          <w:szCs w:val="24"/>
          <w:u w:val="none"/>
        </w:rPr>
      </w:pPr>
    </w:p>
    <w:p w:rsidR="00B345CF" w:rsidRDefault="00B345CF" w:rsidP="00B345CF">
      <w:pPr>
        <w:pStyle w:val="BodyText2"/>
        <w:numPr>
          <w:ilvl w:val="0"/>
          <w:numId w:val="24"/>
        </w:numPr>
        <w:jc w:val="both"/>
        <w:rPr>
          <w:b/>
          <w:noProof/>
          <w:szCs w:val="24"/>
          <w:u w:val="none"/>
        </w:rPr>
      </w:pPr>
      <w:r>
        <w:rPr>
          <w:b/>
          <w:noProof/>
          <w:szCs w:val="24"/>
          <w:u w:val="none"/>
        </w:rPr>
        <w:t>Purchase of 2 x UFED Logical In-Field Kiosk by Crime and Justice at a cost of £13,600 from Cellebrite.</w:t>
      </w:r>
    </w:p>
    <w:p w:rsidR="00B345CF" w:rsidRDefault="00B345CF" w:rsidP="00B345CF">
      <w:pPr>
        <w:pStyle w:val="BodyText2"/>
        <w:ind w:left="720"/>
        <w:jc w:val="both"/>
        <w:rPr>
          <w:b/>
          <w:noProof/>
          <w:szCs w:val="24"/>
          <w:u w:val="none"/>
        </w:rPr>
      </w:pPr>
      <w:r>
        <w:rPr>
          <w:b/>
          <w:noProof/>
          <w:szCs w:val="24"/>
          <w:u w:val="none"/>
        </w:rPr>
        <w:t xml:space="preserve"> </w:t>
      </w:r>
    </w:p>
    <w:p w:rsidR="00B345CF" w:rsidRDefault="00B345CF" w:rsidP="00B345CF">
      <w:pPr>
        <w:pStyle w:val="BodyText2"/>
        <w:ind w:left="709" w:hanging="709"/>
        <w:jc w:val="both"/>
        <w:rPr>
          <w:noProof/>
          <w:szCs w:val="24"/>
          <w:u w:val="none"/>
        </w:rPr>
      </w:pPr>
      <w:r>
        <w:rPr>
          <w:noProof/>
          <w:szCs w:val="24"/>
          <w:u w:val="none"/>
        </w:rPr>
        <w:t xml:space="preserve"> 5.1</w:t>
      </w:r>
      <w:r>
        <w:rPr>
          <w:noProof/>
          <w:szCs w:val="24"/>
          <w:u w:val="none"/>
        </w:rPr>
        <w:tab/>
        <w:t xml:space="preserve">Cellebrite are the nationally recognised software and hardware </w:t>
      </w:r>
      <w:r w:rsidR="0085271D">
        <w:rPr>
          <w:noProof/>
          <w:szCs w:val="24"/>
          <w:u w:val="none"/>
        </w:rPr>
        <w:t xml:space="preserve">provider </w:t>
      </w:r>
      <w:r>
        <w:rPr>
          <w:noProof/>
          <w:szCs w:val="24"/>
          <w:u w:val="none"/>
        </w:rPr>
        <w:t>for carrying out examination of Digital Mobile Devices.  It holds the largest database of tools and mobile devices to allow ease of access</w:t>
      </w:r>
      <w:r w:rsidR="0085271D">
        <w:rPr>
          <w:noProof/>
          <w:szCs w:val="24"/>
          <w:u w:val="none"/>
        </w:rPr>
        <w:t xml:space="preserve"> </w:t>
      </w:r>
      <w:r>
        <w:rPr>
          <w:noProof/>
          <w:szCs w:val="24"/>
          <w:u w:val="none"/>
        </w:rPr>
        <w:t>in a simple and concise delivery of an evidential product.</w:t>
      </w:r>
    </w:p>
    <w:p w:rsidR="00B345CF" w:rsidRDefault="00B345CF" w:rsidP="00B345CF">
      <w:pPr>
        <w:pStyle w:val="BodyText2"/>
        <w:ind w:left="709" w:hanging="709"/>
        <w:jc w:val="both"/>
        <w:rPr>
          <w:noProof/>
          <w:szCs w:val="24"/>
          <w:u w:val="none"/>
        </w:rPr>
      </w:pPr>
    </w:p>
    <w:p w:rsidR="00B345CF" w:rsidRDefault="00B345CF" w:rsidP="00B345CF">
      <w:pPr>
        <w:pStyle w:val="BodyText2"/>
        <w:ind w:left="709" w:hanging="709"/>
        <w:jc w:val="both"/>
        <w:rPr>
          <w:noProof/>
          <w:szCs w:val="24"/>
          <w:u w:val="none"/>
        </w:rPr>
      </w:pPr>
      <w:r>
        <w:rPr>
          <w:noProof/>
          <w:szCs w:val="24"/>
          <w:u w:val="none"/>
        </w:rPr>
        <w:t>5.2</w:t>
      </w:r>
      <w:r>
        <w:rPr>
          <w:noProof/>
          <w:szCs w:val="24"/>
          <w:u w:val="none"/>
        </w:rPr>
        <w:tab/>
        <w:t xml:space="preserve">The </w:t>
      </w:r>
      <w:r w:rsidR="0085271D">
        <w:rPr>
          <w:noProof/>
          <w:szCs w:val="24"/>
          <w:u w:val="none"/>
        </w:rPr>
        <w:t xml:space="preserve">Force currently lease a number of these devices. </w:t>
      </w:r>
      <w:r>
        <w:rPr>
          <w:noProof/>
          <w:szCs w:val="24"/>
          <w:u w:val="none"/>
        </w:rPr>
        <w:t>DFU require additional devices to ensure that they can carry out their examination of exhibits which come in as a result of a crime, the alternative is to outsource this work at significant ongoing cost to the organisation.</w:t>
      </w:r>
      <w:r w:rsidR="005152FF">
        <w:rPr>
          <w:noProof/>
          <w:szCs w:val="24"/>
          <w:u w:val="none"/>
        </w:rPr>
        <w:t xml:space="preserve"> The initial purchase is for 2 devices, however further devices are required to enable triage of devices outside of the DFU.</w:t>
      </w:r>
    </w:p>
    <w:p w:rsidR="00B345CF" w:rsidRDefault="00B345CF" w:rsidP="00B345CF">
      <w:pPr>
        <w:pStyle w:val="BodyText2"/>
        <w:ind w:left="709" w:hanging="709"/>
        <w:jc w:val="both"/>
        <w:rPr>
          <w:noProof/>
          <w:szCs w:val="24"/>
          <w:u w:val="none"/>
        </w:rPr>
      </w:pPr>
      <w:r>
        <w:rPr>
          <w:noProof/>
          <w:szCs w:val="24"/>
          <w:u w:val="none"/>
        </w:rPr>
        <w:t xml:space="preserve"> </w:t>
      </w:r>
    </w:p>
    <w:p w:rsidR="00AF5C2D" w:rsidRDefault="00B345CF" w:rsidP="005152FF">
      <w:pPr>
        <w:pStyle w:val="BodyText2"/>
        <w:ind w:left="709" w:hanging="709"/>
        <w:jc w:val="both"/>
        <w:rPr>
          <w:b/>
          <w:noProof/>
          <w:szCs w:val="24"/>
          <w:u w:val="none"/>
        </w:rPr>
      </w:pPr>
      <w:r>
        <w:rPr>
          <w:noProof/>
          <w:szCs w:val="24"/>
          <w:u w:val="none"/>
        </w:rPr>
        <w:t>5.3</w:t>
      </w:r>
      <w:r>
        <w:rPr>
          <w:noProof/>
          <w:szCs w:val="24"/>
          <w:u w:val="none"/>
        </w:rPr>
        <w:tab/>
        <w:t xml:space="preserve">Nationally a contract was due to be developed to enable purchase of </w:t>
      </w:r>
      <w:r w:rsidR="005152FF">
        <w:rPr>
          <w:noProof/>
          <w:szCs w:val="24"/>
          <w:u w:val="none"/>
        </w:rPr>
        <w:t xml:space="preserve">these </w:t>
      </w:r>
      <w:r>
        <w:rPr>
          <w:noProof/>
          <w:szCs w:val="24"/>
          <w:u w:val="none"/>
        </w:rPr>
        <w:t xml:space="preserve">devices, however this has been delayed as a result of the cyber attack on Eurofins. As a result of </w:t>
      </w:r>
      <w:r w:rsidR="005152FF">
        <w:rPr>
          <w:noProof/>
          <w:szCs w:val="24"/>
          <w:u w:val="none"/>
        </w:rPr>
        <w:t xml:space="preserve">the </w:t>
      </w:r>
      <w:r>
        <w:rPr>
          <w:noProof/>
          <w:szCs w:val="24"/>
          <w:u w:val="none"/>
        </w:rPr>
        <w:t xml:space="preserve">delays, Forces have had to progress local procurements </w:t>
      </w:r>
      <w:r w:rsidR="005152FF">
        <w:rPr>
          <w:noProof/>
          <w:szCs w:val="24"/>
          <w:u w:val="none"/>
        </w:rPr>
        <w:t>to enable a contnuity of service. The Cellebrite device is the only device which has been reviewed and accredited and therefore this is a proprietary product.</w:t>
      </w:r>
    </w:p>
    <w:p w:rsidR="00D05E9D" w:rsidRPr="00D05E9D" w:rsidRDefault="00D05E9D" w:rsidP="00D05E9D">
      <w:pPr>
        <w:pStyle w:val="BodyText2"/>
        <w:ind w:left="709"/>
        <w:jc w:val="both"/>
        <w:rPr>
          <w:b/>
          <w:noProof/>
          <w:szCs w:val="24"/>
          <w:u w:val="none"/>
        </w:rPr>
      </w:pPr>
    </w:p>
    <w:p w:rsidR="005152FF" w:rsidRPr="005152FF" w:rsidRDefault="005152FF" w:rsidP="005152FF">
      <w:pPr>
        <w:pStyle w:val="BodyText2"/>
        <w:numPr>
          <w:ilvl w:val="0"/>
          <w:numId w:val="24"/>
        </w:numPr>
        <w:jc w:val="both"/>
        <w:rPr>
          <w:b/>
          <w:bCs/>
          <w:noProof/>
          <w:szCs w:val="24"/>
          <w:u w:val="none"/>
        </w:rPr>
      </w:pPr>
      <w:r>
        <w:rPr>
          <w:b/>
          <w:noProof/>
          <w:szCs w:val="24"/>
          <w:u w:val="none"/>
        </w:rPr>
        <w:t>Purchase of 5 additional Licences and Annual Support and Maintenance  of the Lima Case Management System by Crime and Justice at a cost of £12,050 from IntaForensic.</w:t>
      </w:r>
    </w:p>
    <w:p w:rsidR="005D7640" w:rsidRPr="00AB3599" w:rsidRDefault="005152FF" w:rsidP="005152FF">
      <w:pPr>
        <w:pStyle w:val="BodyText2"/>
        <w:ind w:left="720"/>
        <w:jc w:val="both"/>
        <w:rPr>
          <w:b/>
          <w:bCs/>
          <w:noProof/>
          <w:szCs w:val="24"/>
          <w:u w:val="none"/>
        </w:rPr>
      </w:pPr>
      <w:r w:rsidRPr="00AB3599">
        <w:rPr>
          <w:b/>
          <w:bCs/>
          <w:noProof/>
          <w:szCs w:val="24"/>
          <w:u w:val="none"/>
        </w:rPr>
        <w:t xml:space="preserve"> </w:t>
      </w:r>
    </w:p>
    <w:p w:rsidR="005152FF" w:rsidRDefault="005152FF" w:rsidP="00AB3599">
      <w:pPr>
        <w:pStyle w:val="BodyText2"/>
        <w:ind w:left="709" w:hanging="709"/>
        <w:jc w:val="both"/>
        <w:rPr>
          <w:noProof/>
          <w:szCs w:val="24"/>
          <w:u w:val="none"/>
        </w:rPr>
      </w:pPr>
      <w:r>
        <w:rPr>
          <w:noProof/>
          <w:szCs w:val="24"/>
          <w:u w:val="none"/>
        </w:rPr>
        <w:t>6</w:t>
      </w:r>
      <w:r w:rsidR="00AB3599" w:rsidRPr="006930C7">
        <w:rPr>
          <w:noProof/>
          <w:szCs w:val="24"/>
          <w:u w:val="none"/>
        </w:rPr>
        <w:t>.1</w:t>
      </w:r>
      <w:r w:rsidR="00AB3599" w:rsidRPr="006930C7">
        <w:rPr>
          <w:noProof/>
          <w:szCs w:val="24"/>
          <w:u w:val="none"/>
        </w:rPr>
        <w:tab/>
      </w:r>
      <w:r>
        <w:rPr>
          <w:noProof/>
          <w:szCs w:val="24"/>
          <w:u w:val="none"/>
        </w:rPr>
        <w:t xml:space="preserve">IntaForensic Lima Case Management System in currently used in DFU to manage the case load and meet the accreditation process. </w:t>
      </w:r>
    </w:p>
    <w:p w:rsidR="005152FF" w:rsidRDefault="005152FF" w:rsidP="00AB3599">
      <w:pPr>
        <w:pStyle w:val="BodyText2"/>
        <w:ind w:left="709" w:hanging="709"/>
        <w:jc w:val="both"/>
        <w:rPr>
          <w:noProof/>
          <w:szCs w:val="24"/>
          <w:u w:val="none"/>
        </w:rPr>
      </w:pPr>
    </w:p>
    <w:p w:rsidR="0085271D" w:rsidRDefault="005152FF" w:rsidP="009174FD">
      <w:pPr>
        <w:pStyle w:val="BodyText2"/>
        <w:ind w:left="709" w:hanging="709"/>
        <w:jc w:val="both"/>
        <w:rPr>
          <w:noProof/>
          <w:szCs w:val="24"/>
          <w:u w:val="none"/>
        </w:rPr>
      </w:pPr>
      <w:r>
        <w:rPr>
          <w:noProof/>
          <w:szCs w:val="24"/>
          <w:u w:val="none"/>
        </w:rPr>
        <w:t>6.2</w:t>
      </w:r>
      <w:r>
        <w:rPr>
          <w:noProof/>
          <w:szCs w:val="24"/>
          <w:u w:val="none"/>
        </w:rPr>
        <w:tab/>
        <w:t>Following the recruitment of additional staff into the DFU, additional licences are required to ensure these staff can access the system and carry out their role. In additional annual support and maintenance is required to ensure the system is kept upto date and supported to ensure it meets the operational needs.</w:t>
      </w:r>
    </w:p>
    <w:p w:rsidR="0085271D" w:rsidRDefault="0085271D" w:rsidP="009174FD">
      <w:pPr>
        <w:pStyle w:val="BodyText2"/>
        <w:ind w:left="709" w:hanging="709"/>
        <w:jc w:val="both"/>
        <w:rPr>
          <w:noProof/>
          <w:szCs w:val="24"/>
          <w:u w:val="none"/>
        </w:rPr>
      </w:pPr>
    </w:p>
    <w:p w:rsidR="009174FD" w:rsidRDefault="0085271D" w:rsidP="009174FD">
      <w:pPr>
        <w:pStyle w:val="BodyText2"/>
        <w:ind w:left="709" w:hanging="709"/>
        <w:jc w:val="both"/>
        <w:rPr>
          <w:noProof/>
          <w:szCs w:val="24"/>
          <w:u w:val="none"/>
        </w:rPr>
      </w:pPr>
      <w:r>
        <w:rPr>
          <w:noProof/>
          <w:szCs w:val="24"/>
          <w:u w:val="none"/>
        </w:rPr>
        <w:t>6.3</w:t>
      </w:r>
      <w:r>
        <w:rPr>
          <w:noProof/>
          <w:szCs w:val="24"/>
          <w:u w:val="none"/>
        </w:rPr>
        <w:tab/>
      </w:r>
      <w:r w:rsidR="005152FF">
        <w:rPr>
          <w:noProof/>
          <w:szCs w:val="24"/>
          <w:u w:val="none"/>
        </w:rPr>
        <w:t>Intaforensics are the sole provider of this system and therefore it is proprietary.</w:t>
      </w:r>
    </w:p>
    <w:p w:rsidR="00E206E0" w:rsidRDefault="00E206E0" w:rsidP="00BF244E">
      <w:pPr>
        <w:pStyle w:val="BodyText2"/>
        <w:ind w:left="709" w:hanging="709"/>
        <w:jc w:val="both"/>
        <w:rPr>
          <w:szCs w:val="24"/>
          <w:u w:val="none"/>
        </w:rPr>
      </w:pPr>
    </w:p>
    <w:p w:rsidR="00E206E0" w:rsidRDefault="00E206E0" w:rsidP="00BF244E">
      <w:pPr>
        <w:pStyle w:val="BodyText2"/>
        <w:ind w:left="709" w:hanging="709"/>
        <w:jc w:val="both"/>
        <w:rPr>
          <w:szCs w:val="24"/>
          <w:u w:val="none"/>
        </w:rPr>
      </w:pPr>
    </w:p>
    <w:p w:rsidR="00125B2A" w:rsidRDefault="00125B2A" w:rsidP="00BF244E">
      <w:pPr>
        <w:pStyle w:val="BodyText2"/>
        <w:ind w:left="709" w:hanging="709"/>
        <w:jc w:val="both"/>
        <w:rPr>
          <w:szCs w:val="24"/>
          <w:u w:val="none"/>
        </w:rPr>
      </w:pPr>
    </w:p>
    <w:p w:rsidR="008E2265" w:rsidRPr="002D35D5" w:rsidRDefault="008E2265" w:rsidP="008E2265">
      <w:pPr>
        <w:jc w:val="both"/>
        <w:rPr>
          <w:rFonts w:ascii="Tahoma" w:hAnsi="Tahoma" w:cs="Tahoma"/>
          <w:b/>
          <w:sz w:val="24"/>
          <w:szCs w:val="24"/>
          <w:u w:val="single"/>
          <w:lang w:eastAsia="en-GB"/>
        </w:rPr>
      </w:pPr>
      <w:r w:rsidRPr="002D35D5">
        <w:rPr>
          <w:rFonts w:ascii="Tahoma" w:hAnsi="Tahoma" w:cs="Tahoma"/>
          <w:b/>
          <w:sz w:val="24"/>
          <w:szCs w:val="24"/>
          <w:u w:val="single"/>
          <w:lang w:eastAsia="en-GB"/>
        </w:rPr>
        <w:t>Exceptional Situation – Operational Emergency</w:t>
      </w:r>
    </w:p>
    <w:p w:rsidR="00E82280" w:rsidRPr="002D35D5" w:rsidRDefault="00E82280" w:rsidP="0012515D">
      <w:pPr>
        <w:pStyle w:val="BodyText2"/>
        <w:jc w:val="both"/>
        <w:rPr>
          <w:szCs w:val="24"/>
        </w:rPr>
      </w:pPr>
    </w:p>
    <w:p w:rsidR="005F674C" w:rsidRPr="002D35D5" w:rsidRDefault="005F674C" w:rsidP="005F674C">
      <w:pPr>
        <w:pStyle w:val="BodyText2"/>
        <w:jc w:val="both"/>
        <w:rPr>
          <w:rFonts w:ascii="Arial" w:hAnsi="Arial" w:cs="Arial"/>
          <w:color w:val="FF0000"/>
          <w:szCs w:val="24"/>
          <w:u w:val="none"/>
        </w:rPr>
      </w:pPr>
    </w:p>
    <w:p w:rsidR="008B0159" w:rsidRDefault="00E206E0" w:rsidP="008B0159">
      <w:pPr>
        <w:pStyle w:val="BodyText2"/>
        <w:ind w:left="709" w:hanging="709"/>
        <w:jc w:val="both"/>
        <w:rPr>
          <w:b/>
          <w:szCs w:val="24"/>
          <w:u w:val="none"/>
        </w:rPr>
      </w:pPr>
      <w:r>
        <w:rPr>
          <w:b/>
          <w:szCs w:val="24"/>
          <w:u w:val="none"/>
        </w:rPr>
        <w:t>7</w:t>
      </w:r>
      <w:r w:rsidR="008B0159">
        <w:rPr>
          <w:b/>
          <w:szCs w:val="24"/>
          <w:u w:val="none"/>
        </w:rPr>
        <w:t>.</w:t>
      </w:r>
      <w:r w:rsidR="008B0159">
        <w:rPr>
          <w:b/>
          <w:szCs w:val="24"/>
          <w:u w:val="none"/>
        </w:rPr>
        <w:tab/>
      </w:r>
      <w:r w:rsidR="008B0159" w:rsidRPr="002D35D5">
        <w:rPr>
          <w:b/>
          <w:szCs w:val="24"/>
          <w:u w:val="none"/>
        </w:rPr>
        <w:t xml:space="preserve">Purchase of </w:t>
      </w:r>
      <w:r w:rsidR="0053156C">
        <w:rPr>
          <w:b/>
          <w:szCs w:val="24"/>
          <w:u w:val="none"/>
        </w:rPr>
        <w:t>12 Months Support for SAN Controllers by ICT at a cost of £14,254.21</w:t>
      </w:r>
      <w:r w:rsidR="00506806">
        <w:rPr>
          <w:b/>
          <w:szCs w:val="24"/>
          <w:u w:val="none"/>
        </w:rPr>
        <w:t xml:space="preserve"> from Dell</w:t>
      </w:r>
      <w:r w:rsidR="008B0159">
        <w:rPr>
          <w:b/>
          <w:szCs w:val="24"/>
          <w:u w:val="none"/>
        </w:rPr>
        <w:t>.</w:t>
      </w:r>
    </w:p>
    <w:p w:rsidR="008B0159" w:rsidRPr="002D35D5" w:rsidRDefault="008B0159" w:rsidP="008B0159">
      <w:pPr>
        <w:pStyle w:val="BodyText2"/>
        <w:ind w:left="709" w:hanging="709"/>
        <w:jc w:val="both"/>
        <w:rPr>
          <w:szCs w:val="24"/>
          <w:u w:val="none"/>
        </w:rPr>
      </w:pPr>
    </w:p>
    <w:p w:rsidR="00506806" w:rsidRDefault="00E206E0" w:rsidP="008B0159">
      <w:pPr>
        <w:pStyle w:val="BodyText2"/>
        <w:ind w:left="709" w:hanging="709"/>
        <w:jc w:val="both"/>
        <w:rPr>
          <w:szCs w:val="24"/>
          <w:u w:val="none"/>
        </w:rPr>
      </w:pPr>
      <w:r>
        <w:rPr>
          <w:szCs w:val="24"/>
          <w:u w:val="none"/>
        </w:rPr>
        <w:t>7</w:t>
      </w:r>
      <w:r w:rsidR="008B0159" w:rsidRPr="002D35D5">
        <w:rPr>
          <w:szCs w:val="24"/>
          <w:u w:val="none"/>
        </w:rPr>
        <w:t>.1</w:t>
      </w:r>
      <w:r w:rsidR="008B0159" w:rsidRPr="002D35D5">
        <w:rPr>
          <w:szCs w:val="24"/>
          <w:u w:val="none"/>
        </w:rPr>
        <w:tab/>
      </w:r>
      <w:r w:rsidR="00506806">
        <w:rPr>
          <w:szCs w:val="24"/>
          <w:u w:val="none"/>
        </w:rPr>
        <w:t xml:space="preserve">The SAN (Storage Area Network) is a key element of the Force ICT Network, the support for this was provided through a novated contract that </w:t>
      </w:r>
      <w:proofErr w:type="spellStart"/>
      <w:r w:rsidR="00506806">
        <w:rPr>
          <w:szCs w:val="24"/>
          <w:u w:val="none"/>
        </w:rPr>
        <w:t>SopraSteria</w:t>
      </w:r>
      <w:proofErr w:type="spellEnd"/>
      <w:r w:rsidR="00506806">
        <w:rPr>
          <w:szCs w:val="24"/>
          <w:u w:val="none"/>
        </w:rPr>
        <w:t xml:space="preserve"> held on behalf of the Force.</w:t>
      </w:r>
    </w:p>
    <w:p w:rsidR="00506806" w:rsidRDefault="00506806" w:rsidP="008B0159">
      <w:pPr>
        <w:pStyle w:val="BodyText2"/>
        <w:ind w:left="709" w:hanging="709"/>
        <w:jc w:val="both"/>
        <w:rPr>
          <w:szCs w:val="24"/>
          <w:u w:val="none"/>
        </w:rPr>
      </w:pPr>
    </w:p>
    <w:p w:rsidR="00506806" w:rsidRDefault="00506806" w:rsidP="008B0159">
      <w:pPr>
        <w:pStyle w:val="BodyText2"/>
        <w:ind w:left="709" w:hanging="709"/>
        <w:jc w:val="both"/>
        <w:rPr>
          <w:szCs w:val="24"/>
          <w:u w:val="none"/>
        </w:rPr>
      </w:pPr>
      <w:r>
        <w:rPr>
          <w:szCs w:val="24"/>
          <w:u w:val="none"/>
        </w:rPr>
        <w:t>7.2</w:t>
      </w:r>
      <w:r>
        <w:rPr>
          <w:szCs w:val="24"/>
          <w:u w:val="none"/>
        </w:rPr>
        <w:tab/>
        <w:t xml:space="preserve">As part of the transition of ICT Services from </w:t>
      </w:r>
      <w:proofErr w:type="spellStart"/>
      <w:r>
        <w:rPr>
          <w:szCs w:val="24"/>
          <w:u w:val="none"/>
        </w:rPr>
        <w:t>Ladgate</w:t>
      </w:r>
      <w:proofErr w:type="spellEnd"/>
      <w:r>
        <w:rPr>
          <w:szCs w:val="24"/>
          <w:u w:val="none"/>
        </w:rPr>
        <w:t xml:space="preserve"> Lane to the CSH, 2 SAN controllers were purchased directly by the Force. At expiry of the support contract held by </w:t>
      </w:r>
      <w:proofErr w:type="spellStart"/>
      <w:r>
        <w:rPr>
          <w:szCs w:val="24"/>
          <w:u w:val="none"/>
        </w:rPr>
        <w:t>SopraSteria</w:t>
      </w:r>
      <w:proofErr w:type="spellEnd"/>
      <w:r>
        <w:rPr>
          <w:szCs w:val="24"/>
          <w:u w:val="none"/>
        </w:rPr>
        <w:t xml:space="preserve">, the plan was to amend the support plan to include the new controllers purchased by the Force. </w:t>
      </w:r>
    </w:p>
    <w:p w:rsidR="00506806" w:rsidRDefault="00506806" w:rsidP="008B0159">
      <w:pPr>
        <w:pStyle w:val="BodyText2"/>
        <w:ind w:left="709" w:hanging="709"/>
        <w:jc w:val="both"/>
        <w:rPr>
          <w:szCs w:val="24"/>
          <w:u w:val="none"/>
        </w:rPr>
      </w:pPr>
    </w:p>
    <w:p w:rsidR="008B0159" w:rsidRDefault="00506806" w:rsidP="00815BC7">
      <w:pPr>
        <w:pStyle w:val="BodyText2"/>
        <w:ind w:left="709" w:hanging="709"/>
        <w:jc w:val="both"/>
        <w:rPr>
          <w:szCs w:val="24"/>
          <w:u w:val="none"/>
        </w:rPr>
      </w:pPr>
      <w:r>
        <w:rPr>
          <w:szCs w:val="24"/>
          <w:u w:val="none"/>
        </w:rPr>
        <w:t>7.3</w:t>
      </w:r>
      <w:r>
        <w:rPr>
          <w:szCs w:val="24"/>
          <w:u w:val="none"/>
        </w:rPr>
        <w:tab/>
        <w:t xml:space="preserve">At a meeting with Dell they advised that the support could not be transferred from the Force to </w:t>
      </w:r>
      <w:proofErr w:type="spellStart"/>
      <w:r>
        <w:rPr>
          <w:szCs w:val="24"/>
          <w:u w:val="none"/>
        </w:rPr>
        <w:t>SopraSteria</w:t>
      </w:r>
      <w:proofErr w:type="spellEnd"/>
      <w:r w:rsidR="0085271D">
        <w:rPr>
          <w:szCs w:val="24"/>
          <w:u w:val="none"/>
        </w:rPr>
        <w:t>. This information was provided close to the renewal</w:t>
      </w:r>
      <w:r>
        <w:rPr>
          <w:szCs w:val="24"/>
          <w:u w:val="none"/>
        </w:rPr>
        <w:t>, therefore the short notice has resulted in</w:t>
      </w:r>
      <w:r w:rsidR="00815BC7">
        <w:rPr>
          <w:szCs w:val="24"/>
          <w:u w:val="none"/>
        </w:rPr>
        <w:t xml:space="preserve"> the Force having</w:t>
      </w:r>
      <w:r>
        <w:rPr>
          <w:szCs w:val="24"/>
          <w:u w:val="none"/>
        </w:rPr>
        <w:t xml:space="preserve"> an emergency requirement to take out support for the controllers directly with Dell to ensure</w:t>
      </w:r>
      <w:r w:rsidR="00815BC7">
        <w:rPr>
          <w:szCs w:val="24"/>
          <w:u w:val="none"/>
        </w:rPr>
        <w:t xml:space="preserve"> ongoing support of critical IT infrastructure. </w:t>
      </w:r>
    </w:p>
    <w:p w:rsidR="00670AA3" w:rsidRDefault="00670AA3" w:rsidP="005239F7">
      <w:pPr>
        <w:pStyle w:val="BodyText2"/>
        <w:ind w:left="709" w:hanging="709"/>
        <w:jc w:val="both"/>
        <w:rPr>
          <w:szCs w:val="24"/>
          <w:u w:val="none"/>
        </w:rPr>
      </w:pPr>
    </w:p>
    <w:p w:rsidR="00F41269" w:rsidRDefault="00F41269" w:rsidP="005239F7">
      <w:pPr>
        <w:pStyle w:val="BodyText2"/>
        <w:ind w:left="709" w:hanging="709"/>
        <w:jc w:val="both"/>
        <w:rPr>
          <w:szCs w:val="24"/>
          <w:u w:val="none"/>
        </w:rPr>
      </w:pPr>
    </w:p>
    <w:p w:rsidR="001D64F6" w:rsidRDefault="001D64F6"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BE699D" w:rsidRDefault="00BE699D" w:rsidP="001D64F6">
      <w:pPr>
        <w:pStyle w:val="BodyText2"/>
        <w:ind w:left="709" w:hanging="709"/>
        <w:jc w:val="both"/>
        <w:rPr>
          <w:szCs w:val="24"/>
          <w:u w:val="none"/>
        </w:rPr>
      </w:pPr>
    </w:p>
    <w:p w:rsidR="001D64F6" w:rsidRDefault="001D64F6" w:rsidP="001D64F6">
      <w:pPr>
        <w:pStyle w:val="BodyText2"/>
        <w:ind w:left="709" w:hanging="709"/>
        <w:jc w:val="both"/>
        <w:rPr>
          <w:szCs w:val="24"/>
          <w:u w:val="none"/>
        </w:rPr>
      </w:pPr>
    </w:p>
    <w:p w:rsidR="00670AA3" w:rsidRDefault="00670AA3" w:rsidP="005239F7">
      <w:pPr>
        <w:pStyle w:val="BodyText2"/>
        <w:ind w:left="709" w:hanging="709"/>
        <w:jc w:val="both"/>
        <w:rPr>
          <w:szCs w:val="24"/>
          <w:u w:val="none"/>
        </w:rPr>
      </w:pPr>
    </w:p>
    <w:p w:rsidR="00670AA3" w:rsidRDefault="00670AA3" w:rsidP="005239F7">
      <w:pPr>
        <w:pStyle w:val="BodyText2"/>
        <w:ind w:left="709" w:hanging="709"/>
        <w:jc w:val="both"/>
        <w:rPr>
          <w:szCs w:val="24"/>
          <w:u w:val="none"/>
        </w:rPr>
      </w:pPr>
    </w:p>
    <w:p w:rsidR="002310E5" w:rsidRPr="002D35D5" w:rsidRDefault="002310E5" w:rsidP="002310E5">
      <w:pPr>
        <w:jc w:val="both"/>
        <w:rPr>
          <w:rFonts w:ascii="Tahoma" w:hAnsi="Tahoma" w:cs="Tahoma"/>
          <w:b/>
          <w:sz w:val="24"/>
          <w:szCs w:val="24"/>
          <w:u w:val="single"/>
          <w:lang w:eastAsia="en-GB"/>
        </w:rPr>
      </w:pPr>
      <w:r>
        <w:rPr>
          <w:rFonts w:ascii="Tahoma" w:hAnsi="Tahoma" w:cs="Tahoma"/>
          <w:b/>
          <w:sz w:val="24"/>
          <w:szCs w:val="24"/>
          <w:u w:val="single"/>
          <w:lang w:eastAsia="en-GB"/>
        </w:rPr>
        <w:lastRenderedPageBreak/>
        <w:t>Appendix 2 –Procurement Performance</w:t>
      </w:r>
    </w:p>
    <w:p w:rsidR="00E7038C" w:rsidRDefault="00E7038C">
      <w:pPr>
        <w:rPr>
          <w:b/>
          <w:szCs w:val="24"/>
          <w:lang w:eastAsia="en-GB"/>
        </w:rPr>
      </w:pPr>
    </w:p>
    <w:p w:rsidR="00E7038C" w:rsidRDefault="00E7038C">
      <w:pPr>
        <w:rPr>
          <w:b/>
          <w:szCs w:val="24"/>
          <w:lang w:eastAsia="en-GB"/>
        </w:rPr>
      </w:pPr>
    </w:p>
    <w:p w:rsidR="00E7038C" w:rsidRPr="00E7038C" w:rsidRDefault="00E7038C" w:rsidP="00E7038C">
      <w:pPr>
        <w:pStyle w:val="ListParagraph"/>
        <w:numPr>
          <w:ilvl w:val="0"/>
          <w:numId w:val="13"/>
        </w:numPr>
        <w:rPr>
          <w:b/>
          <w:szCs w:val="24"/>
          <w:lang w:eastAsia="en-GB"/>
        </w:rPr>
      </w:pPr>
      <w:r w:rsidRPr="00E7038C">
        <w:rPr>
          <w:rFonts w:ascii="Tahoma" w:hAnsi="Tahoma" w:cs="Tahoma"/>
          <w:sz w:val="24"/>
          <w:szCs w:val="24"/>
          <w:lang w:eastAsia="en-GB"/>
        </w:rPr>
        <w:t>The PCC</w:t>
      </w:r>
      <w:r w:rsidRPr="00E7038C">
        <w:rPr>
          <w:b/>
          <w:szCs w:val="24"/>
          <w:lang w:eastAsia="en-GB"/>
        </w:rPr>
        <w:t xml:space="preserve"> </w:t>
      </w:r>
      <w:r>
        <w:rPr>
          <w:rFonts w:ascii="Tahoma" w:hAnsi="Tahoma" w:cs="Tahoma"/>
          <w:sz w:val="24"/>
          <w:szCs w:val="24"/>
          <w:lang w:eastAsia="en-GB"/>
        </w:rPr>
        <w:t>has 2</w:t>
      </w:r>
      <w:r w:rsidR="00FD546E">
        <w:rPr>
          <w:rFonts w:ascii="Tahoma" w:hAnsi="Tahoma" w:cs="Tahoma"/>
          <w:sz w:val="24"/>
          <w:szCs w:val="24"/>
          <w:lang w:eastAsia="en-GB"/>
        </w:rPr>
        <w:t>8</w:t>
      </w:r>
      <w:r w:rsidR="00125B2A">
        <w:rPr>
          <w:rFonts w:ascii="Tahoma" w:hAnsi="Tahoma" w:cs="Tahoma"/>
          <w:sz w:val="24"/>
          <w:szCs w:val="24"/>
          <w:lang w:eastAsia="en-GB"/>
        </w:rPr>
        <w:t>9</w:t>
      </w:r>
      <w:r>
        <w:rPr>
          <w:rFonts w:ascii="Tahoma" w:hAnsi="Tahoma" w:cs="Tahoma"/>
          <w:sz w:val="24"/>
          <w:szCs w:val="24"/>
          <w:lang w:eastAsia="en-GB"/>
        </w:rPr>
        <w:t xml:space="preserve"> live contracts</w:t>
      </w:r>
    </w:p>
    <w:p w:rsidR="00E7038C" w:rsidRPr="00E7038C" w:rsidRDefault="00E7038C" w:rsidP="00E7038C">
      <w:pPr>
        <w:pStyle w:val="ListParagraph"/>
        <w:rPr>
          <w:b/>
          <w:szCs w:val="24"/>
          <w:lang w:eastAsia="en-GB"/>
        </w:rPr>
      </w:pPr>
    </w:p>
    <w:p w:rsidR="00E7038C" w:rsidRPr="00536758" w:rsidRDefault="00125B2A" w:rsidP="00E7038C">
      <w:pPr>
        <w:pStyle w:val="ListParagraph"/>
        <w:numPr>
          <w:ilvl w:val="0"/>
          <w:numId w:val="13"/>
        </w:numPr>
        <w:rPr>
          <w:b/>
          <w:szCs w:val="24"/>
          <w:lang w:eastAsia="en-GB"/>
        </w:rPr>
      </w:pPr>
      <w:r>
        <w:rPr>
          <w:rFonts w:ascii="Tahoma" w:hAnsi="Tahoma" w:cs="Tahoma"/>
          <w:sz w:val="24"/>
          <w:szCs w:val="24"/>
          <w:lang w:eastAsia="en-GB"/>
        </w:rPr>
        <w:t>In the Period July</w:t>
      </w:r>
      <w:r w:rsidR="00E7038C" w:rsidRPr="00536758">
        <w:rPr>
          <w:rFonts w:ascii="Tahoma" w:hAnsi="Tahoma" w:cs="Tahoma"/>
          <w:sz w:val="24"/>
          <w:szCs w:val="24"/>
          <w:lang w:eastAsia="en-GB"/>
        </w:rPr>
        <w:t xml:space="preserve"> 201</w:t>
      </w:r>
      <w:r w:rsidR="008D1936">
        <w:rPr>
          <w:rFonts w:ascii="Tahoma" w:hAnsi="Tahoma" w:cs="Tahoma"/>
          <w:sz w:val="24"/>
          <w:szCs w:val="24"/>
          <w:lang w:eastAsia="en-GB"/>
        </w:rPr>
        <w:t>9</w:t>
      </w:r>
      <w:r w:rsidR="00E7038C" w:rsidRPr="00536758">
        <w:rPr>
          <w:rFonts w:ascii="Tahoma" w:hAnsi="Tahoma" w:cs="Tahoma"/>
          <w:sz w:val="24"/>
          <w:szCs w:val="24"/>
          <w:lang w:eastAsia="en-GB"/>
        </w:rPr>
        <w:t xml:space="preserve"> to </w:t>
      </w:r>
      <w:r w:rsidR="00BC5C25">
        <w:rPr>
          <w:rFonts w:ascii="Tahoma" w:hAnsi="Tahoma" w:cs="Tahoma"/>
          <w:sz w:val="24"/>
          <w:szCs w:val="24"/>
          <w:lang w:eastAsia="en-GB"/>
        </w:rPr>
        <w:t>J</w:t>
      </w:r>
      <w:r>
        <w:rPr>
          <w:rFonts w:ascii="Tahoma" w:hAnsi="Tahoma" w:cs="Tahoma"/>
          <w:sz w:val="24"/>
          <w:szCs w:val="24"/>
          <w:lang w:eastAsia="en-GB"/>
        </w:rPr>
        <w:t>anuary</w:t>
      </w:r>
      <w:r w:rsidR="00A30450">
        <w:rPr>
          <w:rFonts w:ascii="Tahoma" w:hAnsi="Tahoma" w:cs="Tahoma"/>
          <w:sz w:val="24"/>
          <w:szCs w:val="24"/>
          <w:lang w:eastAsia="en-GB"/>
        </w:rPr>
        <w:t xml:space="preserve"> 20</w:t>
      </w:r>
      <w:r>
        <w:rPr>
          <w:rFonts w:ascii="Tahoma" w:hAnsi="Tahoma" w:cs="Tahoma"/>
          <w:sz w:val="24"/>
          <w:szCs w:val="24"/>
          <w:lang w:eastAsia="en-GB"/>
        </w:rPr>
        <w:t>20</w:t>
      </w:r>
      <w:r w:rsidR="00AB272B">
        <w:rPr>
          <w:rFonts w:ascii="Tahoma" w:hAnsi="Tahoma" w:cs="Tahoma"/>
          <w:sz w:val="24"/>
          <w:szCs w:val="24"/>
          <w:lang w:eastAsia="en-GB"/>
        </w:rPr>
        <w:t>,</w:t>
      </w:r>
      <w:r>
        <w:rPr>
          <w:rFonts w:ascii="Tahoma" w:hAnsi="Tahoma" w:cs="Tahoma"/>
          <w:sz w:val="24"/>
          <w:szCs w:val="24"/>
          <w:lang w:eastAsia="en-GB"/>
        </w:rPr>
        <w:t xml:space="preserve"> 47</w:t>
      </w:r>
      <w:r w:rsidR="00E7038C" w:rsidRPr="00536758">
        <w:rPr>
          <w:rFonts w:ascii="Tahoma" w:hAnsi="Tahoma" w:cs="Tahoma"/>
          <w:sz w:val="24"/>
          <w:szCs w:val="24"/>
          <w:lang w:eastAsia="en-GB"/>
        </w:rPr>
        <w:t xml:space="preserve"> of these contracts were extended</w:t>
      </w:r>
    </w:p>
    <w:p w:rsidR="00E7038C" w:rsidRPr="00536758" w:rsidRDefault="0021300E" w:rsidP="00E7038C">
      <w:pPr>
        <w:pStyle w:val="ListParagraph"/>
        <w:numPr>
          <w:ilvl w:val="1"/>
          <w:numId w:val="13"/>
        </w:numPr>
        <w:rPr>
          <w:b/>
          <w:color w:val="FF0000"/>
          <w:szCs w:val="24"/>
          <w:lang w:eastAsia="en-GB"/>
        </w:rPr>
      </w:pPr>
      <w:r>
        <w:rPr>
          <w:rFonts w:ascii="Tahoma" w:hAnsi="Tahoma" w:cs="Tahoma"/>
          <w:sz w:val="24"/>
          <w:szCs w:val="24"/>
          <w:lang w:eastAsia="en-GB"/>
        </w:rPr>
        <w:t>44</w:t>
      </w:r>
      <w:r w:rsidR="00E7038C" w:rsidRPr="00536758">
        <w:rPr>
          <w:rFonts w:ascii="Tahoma" w:hAnsi="Tahoma" w:cs="Tahoma"/>
          <w:sz w:val="24"/>
          <w:szCs w:val="24"/>
          <w:lang w:eastAsia="en-GB"/>
        </w:rPr>
        <w:t xml:space="preserve"> were extended in line with the contract term</w:t>
      </w:r>
      <w:r w:rsidR="00A364CB" w:rsidRPr="00536758">
        <w:rPr>
          <w:rFonts w:ascii="Tahoma" w:hAnsi="Tahoma" w:cs="Tahoma"/>
          <w:sz w:val="24"/>
          <w:szCs w:val="24"/>
          <w:lang w:eastAsia="en-GB"/>
        </w:rPr>
        <w:t xml:space="preserve"> </w:t>
      </w:r>
      <w:r w:rsidR="00536758" w:rsidRPr="00536758">
        <w:rPr>
          <w:rFonts w:ascii="Tahoma" w:hAnsi="Tahoma" w:cs="Tahoma"/>
          <w:sz w:val="24"/>
          <w:szCs w:val="24"/>
          <w:lang w:eastAsia="en-GB"/>
        </w:rPr>
        <w:t>e.g. if a contract was awarded as a 3 year contract with an option to extend for two further 12 month periods.</w:t>
      </w:r>
    </w:p>
    <w:p w:rsidR="00E7038C" w:rsidRPr="00417C67" w:rsidRDefault="00125B2A" w:rsidP="00E7038C">
      <w:pPr>
        <w:pStyle w:val="ListParagraph"/>
        <w:numPr>
          <w:ilvl w:val="1"/>
          <w:numId w:val="13"/>
        </w:numPr>
        <w:rPr>
          <w:b/>
          <w:szCs w:val="24"/>
          <w:lang w:eastAsia="en-GB"/>
        </w:rPr>
      </w:pPr>
      <w:r>
        <w:rPr>
          <w:rFonts w:ascii="Tahoma" w:hAnsi="Tahoma" w:cs="Tahoma"/>
          <w:sz w:val="24"/>
          <w:szCs w:val="24"/>
          <w:lang w:eastAsia="en-GB"/>
        </w:rPr>
        <w:t>3</w:t>
      </w:r>
      <w:r w:rsidR="00E7038C">
        <w:rPr>
          <w:rFonts w:ascii="Tahoma" w:hAnsi="Tahoma" w:cs="Tahoma"/>
          <w:sz w:val="24"/>
          <w:szCs w:val="24"/>
          <w:lang w:eastAsia="en-GB"/>
        </w:rPr>
        <w:t xml:space="preserve"> were extended via an exception to contract standing orders and have been reported to the Audit Committee in the report submitted in </w:t>
      </w:r>
      <w:r>
        <w:rPr>
          <w:rFonts w:ascii="Tahoma" w:hAnsi="Tahoma" w:cs="Tahoma"/>
          <w:sz w:val="24"/>
          <w:szCs w:val="24"/>
          <w:lang w:eastAsia="en-GB"/>
        </w:rPr>
        <w:t>February</w:t>
      </w:r>
      <w:r w:rsidR="00417C67">
        <w:rPr>
          <w:rFonts w:ascii="Tahoma" w:hAnsi="Tahoma" w:cs="Tahoma"/>
          <w:sz w:val="24"/>
          <w:szCs w:val="24"/>
          <w:lang w:eastAsia="en-GB"/>
        </w:rPr>
        <w:t xml:space="preserve"> </w:t>
      </w:r>
      <w:r w:rsidR="00F41269">
        <w:rPr>
          <w:rFonts w:ascii="Tahoma" w:hAnsi="Tahoma" w:cs="Tahoma"/>
          <w:sz w:val="24"/>
          <w:szCs w:val="24"/>
          <w:lang w:eastAsia="en-GB"/>
        </w:rPr>
        <w:t>20</w:t>
      </w:r>
      <w:r>
        <w:rPr>
          <w:rFonts w:ascii="Tahoma" w:hAnsi="Tahoma" w:cs="Tahoma"/>
          <w:sz w:val="24"/>
          <w:szCs w:val="24"/>
          <w:lang w:eastAsia="en-GB"/>
        </w:rPr>
        <w:t>20</w:t>
      </w:r>
      <w:r w:rsidR="00E7038C">
        <w:rPr>
          <w:rFonts w:ascii="Tahoma" w:hAnsi="Tahoma" w:cs="Tahoma"/>
          <w:sz w:val="24"/>
          <w:szCs w:val="24"/>
          <w:lang w:eastAsia="en-GB"/>
        </w:rPr>
        <w:t xml:space="preserve"> and Appendix 1 of this report</w:t>
      </w:r>
    </w:p>
    <w:p w:rsidR="00E7038C" w:rsidRPr="007E5DC6" w:rsidRDefault="000A308C" w:rsidP="007E5DC6">
      <w:pPr>
        <w:pStyle w:val="ListParagraph"/>
        <w:numPr>
          <w:ilvl w:val="0"/>
          <w:numId w:val="15"/>
        </w:numPr>
        <w:rPr>
          <w:b/>
          <w:szCs w:val="24"/>
          <w:lang w:eastAsia="en-GB"/>
        </w:rPr>
      </w:pPr>
      <w:r>
        <w:rPr>
          <w:rFonts w:ascii="Tahoma" w:hAnsi="Tahoma" w:cs="Tahoma"/>
          <w:sz w:val="24"/>
          <w:szCs w:val="24"/>
          <w:lang w:eastAsia="en-GB"/>
        </w:rPr>
        <w:t>1</w:t>
      </w:r>
      <w:r w:rsidR="003658A2">
        <w:rPr>
          <w:rFonts w:ascii="Tahoma" w:hAnsi="Tahoma" w:cs="Tahoma"/>
          <w:sz w:val="24"/>
          <w:szCs w:val="24"/>
          <w:lang w:eastAsia="en-GB"/>
        </w:rPr>
        <w:t>6</w:t>
      </w:r>
      <w:r w:rsidR="00E7038C" w:rsidRPr="007E5DC6">
        <w:rPr>
          <w:rFonts w:ascii="Tahoma" w:hAnsi="Tahoma" w:cs="Tahoma"/>
          <w:sz w:val="24"/>
          <w:szCs w:val="24"/>
          <w:lang w:eastAsia="en-GB"/>
        </w:rPr>
        <w:t xml:space="preserve"> Tenders</w:t>
      </w:r>
      <w:r w:rsidR="0021300E">
        <w:rPr>
          <w:rFonts w:ascii="Tahoma" w:hAnsi="Tahoma" w:cs="Tahoma"/>
          <w:sz w:val="24"/>
          <w:szCs w:val="24"/>
          <w:lang w:eastAsia="en-GB"/>
        </w:rPr>
        <w:t>,</w:t>
      </w:r>
      <w:r w:rsidR="00E7038C" w:rsidRPr="007E5DC6">
        <w:rPr>
          <w:rFonts w:ascii="Tahoma" w:hAnsi="Tahoma" w:cs="Tahoma"/>
          <w:sz w:val="24"/>
          <w:szCs w:val="24"/>
          <w:lang w:eastAsia="en-GB"/>
        </w:rPr>
        <w:t xml:space="preserve"> Further Competitions</w:t>
      </w:r>
      <w:r w:rsidR="0021300E">
        <w:rPr>
          <w:rFonts w:ascii="Tahoma" w:hAnsi="Tahoma" w:cs="Tahoma"/>
          <w:sz w:val="24"/>
          <w:szCs w:val="24"/>
          <w:lang w:eastAsia="en-GB"/>
        </w:rPr>
        <w:t xml:space="preserve"> or D</w:t>
      </w:r>
      <w:r w:rsidR="003658A2">
        <w:rPr>
          <w:rFonts w:ascii="Tahoma" w:hAnsi="Tahoma" w:cs="Tahoma"/>
          <w:sz w:val="24"/>
          <w:szCs w:val="24"/>
          <w:lang w:eastAsia="en-GB"/>
        </w:rPr>
        <w:t xml:space="preserve">irect </w:t>
      </w:r>
      <w:r w:rsidR="0021300E">
        <w:rPr>
          <w:rFonts w:ascii="Tahoma" w:hAnsi="Tahoma" w:cs="Tahoma"/>
          <w:sz w:val="24"/>
          <w:szCs w:val="24"/>
          <w:lang w:eastAsia="en-GB"/>
        </w:rPr>
        <w:t>A</w:t>
      </w:r>
      <w:r w:rsidR="003658A2">
        <w:rPr>
          <w:rFonts w:ascii="Tahoma" w:hAnsi="Tahoma" w:cs="Tahoma"/>
          <w:sz w:val="24"/>
          <w:szCs w:val="24"/>
          <w:lang w:eastAsia="en-GB"/>
        </w:rPr>
        <w:t>wards via National contracts</w:t>
      </w:r>
      <w:r w:rsidR="00E7038C" w:rsidRPr="007E5DC6">
        <w:rPr>
          <w:rFonts w:ascii="Tahoma" w:hAnsi="Tahoma" w:cs="Tahoma"/>
          <w:sz w:val="24"/>
          <w:szCs w:val="24"/>
          <w:lang w:eastAsia="en-GB"/>
        </w:rPr>
        <w:t xml:space="preserve"> were car</w:t>
      </w:r>
      <w:r w:rsidR="00924875">
        <w:rPr>
          <w:rFonts w:ascii="Tahoma" w:hAnsi="Tahoma" w:cs="Tahoma"/>
          <w:sz w:val="24"/>
          <w:szCs w:val="24"/>
          <w:lang w:eastAsia="en-GB"/>
        </w:rPr>
        <w:t xml:space="preserve">ried out during the period </w:t>
      </w:r>
      <w:r>
        <w:rPr>
          <w:rFonts w:ascii="Tahoma" w:hAnsi="Tahoma" w:cs="Tahoma"/>
          <w:sz w:val="24"/>
          <w:szCs w:val="24"/>
          <w:lang w:eastAsia="en-GB"/>
        </w:rPr>
        <w:t>July</w:t>
      </w:r>
      <w:r w:rsidR="00924875">
        <w:rPr>
          <w:rFonts w:ascii="Tahoma" w:hAnsi="Tahoma" w:cs="Tahoma"/>
          <w:sz w:val="24"/>
          <w:szCs w:val="24"/>
          <w:lang w:eastAsia="en-GB"/>
        </w:rPr>
        <w:t xml:space="preserve"> 19</w:t>
      </w:r>
      <w:r w:rsidR="00417C67">
        <w:rPr>
          <w:rFonts w:ascii="Tahoma" w:hAnsi="Tahoma" w:cs="Tahoma"/>
          <w:sz w:val="24"/>
          <w:szCs w:val="24"/>
          <w:lang w:eastAsia="en-GB"/>
        </w:rPr>
        <w:t xml:space="preserve"> </w:t>
      </w:r>
      <w:r>
        <w:rPr>
          <w:rFonts w:ascii="Tahoma" w:hAnsi="Tahoma" w:cs="Tahoma"/>
          <w:sz w:val="24"/>
          <w:szCs w:val="24"/>
          <w:lang w:eastAsia="en-GB"/>
        </w:rPr>
        <w:t>–January 20</w:t>
      </w:r>
      <w:r w:rsidR="007551A9">
        <w:rPr>
          <w:rFonts w:ascii="Tahoma" w:hAnsi="Tahoma" w:cs="Tahoma"/>
          <w:sz w:val="24"/>
          <w:szCs w:val="24"/>
          <w:lang w:eastAsia="en-GB"/>
        </w:rPr>
        <w:t xml:space="preserve"> (</w:t>
      </w:r>
      <w:r>
        <w:rPr>
          <w:rFonts w:ascii="Tahoma" w:hAnsi="Tahoma" w:cs="Tahoma"/>
          <w:sz w:val="24"/>
          <w:szCs w:val="24"/>
          <w:lang w:eastAsia="en-GB"/>
        </w:rPr>
        <w:t>6</w:t>
      </w:r>
      <w:r w:rsidR="000A3389">
        <w:rPr>
          <w:rFonts w:ascii="Tahoma" w:hAnsi="Tahoma" w:cs="Tahoma"/>
          <w:sz w:val="24"/>
          <w:szCs w:val="24"/>
          <w:lang w:eastAsia="en-GB"/>
        </w:rPr>
        <w:t xml:space="preserve"> still in progress)</w:t>
      </w:r>
      <w:r w:rsidR="00E7038C" w:rsidRPr="007E5DC6">
        <w:rPr>
          <w:rFonts w:ascii="Tahoma" w:hAnsi="Tahoma" w:cs="Tahoma"/>
          <w:sz w:val="24"/>
          <w:szCs w:val="24"/>
          <w:lang w:eastAsia="en-GB"/>
        </w:rPr>
        <w:t xml:space="preserve">. </w:t>
      </w:r>
    </w:p>
    <w:p w:rsidR="00E7038C" w:rsidRDefault="00E7038C" w:rsidP="007E5DC6">
      <w:pPr>
        <w:ind w:left="360"/>
        <w:rPr>
          <w:b/>
          <w:szCs w:val="24"/>
          <w:lang w:eastAsia="en-GB"/>
        </w:rPr>
      </w:pPr>
    </w:p>
    <w:p w:rsidR="007551A9" w:rsidRDefault="007551A9" w:rsidP="007551A9">
      <w:pPr>
        <w:rPr>
          <w:b/>
          <w:szCs w:val="24"/>
          <w:lang w:eastAsia="en-GB"/>
        </w:rPr>
      </w:pPr>
    </w:p>
    <w:p w:rsidR="007551A9" w:rsidRPr="007E5DC6" w:rsidRDefault="007551A9" w:rsidP="007551A9">
      <w:pPr>
        <w:ind w:left="720"/>
        <w:rPr>
          <w:b/>
          <w:szCs w:val="24"/>
          <w:lang w:eastAsia="en-GB"/>
        </w:rPr>
      </w:pPr>
    </w:p>
    <w:p w:rsidR="007E5DC6" w:rsidRDefault="003658A2" w:rsidP="007E5DC6">
      <w:pPr>
        <w:pStyle w:val="ListParagraph"/>
        <w:rPr>
          <w:b/>
          <w:szCs w:val="24"/>
          <w:lang w:eastAsia="en-GB"/>
        </w:rPr>
      </w:pPr>
      <w:r>
        <w:rPr>
          <w:noProof/>
          <w:lang w:eastAsia="en-GB"/>
        </w:rPr>
        <w:drawing>
          <wp:inline distT="0" distB="0" distL="0" distR="0" wp14:anchorId="3C1A0F8A" wp14:editId="0D2CC891">
            <wp:extent cx="4572000" cy="2743200"/>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E5DC6" w:rsidRDefault="007E5DC6" w:rsidP="007E5DC6">
      <w:pPr>
        <w:pStyle w:val="ListParagraph"/>
        <w:rPr>
          <w:rFonts w:ascii="Tahoma" w:hAnsi="Tahoma" w:cs="Tahoma"/>
          <w:szCs w:val="24"/>
          <w:lang w:eastAsia="en-GB"/>
        </w:rPr>
      </w:pPr>
      <w:r w:rsidRPr="007E5DC6">
        <w:rPr>
          <w:rFonts w:ascii="Tahoma" w:hAnsi="Tahoma" w:cs="Tahoma"/>
          <w:szCs w:val="24"/>
          <w:lang w:eastAsia="en-GB"/>
        </w:rPr>
        <w:t>Chart 1 – Split of Procedure Type</w:t>
      </w:r>
    </w:p>
    <w:p w:rsidR="007E5DC6" w:rsidRPr="007E5DC6" w:rsidRDefault="007E5DC6" w:rsidP="007E5DC6">
      <w:pPr>
        <w:pStyle w:val="ListParagraph"/>
        <w:rPr>
          <w:rFonts w:ascii="Tahoma" w:hAnsi="Tahoma" w:cs="Tahoma"/>
          <w:szCs w:val="24"/>
          <w:lang w:eastAsia="en-GB"/>
        </w:rPr>
      </w:pPr>
    </w:p>
    <w:p w:rsidR="007E5DC6" w:rsidRPr="007E5DC6" w:rsidRDefault="003658A2" w:rsidP="007E5DC6">
      <w:pPr>
        <w:pStyle w:val="ListParagraph"/>
        <w:rPr>
          <w:szCs w:val="24"/>
          <w:lang w:eastAsia="en-GB"/>
        </w:rPr>
      </w:pPr>
      <w:r>
        <w:rPr>
          <w:noProof/>
          <w:lang w:eastAsia="en-GB"/>
        </w:rPr>
        <w:drawing>
          <wp:inline distT="0" distB="0" distL="0" distR="0" wp14:anchorId="7684E0FA" wp14:editId="42F18538">
            <wp:extent cx="4572000" cy="2743200"/>
            <wp:effectExtent l="0" t="0" r="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310E5" w:rsidRDefault="007E5DC6" w:rsidP="007E5DC6">
      <w:pPr>
        <w:pStyle w:val="ListParagraph"/>
        <w:rPr>
          <w:b/>
          <w:szCs w:val="24"/>
          <w:lang w:eastAsia="en-GB"/>
        </w:rPr>
      </w:pPr>
      <w:r w:rsidRPr="007E5DC6">
        <w:rPr>
          <w:rFonts w:ascii="Tahoma" w:hAnsi="Tahoma" w:cs="Tahoma"/>
          <w:lang w:eastAsia="en-GB"/>
        </w:rPr>
        <w:t>Chart 2 – Split of New Requirement/Re-Procure Existing Contract</w:t>
      </w:r>
      <w:r w:rsidR="002310E5" w:rsidRPr="00E7038C">
        <w:rPr>
          <w:b/>
          <w:szCs w:val="24"/>
          <w:lang w:eastAsia="en-GB"/>
        </w:rPr>
        <w:br w:type="page"/>
      </w:r>
    </w:p>
    <w:p w:rsidR="007E5DC6" w:rsidRPr="00700D2A" w:rsidRDefault="007E5DC6" w:rsidP="007E5DC6">
      <w:pPr>
        <w:pStyle w:val="ListParagraph"/>
        <w:rPr>
          <w:rFonts w:ascii="Tahoma" w:hAnsi="Tahoma" w:cs="Tahoma"/>
          <w:sz w:val="24"/>
          <w:szCs w:val="24"/>
          <w:u w:val="single"/>
          <w:lang w:eastAsia="en-GB"/>
        </w:rPr>
      </w:pPr>
      <w:r w:rsidRPr="00700D2A">
        <w:rPr>
          <w:rFonts w:ascii="Tahoma" w:hAnsi="Tahoma" w:cs="Tahoma"/>
          <w:sz w:val="24"/>
          <w:szCs w:val="24"/>
          <w:u w:val="single"/>
          <w:lang w:eastAsia="en-GB"/>
        </w:rPr>
        <w:lastRenderedPageBreak/>
        <w:t>Key Contracts Awarded</w:t>
      </w:r>
    </w:p>
    <w:p w:rsidR="007E5DC6" w:rsidRPr="00700D2A" w:rsidRDefault="007E5DC6" w:rsidP="007E5DC6">
      <w:pPr>
        <w:pStyle w:val="ListParagraph"/>
        <w:rPr>
          <w:rFonts w:ascii="Tahoma" w:hAnsi="Tahoma" w:cs="Tahoma"/>
          <w:szCs w:val="24"/>
          <w:lang w:eastAsia="en-GB"/>
        </w:rPr>
      </w:pPr>
    </w:p>
    <w:tbl>
      <w:tblPr>
        <w:tblStyle w:val="TableGrid"/>
        <w:tblW w:w="0" w:type="auto"/>
        <w:tblInd w:w="720" w:type="dxa"/>
        <w:tblLook w:val="04A0" w:firstRow="1" w:lastRow="0" w:firstColumn="1" w:lastColumn="0" w:noHBand="0" w:noVBand="1"/>
      </w:tblPr>
      <w:tblGrid>
        <w:gridCol w:w="2295"/>
        <w:gridCol w:w="3472"/>
        <w:gridCol w:w="2693"/>
      </w:tblGrid>
      <w:tr w:rsidR="007E5DC6" w:rsidRPr="00700D2A" w:rsidTr="00700D2A">
        <w:tc>
          <w:tcPr>
            <w:tcW w:w="2295" w:type="dxa"/>
            <w:shd w:val="clear" w:color="auto" w:fill="B8CCE4" w:themeFill="accent1" w:themeFillTint="66"/>
          </w:tcPr>
          <w:p w:rsidR="007E5DC6" w:rsidRPr="00700D2A" w:rsidRDefault="007E5DC6" w:rsidP="007E5DC6">
            <w:pPr>
              <w:pStyle w:val="ListParagraph"/>
              <w:ind w:left="0"/>
              <w:rPr>
                <w:rFonts w:ascii="Tahoma" w:hAnsi="Tahoma" w:cs="Tahoma"/>
                <w:b/>
                <w:szCs w:val="24"/>
                <w:lang w:eastAsia="en-GB"/>
              </w:rPr>
            </w:pPr>
            <w:r w:rsidRPr="00700D2A">
              <w:rPr>
                <w:rFonts w:ascii="Tahoma" w:hAnsi="Tahoma" w:cs="Tahoma"/>
                <w:b/>
                <w:szCs w:val="24"/>
                <w:lang w:eastAsia="en-GB"/>
              </w:rPr>
              <w:t>Title</w:t>
            </w:r>
          </w:p>
        </w:tc>
        <w:tc>
          <w:tcPr>
            <w:tcW w:w="3472" w:type="dxa"/>
            <w:shd w:val="clear" w:color="auto" w:fill="B8CCE4" w:themeFill="accent1" w:themeFillTint="66"/>
          </w:tcPr>
          <w:p w:rsidR="007E5DC6" w:rsidRPr="00700D2A" w:rsidRDefault="007E5DC6" w:rsidP="007E5DC6">
            <w:pPr>
              <w:pStyle w:val="ListParagraph"/>
              <w:ind w:left="0"/>
              <w:rPr>
                <w:rFonts w:ascii="Tahoma" w:hAnsi="Tahoma" w:cs="Tahoma"/>
                <w:b/>
                <w:szCs w:val="24"/>
                <w:lang w:eastAsia="en-GB"/>
              </w:rPr>
            </w:pPr>
            <w:r w:rsidRPr="00700D2A">
              <w:rPr>
                <w:rFonts w:ascii="Tahoma" w:hAnsi="Tahoma" w:cs="Tahoma"/>
                <w:b/>
                <w:szCs w:val="24"/>
                <w:lang w:eastAsia="en-GB"/>
              </w:rPr>
              <w:t>Summary</w:t>
            </w:r>
          </w:p>
        </w:tc>
        <w:tc>
          <w:tcPr>
            <w:tcW w:w="2693" w:type="dxa"/>
            <w:shd w:val="clear" w:color="auto" w:fill="B8CCE4" w:themeFill="accent1" w:themeFillTint="66"/>
          </w:tcPr>
          <w:p w:rsidR="007E5DC6" w:rsidRPr="00700D2A" w:rsidRDefault="007E5DC6" w:rsidP="007E5DC6">
            <w:pPr>
              <w:pStyle w:val="ListParagraph"/>
              <w:ind w:left="0"/>
              <w:rPr>
                <w:rFonts w:ascii="Tahoma" w:hAnsi="Tahoma" w:cs="Tahoma"/>
                <w:b/>
                <w:szCs w:val="24"/>
                <w:lang w:eastAsia="en-GB"/>
              </w:rPr>
            </w:pPr>
            <w:r w:rsidRPr="00700D2A">
              <w:rPr>
                <w:rFonts w:ascii="Tahoma" w:hAnsi="Tahoma" w:cs="Tahoma"/>
                <w:b/>
                <w:szCs w:val="24"/>
                <w:lang w:eastAsia="en-GB"/>
              </w:rPr>
              <w:t>Benefits</w:t>
            </w:r>
          </w:p>
        </w:tc>
      </w:tr>
      <w:tr w:rsidR="007E5DC6" w:rsidRPr="00700D2A" w:rsidTr="007E5DC6">
        <w:tc>
          <w:tcPr>
            <w:tcW w:w="2295" w:type="dxa"/>
          </w:tcPr>
          <w:p w:rsidR="007E5DC6" w:rsidRPr="00700D2A" w:rsidRDefault="000A308C" w:rsidP="007E5DC6">
            <w:pPr>
              <w:pStyle w:val="ListParagraph"/>
              <w:ind w:left="0"/>
              <w:rPr>
                <w:rFonts w:ascii="Tahoma" w:hAnsi="Tahoma" w:cs="Tahoma"/>
                <w:szCs w:val="24"/>
                <w:lang w:eastAsia="en-GB"/>
              </w:rPr>
            </w:pPr>
            <w:r>
              <w:rPr>
                <w:rFonts w:ascii="Tahoma" w:hAnsi="Tahoma" w:cs="Tahoma"/>
                <w:szCs w:val="24"/>
                <w:lang w:eastAsia="en-GB"/>
              </w:rPr>
              <w:t>Insurance Broker</w:t>
            </w:r>
          </w:p>
        </w:tc>
        <w:tc>
          <w:tcPr>
            <w:tcW w:w="3472" w:type="dxa"/>
          </w:tcPr>
          <w:p w:rsidR="007E5DC6" w:rsidRPr="00700D2A" w:rsidRDefault="000A308C" w:rsidP="000A308C">
            <w:pPr>
              <w:pStyle w:val="ListParagraph"/>
              <w:ind w:left="0"/>
              <w:rPr>
                <w:rFonts w:ascii="Tahoma" w:hAnsi="Tahoma" w:cs="Tahoma"/>
                <w:szCs w:val="24"/>
                <w:lang w:eastAsia="en-GB"/>
              </w:rPr>
            </w:pPr>
            <w:r>
              <w:rPr>
                <w:rFonts w:ascii="Tahoma" w:hAnsi="Tahoma" w:cs="Tahoma"/>
                <w:szCs w:val="24"/>
                <w:lang w:eastAsia="en-GB"/>
              </w:rPr>
              <w:t xml:space="preserve">Further competition conducted for Provision of Insurance Broker Services </w:t>
            </w:r>
          </w:p>
        </w:tc>
        <w:tc>
          <w:tcPr>
            <w:tcW w:w="2693" w:type="dxa"/>
          </w:tcPr>
          <w:p w:rsidR="007E5DC6" w:rsidRPr="00700D2A" w:rsidRDefault="003166DE" w:rsidP="003658A2">
            <w:pPr>
              <w:pStyle w:val="ListParagraph"/>
              <w:ind w:left="0"/>
              <w:rPr>
                <w:rFonts w:ascii="Tahoma" w:hAnsi="Tahoma" w:cs="Tahoma"/>
                <w:szCs w:val="24"/>
                <w:lang w:eastAsia="en-GB"/>
              </w:rPr>
            </w:pPr>
            <w:r>
              <w:rPr>
                <w:rFonts w:ascii="Tahoma" w:hAnsi="Tahoma" w:cs="Tahoma"/>
                <w:szCs w:val="24"/>
                <w:lang w:eastAsia="en-GB"/>
              </w:rPr>
              <w:t xml:space="preserve">Awarded </w:t>
            </w:r>
            <w:r w:rsidR="00924875">
              <w:rPr>
                <w:rFonts w:ascii="Tahoma" w:hAnsi="Tahoma" w:cs="Tahoma"/>
                <w:szCs w:val="24"/>
                <w:lang w:eastAsia="en-GB"/>
              </w:rPr>
              <w:t xml:space="preserve">following a procurement exercise which </w:t>
            </w:r>
            <w:r w:rsidR="003658A2">
              <w:rPr>
                <w:rFonts w:ascii="Tahoma" w:hAnsi="Tahoma" w:cs="Tahoma"/>
                <w:szCs w:val="24"/>
                <w:lang w:eastAsia="en-GB"/>
              </w:rPr>
              <w:t>replaced previous direct awards delivering savings of £35k over 5 years</w:t>
            </w:r>
          </w:p>
        </w:tc>
      </w:tr>
      <w:tr w:rsidR="007E5DC6" w:rsidRPr="00700D2A" w:rsidTr="007E5DC6">
        <w:tc>
          <w:tcPr>
            <w:tcW w:w="2295" w:type="dxa"/>
          </w:tcPr>
          <w:p w:rsidR="007E5DC6" w:rsidRPr="00700D2A" w:rsidRDefault="003658A2" w:rsidP="00D87D24">
            <w:pPr>
              <w:pStyle w:val="ListParagraph"/>
              <w:ind w:left="0"/>
              <w:rPr>
                <w:rFonts w:ascii="Tahoma" w:hAnsi="Tahoma" w:cs="Tahoma"/>
                <w:szCs w:val="24"/>
                <w:lang w:eastAsia="en-GB"/>
              </w:rPr>
            </w:pPr>
            <w:r>
              <w:rPr>
                <w:rFonts w:ascii="Tahoma" w:hAnsi="Tahoma" w:cs="Tahoma"/>
                <w:szCs w:val="24"/>
                <w:lang w:eastAsia="en-GB"/>
              </w:rPr>
              <w:t>BWV/DIR/DEAMS</w:t>
            </w:r>
          </w:p>
        </w:tc>
        <w:tc>
          <w:tcPr>
            <w:tcW w:w="3472" w:type="dxa"/>
          </w:tcPr>
          <w:p w:rsidR="007E5DC6" w:rsidRPr="00700D2A" w:rsidRDefault="003658A2" w:rsidP="00DC34E8">
            <w:pPr>
              <w:pStyle w:val="ListParagraph"/>
              <w:ind w:left="0"/>
              <w:rPr>
                <w:rFonts w:ascii="Tahoma" w:hAnsi="Tahoma" w:cs="Tahoma"/>
                <w:szCs w:val="24"/>
                <w:lang w:eastAsia="en-GB"/>
              </w:rPr>
            </w:pPr>
            <w:r>
              <w:rPr>
                <w:rFonts w:ascii="Tahoma" w:hAnsi="Tahoma" w:cs="Tahoma"/>
                <w:szCs w:val="24"/>
                <w:lang w:eastAsia="en-GB"/>
              </w:rPr>
              <w:t>Replacement of BWV, DIR and award of a Digital Evidence Management System</w:t>
            </w:r>
          </w:p>
        </w:tc>
        <w:tc>
          <w:tcPr>
            <w:tcW w:w="2693" w:type="dxa"/>
          </w:tcPr>
          <w:p w:rsidR="007E5DC6" w:rsidRPr="00700D2A" w:rsidRDefault="003658A2" w:rsidP="00502C5F">
            <w:pPr>
              <w:pStyle w:val="ListParagraph"/>
              <w:ind w:left="0"/>
              <w:rPr>
                <w:rFonts w:ascii="Tahoma" w:hAnsi="Tahoma" w:cs="Tahoma"/>
                <w:szCs w:val="24"/>
                <w:lang w:eastAsia="en-GB"/>
              </w:rPr>
            </w:pPr>
            <w:r>
              <w:rPr>
                <w:rFonts w:ascii="Tahoma" w:hAnsi="Tahoma" w:cs="Tahoma"/>
                <w:szCs w:val="24"/>
                <w:lang w:eastAsia="en-GB"/>
              </w:rPr>
              <w:t>Following further competition – 3 separate lots awarded which will work together to provide improved and more efficient production and management of digital evidence.</w:t>
            </w:r>
          </w:p>
        </w:tc>
      </w:tr>
      <w:tr w:rsidR="007E5DC6" w:rsidRPr="00700D2A" w:rsidTr="007E5DC6">
        <w:tc>
          <w:tcPr>
            <w:tcW w:w="2295" w:type="dxa"/>
          </w:tcPr>
          <w:p w:rsidR="007E5DC6" w:rsidRPr="00700D2A" w:rsidRDefault="003658A2" w:rsidP="007E5DC6">
            <w:pPr>
              <w:pStyle w:val="ListParagraph"/>
              <w:ind w:left="0"/>
              <w:rPr>
                <w:rFonts w:ascii="Tahoma" w:hAnsi="Tahoma" w:cs="Tahoma"/>
                <w:szCs w:val="24"/>
                <w:lang w:eastAsia="en-GB"/>
              </w:rPr>
            </w:pPr>
            <w:r>
              <w:rPr>
                <w:rFonts w:ascii="Tahoma" w:hAnsi="Tahoma" w:cs="Tahoma"/>
                <w:szCs w:val="24"/>
                <w:lang w:eastAsia="en-GB"/>
              </w:rPr>
              <w:t>Amazon</w:t>
            </w:r>
            <w:r w:rsidR="00D87D24">
              <w:rPr>
                <w:rFonts w:ascii="Tahoma" w:hAnsi="Tahoma" w:cs="Tahoma"/>
                <w:szCs w:val="24"/>
                <w:lang w:eastAsia="en-GB"/>
              </w:rPr>
              <w:t xml:space="preserve"> </w:t>
            </w:r>
            <w:r>
              <w:rPr>
                <w:rFonts w:ascii="Tahoma" w:hAnsi="Tahoma" w:cs="Tahoma"/>
                <w:szCs w:val="24"/>
                <w:lang w:eastAsia="en-GB"/>
              </w:rPr>
              <w:t>Business Services</w:t>
            </w:r>
          </w:p>
        </w:tc>
        <w:tc>
          <w:tcPr>
            <w:tcW w:w="3472" w:type="dxa"/>
          </w:tcPr>
          <w:p w:rsidR="007E5DC6" w:rsidRPr="00700D2A" w:rsidRDefault="003658A2" w:rsidP="007E5DC6">
            <w:pPr>
              <w:pStyle w:val="ListParagraph"/>
              <w:ind w:left="0"/>
              <w:rPr>
                <w:rFonts w:ascii="Tahoma" w:hAnsi="Tahoma" w:cs="Tahoma"/>
                <w:szCs w:val="24"/>
                <w:lang w:eastAsia="en-GB"/>
              </w:rPr>
            </w:pPr>
            <w:r>
              <w:rPr>
                <w:rFonts w:ascii="Tahoma" w:hAnsi="Tahoma" w:cs="Tahoma"/>
                <w:szCs w:val="24"/>
                <w:lang w:eastAsia="en-GB"/>
              </w:rPr>
              <w:t>Introduction Of Amazon Business Services</w:t>
            </w:r>
          </w:p>
        </w:tc>
        <w:tc>
          <w:tcPr>
            <w:tcW w:w="2693" w:type="dxa"/>
          </w:tcPr>
          <w:p w:rsidR="003658A2" w:rsidRPr="00700D2A" w:rsidRDefault="003658A2" w:rsidP="003166DE">
            <w:pPr>
              <w:pStyle w:val="ListParagraph"/>
              <w:ind w:left="0"/>
              <w:rPr>
                <w:rFonts w:ascii="Tahoma" w:hAnsi="Tahoma" w:cs="Tahoma"/>
                <w:szCs w:val="24"/>
                <w:lang w:eastAsia="en-GB"/>
              </w:rPr>
            </w:pPr>
            <w:r>
              <w:rPr>
                <w:rFonts w:ascii="Tahoma" w:hAnsi="Tahoma" w:cs="Tahoma"/>
                <w:szCs w:val="24"/>
                <w:lang w:eastAsia="en-GB"/>
              </w:rPr>
              <w:t>Yorkshire Purchasing Organisation have implemented a contract with Amazon which is available for Forces to use. The implementation of the Amazon Business Account has formalised the relationship, removing the need of using Corporate Credit Cards and moving to commitments on to the ERP system.</w:t>
            </w:r>
          </w:p>
        </w:tc>
      </w:tr>
      <w:tr w:rsidR="003658A2" w:rsidRPr="00700D2A" w:rsidTr="007E5DC6">
        <w:tc>
          <w:tcPr>
            <w:tcW w:w="2295" w:type="dxa"/>
          </w:tcPr>
          <w:p w:rsidR="003658A2" w:rsidRDefault="003658A2" w:rsidP="007E5DC6">
            <w:pPr>
              <w:pStyle w:val="ListParagraph"/>
              <w:ind w:left="0"/>
              <w:rPr>
                <w:rFonts w:ascii="Tahoma" w:hAnsi="Tahoma" w:cs="Tahoma"/>
                <w:szCs w:val="24"/>
                <w:lang w:eastAsia="en-GB"/>
              </w:rPr>
            </w:pPr>
            <w:r>
              <w:rPr>
                <w:rFonts w:ascii="Tahoma" w:hAnsi="Tahoma" w:cs="Tahoma"/>
                <w:szCs w:val="24"/>
                <w:lang w:eastAsia="en-GB"/>
              </w:rPr>
              <w:t>Police Constable Degree Apprenticeship</w:t>
            </w:r>
          </w:p>
        </w:tc>
        <w:tc>
          <w:tcPr>
            <w:tcW w:w="3472" w:type="dxa"/>
          </w:tcPr>
          <w:p w:rsidR="003658A2" w:rsidRDefault="003658A2" w:rsidP="007E5DC6">
            <w:pPr>
              <w:pStyle w:val="ListParagraph"/>
              <w:ind w:left="0"/>
              <w:rPr>
                <w:rFonts w:ascii="Tahoma" w:hAnsi="Tahoma" w:cs="Tahoma"/>
                <w:szCs w:val="24"/>
                <w:lang w:eastAsia="en-GB"/>
              </w:rPr>
            </w:pPr>
            <w:r>
              <w:rPr>
                <w:rFonts w:ascii="Tahoma" w:hAnsi="Tahoma" w:cs="Tahoma"/>
                <w:szCs w:val="24"/>
                <w:lang w:eastAsia="en-GB"/>
              </w:rPr>
              <w:t>Award of the PCDA with University of Teesside</w:t>
            </w:r>
          </w:p>
        </w:tc>
        <w:tc>
          <w:tcPr>
            <w:tcW w:w="2693" w:type="dxa"/>
          </w:tcPr>
          <w:p w:rsidR="003658A2" w:rsidRDefault="003658A2" w:rsidP="003166DE">
            <w:pPr>
              <w:pStyle w:val="ListParagraph"/>
              <w:ind w:left="0"/>
              <w:rPr>
                <w:rFonts w:ascii="Tahoma" w:hAnsi="Tahoma" w:cs="Tahoma"/>
                <w:szCs w:val="24"/>
                <w:lang w:eastAsia="en-GB"/>
              </w:rPr>
            </w:pPr>
            <w:r>
              <w:rPr>
                <w:rFonts w:ascii="Tahoma" w:hAnsi="Tahoma" w:cs="Tahoma"/>
                <w:szCs w:val="24"/>
                <w:lang w:eastAsia="en-GB"/>
              </w:rPr>
              <w:t>Award of the contract following review of the available providers to deliver this national programme for professionalising the Police Service.</w:t>
            </w:r>
          </w:p>
        </w:tc>
      </w:tr>
    </w:tbl>
    <w:p w:rsidR="007E5DC6" w:rsidRPr="007E5DC6" w:rsidRDefault="007E5DC6" w:rsidP="007E5DC6">
      <w:pPr>
        <w:pStyle w:val="ListParagraph"/>
        <w:rPr>
          <w:b/>
          <w:szCs w:val="24"/>
          <w:lang w:eastAsia="en-GB"/>
        </w:rPr>
      </w:pPr>
    </w:p>
    <w:p w:rsidR="002310E5" w:rsidRDefault="002310E5">
      <w:pPr>
        <w:rPr>
          <w:rFonts w:ascii="Tahoma" w:hAnsi="Tahoma" w:cs="Tahoma"/>
          <w:b/>
          <w:sz w:val="24"/>
          <w:szCs w:val="24"/>
          <w:u w:val="single"/>
          <w:lang w:eastAsia="en-GB"/>
        </w:rPr>
      </w:pPr>
    </w:p>
    <w:p w:rsidR="005F674C" w:rsidRDefault="001C7B95" w:rsidP="003610A8">
      <w:pPr>
        <w:pStyle w:val="BodyText2"/>
        <w:ind w:left="709" w:hanging="709"/>
        <w:jc w:val="both"/>
        <w:rPr>
          <w:b/>
          <w:szCs w:val="24"/>
          <w:lang w:eastAsia="en-GB"/>
        </w:rPr>
      </w:pPr>
      <w:r>
        <w:rPr>
          <w:b/>
          <w:szCs w:val="24"/>
          <w:lang w:eastAsia="en-GB"/>
        </w:rPr>
        <w:t xml:space="preserve"> </w:t>
      </w:r>
    </w:p>
    <w:p w:rsidR="00700D2A" w:rsidRPr="00700D2A" w:rsidRDefault="00700D2A" w:rsidP="00700D2A">
      <w:pPr>
        <w:pStyle w:val="ListParagraph"/>
        <w:rPr>
          <w:rFonts w:ascii="Tahoma" w:hAnsi="Tahoma" w:cs="Tahoma"/>
          <w:sz w:val="24"/>
          <w:szCs w:val="24"/>
          <w:u w:val="single"/>
          <w:lang w:eastAsia="en-GB"/>
        </w:rPr>
      </w:pPr>
      <w:r w:rsidRPr="00700D2A">
        <w:rPr>
          <w:rFonts w:ascii="Tahoma" w:hAnsi="Tahoma" w:cs="Tahoma"/>
          <w:sz w:val="24"/>
          <w:szCs w:val="24"/>
          <w:u w:val="single"/>
          <w:lang w:eastAsia="en-GB"/>
        </w:rPr>
        <w:t>Savings</w:t>
      </w:r>
    </w:p>
    <w:p w:rsidR="00924875" w:rsidRDefault="00924875" w:rsidP="00924875">
      <w:pPr>
        <w:pStyle w:val="BodyText"/>
        <w:ind w:left="720"/>
        <w:jc w:val="both"/>
        <w:rPr>
          <w:rFonts w:ascii="Tahoma" w:hAnsi="Tahoma" w:cs="Tahoma"/>
          <w:szCs w:val="24"/>
        </w:rPr>
      </w:pPr>
    </w:p>
    <w:p w:rsidR="00125B2A" w:rsidRPr="002D35D5" w:rsidRDefault="00125B2A" w:rsidP="00125B2A">
      <w:pPr>
        <w:pStyle w:val="BodyText"/>
        <w:ind w:left="720"/>
        <w:jc w:val="both"/>
        <w:rPr>
          <w:rFonts w:ascii="Tahoma" w:hAnsi="Tahoma" w:cs="Tahoma"/>
          <w:szCs w:val="24"/>
        </w:rPr>
      </w:pPr>
      <w:r>
        <w:rPr>
          <w:rFonts w:ascii="Tahoma" w:hAnsi="Tahoma" w:cs="Tahoma"/>
          <w:szCs w:val="24"/>
        </w:rPr>
        <w:t>Procurement Savings 2019/20 Year to Date (Apr 19-Jan 20) are £38</w:t>
      </w:r>
      <w:r w:rsidR="001A7000">
        <w:rPr>
          <w:rFonts w:ascii="Tahoma" w:hAnsi="Tahoma" w:cs="Tahoma"/>
          <w:szCs w:val="24"/>
        </w:rPr>
        <w:t>3</w:t>
      </w:r>
      <w:r>
        <w:rPr>
          <w:rFonts w:ascii="Tahoma" w:hAnsi="Tahoma" w:cs="Tahoma"/>
          <w:szCs w:val="24"/>
        </w:rPr>
        <w:t>,</w:t>
      </w:r>
      <w:r w:rsidR="001A7000">
        <w:rPr>
          <w:rFonts w:ascii="Tahoma" w:hAnsi="Tahoma" w:cs="Tahoma"/>
          <w:szCs w:val="24"/>
        </w:rPr>
        <w:t>599</w:t>
      </w:r>
      <w:r>
        <w:rPr>
          <w:rFonts w:ascii="Tahoma" w:hAnsi="Tahoma" w:cs="Tahoma"/>
          <w:szCs w:val="24"/>
        </w:rPr>
        <w:t>.60</w:t>
      </w:r>
    </w:p>
    <w:p w:rsidR="00125B2A" w:rsidRPr="002D35D5" w:rsidRDefault="00125B2A" w:rsidP="00125B2A">
      <w:pPr>
        <w:pStyle w:val="BodyTextIndent"/>
        <w:jc w:val="both"/>
        <w:rPr>
          <w:szCs w:val="24"/>
        </w:rPr>
      </w:pPr>
    </w:p>
    <w:p w:rsidR="00F976EB" w:rsidRPr="002D35D5" w:rsidRDefault="00F976EB" w:rsidP="00700D2A">
      <w:pPr>
        <w:pStyle w:val="BodyText2"/>
        <w:jc w:val="both"/>
        <w:rPr>
          <w:rFonts w:ascii="Arial" w:hAnsi="Arial" w:cs="Arial"/>
          <w:color w:val="FF0000"/>
          <w:szCs w:val="24"/>
          <w:u w:val="none"/>
        </w:rPr>
      </w:pPr>
    </w:p>
    <w:sectPr w:rsidR="00F976EB" w:rsidRPr="002D35D5" w:rsidSect="00535E44">
      <w:headerReference w:type="default" r:id="rId14"/>
      <w:pgSz w:w="11909" w:h="16834" w:code="9"/>
      <w:pgMar w:top="1134" w:right="1134" w:bottom="1134" w:left="1134" w:header="709" w:footer="709" w:gutter="0"/>
      <w:paperSrc w:first="15" w:other="15"/>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417" w:rsidRDefault="00635417">
      <w:r>
        <w:separator/>
      </w:r>
    </w:p>
  </w:endnote>
  <w:endnote w:type="continuationSeparator" w:id="0">
    <w:p w:rsidR="00635417" w:rsidRDefault="00635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417" w:rsidRDefault="00635417">
      <w:r>
        <w:separator/>
      </w:r>
    </w:p>
  </w:footnote>
  <w:footnote w:type="continuationSeparator" w:id="0">
    <w:p w:rsidR="00635417" w:rsidRDefault="006354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839" w:rsidRDefault="00790839" w:rsidP="00790839">
    <w:pPr>
      <w:pStyle w:val="Header"/>
      <w:jc w:val="right"/>
    </w:pPr>
  </w:p>
  <w:p w:rsidR="00036C10" w:rsidRDefault="00036C10" w:rsidP="00831597">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9641"/>
    </w:tblGrid>
    <w:tr w:rsidR="00036C10" w:rsidRPr="001E5977" w:rsidTr="001E5977">
      <w:tc>
        <w:tcPr>
          <w:tcW w:w="9857" w:type="dxa"/>
          <w:shd w:val="clear" w:color="auto" w:fill="auto"/>
        </w:tcPr>
        <w:p w:rsidR="00036C10" w:rsidRPr="001E5977" w:rsidRDefault="00036C10" w:rsidP="001E5977">
          <w:pPr>
            <w:pStyle w:val="Header"/>
            <w:jc w:val="right"/>
            <w:rPr>
              <w:rFonts w:ascii="Tahoma" w:hAnsi="Tahoma" w:cs="Tahoma"/>
              <w:b/>
              <w:bCs/>
              <w:sz w:val="24"/>
              <w:szCs w:val="24"/>
            </w:rPr>
          </w:pPr>
        </w:p>
      </w:tc>
    </w:tr>
  </w:tbl>
  <w:p w:rsidR="00036C10" w:rsidRDefault="00036C10" w:rsidP="0083159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F4C84"/>
    <w:multiLevelType w:val="multilevel"/>
    <w:tmpl w:val="4ED0FA3C"/>
    <w:lvl w:ilvl="0">
      <w:start w:val="10"/>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6AC1BD4"/>
    <w:multiLevelType w:val="hybridMultilevel"/>
    <w:tmpl w:val="0560B70E"/>
    <w:lvl w:ilvl="0" w:tplc="08090001">
      <w:start w:val="1"/>
      <w:numFmt w:val="bullet"/>
      <w:lvlText w:val=""/>
      <w:lvlJc w:val="left"/>
      <w:pPr>
        <w:ind w:left="720" w:hanging="360"/>
      </w:pPr>
      <w:rPr>
        <w:rFonts w:ascii="Symbol" w:hAnsi="Symbol" w:hint="default"/>
      </w:rPr>
    </w:lvl>
    <w:lvl w:ilvl="1" w:tplc="03D20094">
      <w:start w:val="1"/>
      <w:numFmt w:val="bullet"/>
      <w:lvlText w:val="o"/>
      <w:lvlJc w:val="left"/>
      <w:pPr>
        <w:ind w:left="1440" w:hanging="360"/>
      </w:pPr>
      <w:rPr>
        <w:rFonts w:ascii="Courier New" w:hAnsi="Courier New" w:cs="Courier New"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A95B3A"/>
    <w:multiLevelType w:val="hybridMultilevel"/>
    <w:tmpl w:val="2DBE45AA"/>
    <w:lvl w:ilvl="0" w:tplc="E668DC46">
      <w:start w:val="16"/>
      <w:numFmt w:val="decimal"/>
      <w:lvlText w:val="%1."/>
      <w:lvlJc w:val="left"/>
      <w:pPr>
        <w:ind w:left="744" w:hanging="3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4E2B98"/>
    <w:multiLevelType w:val="multilevel"/>
    <w:tmpl w:val="5394EC20"/>
    <w:lvl w:ilvl="0">
      <w:start w:val="12"/>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C8039A9"/>
    <w:multiLevelType w:val="hybridMultilevel"/>
    <w:tmpl w:val="33E436F4"/>
    <w:lvl w:ilvl="0" w:tplc="A3488ABE">
      <w:start w:val="2"/>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DF0346"/>
    <w:multiLevelType w:val="multilevel"/>
    <w:tmpl w:val="A1167B0E"/>
    <w:lvl w:ilvl="0">
      <w:start w:val="1"/>
      <w:numFmt w:val="decimal"/>
      <w:lvlText w:val="%1"/>
      <w:lvlJc w:val="left"/>
      <w:pPr>
        <w:ind w:left="710" w:hanging="7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6D64400"/>
    <w:multiLevelType w:val="multilevel"/>
    <w:tmpl w:val="043E3ED6"/>
    <w:lvl w:ilvl="0">
      <w:start w:val="5"/>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 w15:restartNumberingAfterBreak="0">
    <w:nsid w:val="176D66C0"/>
    <w:multiLevelType w:val="multilevel"/>
    <w:tmpl w:val="62B658F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17844CC7"/>
    <w:multiLevelType w:val="multilevel"/>
    <w:tmpl w:val="83D29A0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7B95786"/>
    <w:multiLevelType w:val="multilevel"/>
    <w:tmpl w:val="94E47C0A"/>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9627266"/>
    <w:multiLevelType w:val="hybridMultilevel"/>
    <w:tmpl w:val="10085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845ECB"/>
    <w:multiLevelType w:val="multilevel"/>
    <w:tmpl w:val="460EDCAE"/>
    <w:lvl w:ilvl="0">
      <w:start w:val="16"/>
      <w:numFmt w:val="decimal"/>
      <w:lvlText w:val="%1."/>
      <w:lvlJc w:val="left"/>
      <w:pPr>
        <w:ind w:left="744" w:hanging="384"/>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2" w15:restartNumberingAfterBreak="0">
    <w:nsid w:val="1F1471B7"/>
    <w:multiLevelType w:val="multilevel"/>
    <w:tmpl w:val="9070A63A"/>
    <w:lvl w:ilvl="0">
      <w:start w:val="4"/>
      <w:numFmt w:val="decimal"/>
      <w:lvlText w:val="%1"/>
      <w:lvlJc w:val="left"/>
      <w:pPr>
        <w:tabs>
          <w:tab w:val="num" w:pos="720"/>
        </w:tabs>
        <w:ind w:left="720" w:hanging="720"/>
      </w:pPr>
      <w:rPr>
        <w:rFonts w:hint="default"/>
        <w:b w:val="0"/>
      </w:rPr>
    </w:lvl>
    <w:lvl w:ilvl="1">
      <w:start w:val="2"/>
      <w:numFmt w:val="decimal"/>
      <w:lvlText w:val="%1.%2"/>
      <w:lvlJc w:val="left"/>
      <w:pPr>
        <w:tabs>
          <w:tab w:val="num" w:pos="720"/>
        </w:tabs>
        <w:ind w:left="720" w:hanging="720"/>
      </w:pPr>
      <w:rPr>
        <w:rFonts w:hint="default"/>
        <w:b w:val="0"/>
      </w:rPr>
    </w:lvl>
    <w:lvl w:ilvl="2">
      <w:start w:val="1"/>
      <w:numFmt w:val="decimal"/>
      <w:lvlText w:val="%1.%2.%3"/>
      <w:lvlJc w:val="left"/>
      <w:pPr>
        <w:tabs>
          <w:tab w:val="num" w:pos="1080"/>
        </w:tabs>
        <w:ind w:left="1080"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2160"/>
        </w:tabs>
        <w:ind w:left="2160" w:hanging="216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13" w15:restartNumberingAfterBreak="0">
    <w:nsid w:val="247D17C4"/>
    <w:multiLevelType w:val="multilevel"/>
    <w:tmpl w:val="9042A51A"/>
    <w:lvl w:ilvl="0">
      <w:start w:val="3"/>
      <w:numFmt w:val="decimal"/>
      <w:lvlText w:val="%1."/>
      <w:lvlJc w:val="left"/>
      <w:pPr>
        <w:ind w:left="720" w:hanging="360"/>
      </w:pPr>
      <w:rPr>
        <w:rFonts w:hint="default"/>
        <w:b/>
      </w:rPr>
    </w:lvl>
    <w:lvl w:ilvl="1">
      <w:start w:val="3"/>
      <w:numFmt w:val="decimal"/>
      <w:isLgl/>
      <w:lvlText w:val="%1.%2"/>
      <w:lvlJc w:val="left"/>
      <w:pPr>
        <w:ind w:left="1080" w:hanging="720"/>
      </w:pPr>
      <w:rPr>
        <w:rFonts w:hint="default"/>
        <w:b w:val="0"/>
        <w:u w:val="none"/>
      </w:rPr>
    </w:lvl>
    <w:lvl w:ilvl="2">
      <w:start w:val="1"/>
      <w:numFmt w:val="decimal"/>
      <w:isLgl/>
      <w:lvlText w:val="%1.%2.%3"/>
      <w:lvlJc w:val="left"/>
      <w:pPr>
        <w:ind w:left="1440" w:hanging="1080"/>
      </w:pPr>
      <w:rPr>
        <w:rFonts w:hint="default"/>
        <w:b w:val="0"/>
        <w:u w:val="none"/>
      </w:rPr>
    </w:lvl>
    <w:lvl w:ilvl="3">
      <w:start w:val="1"/>
      <w:numFmt w:val="decimal"/>
      <w:isLgl/>
      <w:lvlText w:val="%1.%2.%3.%4"/>
      <w:lvlJc w:val="left"/>
      <w:pPr>
        <w:ind w:left="1440" w:hanging="1080"/>
      </w:pPr>
      <w:rPr>
        <w:rFonts w:hint="default"/>
        <w:b w:val="0"/>
        <w:u w:val="none"/>
      </w:rPr>
    </w:lvl>
    <w:lvl w:ilvl="4">
      <w:start w:val="1"/>
      <w:numFmt w:val="decimal"/>
      <w:isLgl/>
      <w:lvlText w:val="%1.%2.%3.%4.%5"/>
      <w:lvlJc w:val="left"/>
      <w:pPr>
        <w:ind w:left="1800" w:hanging="1440"/>
      </w:pPr>
      <w:rPr>
        <w:rFonts w:hint="default"/>
        <w:b w:val="0"/>
        <w:u w:val="none"/>
      </w:rPr>
    </w:lvl>
    <w:lvl w:ilvl="5">
      <w:start w:val="1"/>
      <w:numFmt w:val="decimal"/>
      <w:isLgl/>
      <w:lvlText w:val="%1.%2.%3.%4.%5.%6"/>
      <w:lvlJc w:val="left"/>
      <w:pPr>
        <w:ind w:left="2160" w:hanging="1800"/>
      </w:pPr>
      <w:rPr>
        <w:rFonts w:hint="default"/>
        <w:b w:val="0"/>
        <w:u w:val="none"/>
      </w:rPr>
    </w:lvl>
    <w:lvl w:ilvl="6">
      <w:start w:val="1"/>
      <w:numFmt w:val="decimal"/>
      <w:isLgl/>
      <w:lvlText w:val="%1.%2.%3.%4.%5.%6.%7"/>
      <w:lvlJc w:val="left"/>
      <w:pPr>
        <w:ind w:left="2520" w:hanging="2160"/>
      </w:pPr>
      <w:rPr>
        <w:rFonts w:hint="default"/>
        <w:b w:val="0"/>
        <w:u w:val="none"/>
      </w:rPr>
    </w:lvl>
    <w:lvl w:ilvl="7">
      <w:start w:val="1"/>
      <w:numFmt w:val="decimal"/>
      <w:isLgl/>
      <w:lvlText w:val="%1.%2.%3.%4.%5.%6.%7.%8"/>
      <w:lvlJc w:val="left"/>
      <w:pPr>
        <w:ind w:left="2520" w:hanging="2160"/>
      </w:pPr>
      <w:rPr>
        <w:rFonts w:hint="default"/>
        <w:b w:val="0"/>
        <w:u w:val="none"/>
      </w:rPr>
    </w:lvl>
    <w:lvl w:ilvl="8">
      <w:start w:val="1"/>
      <w:numFmt w:val="decimal"/>
      <w:isLgl/>
      <w:lvlText w:val="%1.%2.%3.%4.%5.%6.%7.%8.%9"/>
      <w:lvlJc w:val="left"/>
      <w:pPr>
        <w:ind w:left="2880" w:hanging="2520"/>
      </w:pPr>
      <w:rPr>
        <w:rFonts w:hint="default"/>
        <w:b w:val="0"/>
        <w:u w:val="none"/>
      </w:rPr>
    </w:lvl>
  </w:abstractNum>
  <w:abstractNum w:abstractNumId="14" w15:restartNumberingAfterBreak="0">
    <w:nsid w:val="250A3D09"/>
    <w:multiLevelType w:val="multilevel"/>
    <w:tmpl w:val="7132E3BE"/>
    <w:lvl w:ilvl="0">
      <w:start w:val="6"/>
      <w:numFmt w:val="decimal"/>
      <w:lvlText w:val="%1"/>
      <w:lvlJc w:val="left"/>
      <w:pPr>
        <w:ind w:left="360" w:hanging="360"/>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7B470CE"/>
    <w:multiLevelType w:val="hybridMultilevel"/>
    <w:tmpl w:val="9B64E618"/>
    <w:lvl w:ilvl="0" w:tplc="B0FAED64">
      <w:start w:val="1"/>
      <w:numFmt w:val="decimal"/>
      <w:lvlText w:val="%1."/>
      <w:lvlJc w:val="left"/>
      <w:pPr>
        <w:ind w:left="1080" w:hanging="720"/>
      </w:pPr>
      <w:rPr>
        <w:rFonts w:hint="default"/>
        <w:b/>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8B724AC"/>
    <w:multiLevelType w:val="multilevel"/>
    <w:tmpl w:val="EC74B41A"/>
    <w:lvl w:ilvl="0">
      <w:start w:val="1"/>
      <w:numFmt w:val="decimal"/>
      <w:lvlText w:val="%1"/>
      <w:lvlJc w:val="left"/>
      <w:pPr>
        <w:ind w:left="360" w:hanging="360"/>
      </w:pPr>
      <w:rPr>
        <w:rFonts w:hint="default"/>
      </w:rPr>
    </w:lvl>
    <w:lvl w:ilvl="1">
      <w:start w:val="1"/>
      <w:numFmt w:val="decimal"/>
      <w:lvlText w:val="%1.%2"/>
      <w:lvlJc w:val="left"/>
      <w:pPr>
        <w:ind w:left="792" w:hanging="720"/>
      </w:pPr>
      <w:rPr>
        <w:rFonts w:hint="default"/>
        <w:b w:val="0"/>
      </w:rPr>
    </w:lvl>
    <w:lvl w:ilvl="2">
      <w:start w:val="1"/>
      <w:numFmt w:val="decimal"/>
      <w:lvlText w:val="%1.%2.%3"/>
      <w:lvlJc w:val="left"/>
      <w:pPr>
        <w:ind w:left="864" w:hanging="720"/>
      </w:pPr>
      <w:rPr>
        <w:rFonts w:hint="default"/>
      </w:rPr>
    </w:lvl>
    <w:lvl w:ilvl="3">
      <w:start w:val="1"/>
      <w:numFmt w:val="decimal"/>
      <w:lvlText w:val="%1.%2.%3.%4"/>
      <w:lvlJc w:val="left"/>
      <w:pPr>
        <w:ind w:left="1296" w:hanging="1080"/>
      </w:pPr>
      <w:rPr>
        <w:rFonts w:hint="default"/>
      </w:rPr>
    </w:lvl>
    <w:lvl w:ilvl="4">
      <w:start w:val="1"/>
      <w:numFmt w:val="decimal"/>
      <w:lvlText w:val="%1.%2.%3.%4.%5"/>
      <w:lvlJc w:val="left"/>
      <w:pPr>
        <w:ind w:left="1728" w:hanging="144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2232" w:hanging="1800"/>
      </w:pPr>
      <w:rPr>
        <w:rFonts w:hint="default"/>
      </w:rPr>
    </w:lvl>
    <w:lvl w:ilvl="7">
      <w:start w:val="1"/>
      <w:numFmt w:val="decimal"/>
      <w:lvlText w:val="%1.%2.%3.%4.%5.%6.%7.%8"/>
      <w:lvlJc w:val="left"/>
      <w:pPr>
        <w:ind w:left="2664" w:hanging="2160"/>
      </w:pPr>
      <w:rPr>
        <w:rFonts w:hint="default"/>
      </w:rPr>
    </w:lvl>
    <w:lvl w:ilvl="8">
      <w:start w:val="1"/>
      <w:numFmt w:val="decimal"/>
      <w:lvlText w:val="%1.%2.%3.%4.%5.%6.%7.%8.%9"/>
      <w:lvlJc w:val="left"/>
      <w:pPr>
        <w:ind w:left="2736" w:hanging="2160"/>
      </w:pPr>
      <w:rPr>
        <w:rFonts w:hint="default"/>
      </w:rPr>
    </w:lvl>
  </w:abstractNum>
  <w:abstractNum w:abstractNumId="17" w15:restartNumberingAfterBreak="0">
    <w:nsid w:val="2C351B8A"/>
    <w:multiLevelType w:val="hybridMultilevel"/>
    <w:tmpl w:val="84DC8FEE"/>
    <w:lvl w:ilvl="0" w:tplc="A628CDBE">
      <w:start w:val="1"/>
      <w:numFmt w:val="decimal"/>
      <w:lvlText w:val="%1."/>
      <w:lvlJc w:val="left"/>
      <w:pPr>
        <w:ind w:left="720" w:hanging="360"/>
      </w:pPr>
      <w:rPr>
        <w:rFonts w:hint="default"/>
        <w:b/>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2BD4631"/>
    <w:multiLevelType w:val="multilevel"/>
    <w:tmpl w:val="9042A51A"/>
    <w:lvl w:ilvl="0">
      <w:start w:val="3"/>
      <w:numFmt w:val="decimal"/>
      <w:lvlText w:val="%1."/>
      <w:lvlJc w:val="left"/>
      <w:pPr>
        <w:ind w:left="644" w:hanging="360"/>
      </w:pPr>
      <w:rPr>
        <w:rFonts w:hint="default"/>
        <w:b/>
      </w:rPr>
    </w:lvl>
    <w:lvl w:ilvl="1">
      <w:start w:val="3"/>
      <w:numFmt w:val="decimal"/>
      <w:isLgl/>
      <w:lvlText w:val="%1.%2"/>
      <w:lvlJc w:val="left"/>
      <w:pPr>
        <w:ind w:left="1004" w:hanging="720"/>
      </w:pPr>
      <w:rPr>
        <w:rFonts w:hint="default"/>
        <w:b w:val="0"/>
        <w:u w:val="none"/>
      </w:rPr>
    </w:lvl>
    <w:lvl w:ilvl="2">
      <w:start w:val="1"/>
      <w:numFmt w:val="decimal"/>
      <w:isLgl/>
      <w:lvlText w:val="%1.%2.%3"/>
      <w:lvlJc w:val="left"/>
      <w:pPr>
        <w:ind w:left="1364" w:hanging="1080"/>
      </w:pPr>
      <w:rPr>
        <w:rFonts w:hint="default"/>
        <w:b w:val="0"/>
        <w:u w:val="none"/>
      </w:rPr>
    </w:lvl>
    <w:lvl w:ilvl="3">
      <w:start w:val="1"/>
      <w:numFmt w:val="decimal"/>
      <w:isLgl/>
      <w:lvlText w:val="%1.%2.%3.%4"/>
      <w:lvlJc w:val="left"/>
      <w:pPr>
        <w:ind w:left="1364" w:hanging="1080"/>
      </w:pPr>
      <w:rPr>
        <w:rFonts w:hint="default"/>
        <w:b w:val="0"/>
        <w:u w:val="none"/>
      </w:rPr>
    </w:lvl>
    <w:lvl w:ilvl="4">
      <w:start w:val="1"/>
      <w:numFmt w:val="decimal"/>
      <w:isLgl/>
      <w:lvlText w:val="%1.%2.%3.%4.%5"/>
      <w:lvlJc w:val="left"/>
      <w:pPr>
        <w:ind w:left="1724" w:hanging="1440"/>
      </w:pPr>
      <w:rPr>
        <w:rFonts w:hint="default"/>
        <w:b w:val="0"/>
        <w:u w:val="none"/>
      </w:rPr>
    </w:lvl>
    <w:lvl w:ilvl="5">
      <w:start w:val="1"/>
      <w:numFmt w:val="decimal"/>
      <w:isLgl/>
      <w:lvlText w:val="%1.%2.%3.%4.%5.%6"/>
      <w:lvlJc w:val="left"/>
      <w:pPr>
        <w:ind w:left="2084" w:hanging="1800"/>
      </w:pPr>
      <w:rPr>
        <w:rFonts w:hint="default"/>
        <w:b w:val="0"/>
        <w:u w:val="none"/>
      </w:rPr>
    </w:lvl>
    <w:lvl w:ilvl="6">
      <w:start w:val="1"/>
      <w:numFmt w:val="decimal"/>
      <w:isLgl/>
      <w:lvlText w:val="%1.%2.%3.%4.%5.%6.%7"/>
      <w:lvlJc w:val="left"/>
      <w:pPr>
        <w:ind w:left="2444" w:hanging="2160"/>
      </w:pPr>
      <w:rPr>
        <w:rFonts w:hint="default"/>
        <w:b w:val="0"/>
        <w:u w:val="none"/>
      </w:rPr>
    </w:lvl>
    <w:lvl w:ilvl="7">
      <w:start w:val="1"/>
      <w:numFmt w:val="decimal"/>
      <w:isLgl/>
      <w:lvlText w:val="%1.%2.%3.%4.%5.%6.%7.%8"/>
      <w:lvlJc w:val="left"/>
      <w:pPr>
        <w:ind w:left="2444" w:hanging="2160"/>
      </w:pPr>
      <w:rPr>
        <w:rFonts w:hint="default"/>
        <w:b w:val="0"/>
        <w:u w:val="none"/>
      </w:rPr>
    </w:lvl>
    <w:lvl w:ilvl="8">
      <w:start w:val="1"/>
      <w:numFmt w:val="decimal"/>
      <w:isLgl/>
      <w:lvlText w:val="%1.%2.%3.%4.%5.%6.%7.%8.%9"/>
      <w:lvlJc w:val="left"/>
      <w:pPr>
        <w:ind w:left="2804" w:hanging="2520"/>
      </w:pPr>
      <w:rPr>
        <w:rFonts w:hint="default"/>
        <w:b w:val="0"/>
        <w:u w:val="none"/>
      </w:rPr>
    </w:lvl>
  </w:abstractNum>
  <w:abstractNum w:abstractNumId="19" w15:restartNumberingAfterBreak="0">
    <w:nsid w:val="39D67554"/>
    <w:multiLevelType w:val="multilevel"/>
    <w:tmpl w:val="CC30CDB8"/>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3AAD2C0C"/>
    <w:multiLevelType w:val="hybridMultilevel"/>
    <w:tmpl w:val="8206856E"/>
    <w:lvl w:ilvl="0" w:tplc="2938BA52">
      <w:start w:val="11"/>
      <w:numFmt w:val="decimal"/>
      <w:lvlText w:val="%1."/>
      <w:lvlJc w:val="left"/>
      <w:pPr>
        <w:ind w:left="744" w:hanging="3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36379A0"/>
    <w:multiLevelType w:val="multilevel"/>
    <w:tmpl w:val="321A76F4"/>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6C817DD"/>
    <w:multiLevelType w:val="multilevel"/>
    <w:tmpl w:val="554CC876"/>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9D53586"/>
    <w:multiLevelType w:val="multilevel"/>
    <w:tmpl w:val="12DA7CF2"/>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AD463B5"/>
    <w:multiLevelType w:val="hybridMultilevel"/>
    <w:tmpl w:val="12A47600"/>
    <w:lvl w:ilvl="0" w:tplc="FC8884E0">
      <w:start w:val="15"/>
      <w:numFmt w:val="decimal"/>
      <w:lvlText w:val="%1."/>
      <w:lvlJc w:val="left"/>
      <w:pPr>
        <w:ind w:left="744" w:hanging="3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F739A5"/>
    <w:multiLevelType w:val="multilevel"/>
    <w:tmpl w:val="48ECDD4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4EBC5461"/>
    <w:multiLevelType w:val="multilevel"/>
    <w:tmpl w:val="9ED4D686"/>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F6E7825"/>
    <w:multiLevelType w:val="multilevel"/>
    <w:tmpl w:val="C98A705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634B04A8"/>
    <w:multiLevelType w:val="multilevel"/>
    <w:tmpl w:val="8F263AC8"/>
    <w:lvl w:ilvl="0">
      <w:start w:val="15"/>
      <w:numFmt w:val="decimal"/>
      <w:lvlText w:val="%1"/>
      <w:lvlJc w:val="left"/>
      <w:pPr>
        <w:ind w:left="468" w:hanging="468"/>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64F974DC"/>
    <w:multiLevelType w:val="multilevel"/>
    <w:tmpl w:val="7DC686BE"/>
    <w:lvl w:ilvl="0">
      <w:start w:val="5"/>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686F272A"/>
    <w:multiLevelType w:val="multilevel"/>
    <w:tmpl w:val="48ECDD4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6AB90B1A"/>
    <w:multiLevelType w:val="multilevel"/>
    <w:tmpl w:val="4A2835E2"/>
    <w:lvl w:ilvl="0">
      <w:start w:val="12"/>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70F10F47"/>
    <w:multiLevelType w:val="hybridMultilevel"/>
    <w:tmpl w:val="FEF82702"/>
    <w:lvl w:ilvl="0" w:tplc="F34651A2">
      <w:start w:val="2"/>
      <w:numFmt w:val="decimal"/>
      <w:lvlText w:val="%1."/>
      <w:lvlJc w:val="left"/>
      <w:pPr>
        <w:tabs>
          <w:tab w:val="num" w:pos="360"/>
        </w:tabs>
        <w:ind w:left="360" w:hanging="360"/>
      </w:pPr>
      <w:rPr>
        <w:rFonts w:hint="default"/>
        <w:b/>
      </w:rPr>
    </w:lvl>
    <w:lvl w:ilvl="1" w:tplc="3DA8DDDE">
      <w:numFmt w:val="none"/>
      <w:lvlText w:val=""/>
      <w:lvlJc w:val="left"/>
      <w:pPr>
        <w:tabs>
          <w:tab w:val="num" w:pos="360"/>
        </w:tabs>
      </w:pPr>
    </w:lvl>
    <w:lvl w:ilvl="2" w:tplc="4B902B86">
      <w:numFmt w:val="none"/>
      <w:lvlText w:val=""/>
      <w:lvlJc w:val="left"/>
      <w:pPr>
        <w:tabs>
          <w:tab w:val="num" w:pos="360"/>
        </w:tabs>
      </w:pPr>
    </w:lvl>
    <w:lvl w:ilvl="3" w:tplc="37DECECA">
      <w:numFmt w:val="none"/>
      <w:lvlText w:val=""/>
      <w:lvlJc w:val="left"/>
      <w:pPr>
        <w:tabs>
          <w:tab w:val="num" w:pos="360"/>
        </w:tabs>
      </w:pPr>
    </w:lvl>
    <w:lvl w:ilvl="4" w:tplc="976C6FF8">
      <w:numFmt w:val="none"/>
      <w:lvlText w:val=""/>
      <w:lvlJc w:val="left"/>
      <w:pPr>
        <w:tabs>
          <w:tab w:val="num" w:pos="360"/>
        </w:tabs>
      </w:pPr>
    </w:lvl>
    <w:lvl w:ilvl="5" w:tplc="F10AA89E">
      <w:numFmt w:val="none"/>
      <w:lvlText w:val=""/>
      <w:lvlJc w:val="left"/>
      <w:pPr>
        <w:tabs>
          <w:tab w:val="num" w:pos="360"/>
        </w:tabs>
      </w:pPr>
    </w:lvl>
    <w:lvl w:ilvl="6" w:tplc="5C0A51CC">
      <w:numFmt w:val="none"/>
      <w:lvlText w:val=""/>
      <w:lvlJc w:val="left"/>
      <w:pPr>
        <w:tabs>
          <w:tab w:val="num" w:pos="360"/>
        </w:tabs>
      </w:pPr>
    </w:lvl>
    <w:lvl w:ilvl="7" w:tplc="9A66DBA8">
      <w:numFmt w:val="none"/>
      <w:lvlText w:val=""/>
      <w:lvlJc w:val="left"/>
      <w:pPr>
        <w:tabs>
          <w:tab w:val="num" w:pos="360"/>
        </w:tabs>
      </w:pPr>
    </w:lvl>
    <w:lvl w:ilvl="8" w:tplc="6ED8E3E0">
      <w:numFmt w:val="none"/>
      <w:lvlText w:val=""/>
      <w:lvlJc w:val="left"/>
      <w:pPr>
        <w:tabs>
          <w:tab w:val="num" w:pos="360"/>
        </w:tabs>
      </w:pPr>
    </w:lvl>
  </w:abstractNum>
  <w:abstractNum w:abstractNumId="33" w15:restartNumberingAfterBreak="0">
    <w:nsid w:val="734B4F4C"/>
    <w:multiLevelType w:val="multilevel"/>
    <w:tmpl w:val="E98A01E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76D406A2"/>
    <w:multiLevelType w:val="hybridMultilevel"/>
    <w:tmpl w:val="2780BC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96781B"/>
    <w:multiLevelType w:val="hybridMultilevel"/>
    <w:tmpl w:val="06BCA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BB64AED"/>
    <w:multiLevelType w:val="multilevel"/>
    <w:tmpl w:val="9042A51A"/>
    <w:lvl w:ilvl="0">
      <w:start w:val="3"/>
      <w:numFmt w:val="decimal"/>
      <w:lvlText w:val="%1."/>
      <w:lvlJc w:val="left"/>
      <w:pPr>
        <w:ind w:left="720" w:hanging="360"/>
      </w:pPr>
      <w:rPr>
        <w:rFonts w:hint="default"/>
        <w:b/>
      </w:rPr>
    </w:lvl>
    <w:lvl w:ilvl="1">
      <w:start w:val="3"/>
      <w:numFmt w:val="decimal"/>
      <w:isLgl/>
      <w:lvlText w:val="%1.%2"/>
      <w:lvlJc w:val="left"/>
      <w:pPr>
        <w:ind w:left="1080" w:hanging="720"/>
      </w:pPr>
      <w:rPr>
        <w:rFonts w:hint="default"/>
        <w:b w:val="0"/>
        <w:u w:val="none"/>
      </w:rPr>
    </w:lvl>
    <w:lvl w:ilvl="2">
      <w:start w:val="1"/>
      <w:numFmt w:val="decimal"/>
      <w:isLgl/>
      <w:lvlText w:val="%1.%2.%3"/>
      <w:lvlJc w:val="left"/>
      <w:pPr>
        <w:ind w:left="1440" w:hanging="1080"/>
      </w:pPr>
      <w:rPr>
        <w:rFonts w:hint="default"/>
        <w:b w:val="0"/>
        <w:u w:val="none"/>
      </w:rPr>
    </w:lvl>
    <w:lvl w:ilvl="3">
      <w:start w:val="1"/>
      <w:numFmt w:val="decimal"/>
      <w:isLgl/>
      <w:lvlText w:val="%1.%2.%3.%4"/>
      <w:lvlJc w:val="left"/>
      <w:pPr>
        <w:ind w:left="1440" w:hanging="1080"/>
      </w:pPr>
      <w:rPr>
        <w:rFonts w:hint="default"/>
        <w:b w:val="0"/>
        <w:u w:val="none"/>
      </w:rPr>
    </w:lvl>
    <w:lvl w:ilvl="4">
      <w:start w:val="1"/>
      <w:numFmt w:val="decimal"/>
      <w:isLgl/>
      <w:lvlText w:val="%1.%2.%3.%4.%5"/>
      <w:lvlJc w:val="left"/>
      <w:pPr>
        <w:ind w:left="1800" w:hanging="1440"/>
      </w:pPr>
      <w:rPr>
        <w:rFonts w:hint="default"/>
        <w:b w:val="0"/>
        <w:u w:val="none"/>
      </w:rPr>
    </w:lvl>
    <w:lvl w:ilvl="5">
      <w:start w:val="1"/>
      <w:numFmt w:val="decimal"/>
      <w:isLgl/>
      <w:lvlText w:val="%1.%2.%3.%4.%5.%6"/>
      <w:lvlJc w:val="left"/>
      <w:pPr>
        <w:ind w:left="2160" w:hanging="1800"/>
      </w:pPr>
      <w:rPr>
        <w:rFonts w:hint="default"/>
        <w:b w:val="0"/>
        <w:u w:val="none"/>
      </w:rPr>
    </w:lvl>
    <w:lvl w:ilvl="6">
      <w:start w:val="1"/>
      <w:numFmt w:val="decimal"/>
      <w:isLgl/>
      <w:lvlText w:val="%1.%2.%3.%4.%5.%6.%7"/>
      <w:lvlJc w:val="left"/>
      <w:pPr>
        <w:ind w:left="2520" w:hanging="2160"/>
      </w:pPr>
      <w:rPr>
        <w:rFonts w:hint="default"/>
        <w:b w:val="0"/>
        <w:u w:val="none"/>
      </w:rPr>
    </w:lvl>
    <w:lvl w:ilvl="7">
      <w:start w:val="1"/>
      <w:numFmt w:val="decimal"/>
      <w:isLgl/>
      <w:lvlText w:val="%1.%2.%3.%4.%5.%6.%7.%8"/>
      <w:lvlJc w:val="left"/>
      <w:pPr>
        <w:ind w:left="2520" w:hanging="2160"/>
      </w:pPr>
      <w:rPr>
        <w:rFonts w:hint="default"/>
        <w:b w:val="0"/>
        <w:u w:val="none"/>
      </w:rPr>
    </w:lvl>
    <w:lvl w:ilvl="8">
      <w:start w:val="1"/>
      <w:numFmt w:val="decimal"/>
      <w:isLgl/>
      <w:lvlText w:val="%1.%2.%3.%4.%5.%6.%7.%8.%9"/>
      <w:lvlJc w:val="left"/>
      <w:pPr>
        <w:ind w:left="2880" w:hanging="2520"/>
      </w:pPr>
      <w:rPr>
        <w:rFonts w:hint="default"/>
        <w:b w:val="0"/>
        <w:u w:val="none"/>
      </w:rPr>
    </w:lvl>
  </w:abstractNum>
  <w:num w:numId="1">
    <w:abstractNumId w:val="12"/>
  </w:num>
  <w:num w:numId="2">
    <w:abstractNumId w:val="33"/>
  </w:num>
  <w:num w:numId="3">
    <w:abstractNumId w:val="7"/>
  </w:num>
  <w:num w:numId="4">
    <w:abstractNumId w:val="32"/>
  </w:num>
  <w:num w:numId="5">
    <w:abstractNumId w:val="19"/>
  </w:num>
  <w:num w:numId="6">
    <w:abstractNumId w:val="8"/>
  </w:num>
  <w:num w:numId="7">
    <w:abstractNumId w:val="0"/>
  </w:num>
  <w:num w:numId="8">
    <w:abstractNumId w:val="26"/>
  </w:num>
  <w:num w:numId="9">
    <w:abstractNumId w:val="29"/>
  </w:num>
  <w:num w:numId="10">
    <w:abstractNumId w:val="31"/>
  </w:num>
  <w:num w:numId="11">
    <w:abstractNumId w:val="3"/>
  </w:num>
  <w:num w:numId="12">
    <w:abstractNumId w:val="23"/>
  </w:num>
  <w:num w:numId="13">
    <w:abstractNumId w:val="1"/>
  </w:num>
  <w:num w:numId="14">
    <w:abstractNumId w:val="35"/>
  </w:num>
  <w:num w:numId="15">
    <w:abstractNumId w:val="10"/>
  </w:num>
  <w:num w:numId="16">
    <w:abstractNumId w:val="34"/>
  </w:num>
  <w:num w:numId="17">
    <w:abstractNumId w:val="9"/>
  </w:num>
  <w:num w:numId="18">
    <w:abstractNumId w:val="25"/>
  </w:num>
  <w:num w:numId="19">
    <w:abstractNumId w:val="30"/>
  </w:num>
  <w:num w:numId="20">
    <w:abstractNumId w:val="16"/>
  </w:num>
  <w:num w:numId="21">
    <w:abstractNumId w:val="14"/>
  </w:num>
  <w:num w:numId="22">
    <w:abstractNumId w:val="20"/>
  </w:num>
  <w:num w:numId="23">
    <w:abstractNumId w:val="22"/>
  </w:num>
  <w:num w:numId="24">
    <w:abstractNumId w:val="13"/>
  </w:num>
  <w:num w:numId="25">
    <w:abstractNumId w:val="18"/>
  </w:num>
  <w:num w:numId="26">
    <w:abstractNumId w:val="27"/>
  </w:num>
  <w:num w:numId="27">
    <w:abstractNumId w:val="6"/>
  </w:num>
  <w:num w:numId="28">
    <w:abstractNumId w:val="21"/>
  </w:num>
  <w:num w:numId="29">
    <w:abstractNumId w:val="36"/>
  </w:num>
  <w:num w:numId="30">
    <w:abstractNumId w:val="11"/>
  </w:num>
  <w:num w:numId="31">
    <w:abstractNumId w:val="2"/>
  </w:num>
  <w:num w:numId="32">
    <w:abstractNumId w:val="24"/>
  </w:num>
  <w:num w:numId="33">
    <w:abstractNumId w:val="28"/>
  </w:num>
  <w:num w:numId="34">
    <w:abstractNumId w:val="5"/>
  </w:num>
  <w:num w:numId="35">
    <w:abstractNumId w:val="4"/>
  </w:num>
  <w:num w:numId="36">
    <w:abstractNumId w:val="15"/>
  </w:num>
  <w:num w:numId="37">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embedSystemFonts/>
  <w:activeWritingStyle w:appName="MSWord" w:lang="en-US" w:vendorID="64" w:dllVersion="131077" w:nlCheck="1" w:checkStyle="1"/>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LastOpened" w:val="26/02/2020 14:00"/>
  </w:docVars>
  <w:rsids>
    <w:rsidRoot w:val="003E5727"/>
    <w:rsid w:val="00000409"/>
    <w:rsid w:val="00003D22"/>
    <w:rsid w:val="00006247"/>
    <w:rsid w:val="0001001C"/>
    <w:rsid w:val="0001170D"/>
    <w:rsid w:val="00020482"/>
    <w:rsid w:val="0002095C"/>
    <w:rsid w:val="0002187D"/>
    <w:rsid w:val="00023B5F"/>
    <w:rsid w:val="000254C0"/>
    <w:rsid w:val="0002572B"/>
    <w:rsid w:val="00026C92"/>
    <w:rsid w:val="00027A0E"/>
    <w:rsid w:val="00030D41"/>
    <w:rsid w:val="00035B1A"/>
    <w:rsid w:val="00036C10"/>
    <w:rsid w:val="00040BCC"/>
    <w:rsid w:val="00041371"/>
    <w:rsid w:val="000504EE"/>
    <w:rsid w:val="00054AD3"/>
    <w:rsid w:val="000602DD"/>
    <w:rsid w:val="0006183E"/>
    <w:rsid w:val="000623C7"/>
    <w:rsid w:val="000637D2"/>
    <w:rsid w:val="00063A5B"/>
    <w:rsid w:val="000655C9"/>
    <w:rsid w:val="000659F8"/>
    <w:rsid w:val="000729D5"/>
    <w:rsid w:val="00073D7E"/>
    <w:rsid w:val="000748C5"/>
    <w:rsid w:val="00074D8C"/>
    <w:rsid w:val="000755F8"/>
    <w:rsid w:val="00076E0B"/>
    <w:rsid w:val="000770CE"/>
    <w:rsid w:val="00077457"/>
    <w:rsid w:val="000776CC"/>
    <w:rsid w:val="00077B9E"/>
    <w:rsid w:val="000837EE"/>
    <w:rsid w:val="000854A4"/>
    <w:rsid w:val="00087D3E"/>
    <w:rsid w:val="00090C7B"/>
    <w:rsid w:val="00091924"/>
    <w:rsid w:val="00091B5C"/>
    <w:rsid w:val="0009617D"/>
    <w:rsid w:val="00096816"/>
    <w:rsid w:val="00097152"/>
    <w:rsid w:val="00097889"/>
    <w:rsid w:val="000A308C"/>
    <w:rsid w:val="000A3389"/>
    <w:rsid w:val="000A4018"/>
    <w:rsid w:val="000A40B7"/>
    <w:rsid w:val="000A53F6"/>
    <w:rsid w:val="000A6634"/>
    <w:rsid w:val="000A79B8"/>
    <w:rsid w:val="000A7C4B"/>
    <w:rsid w:val="000B06B9"/>
    <w:rsid w:val="000B257B"/>
    <w:rsid w:val="000B41DA"/>
    <w:rsid w:val="000B44DC"/>
    <w:rsid w:val="000B47E5"/>
    <w:rsid w:val="000B4898"/>
    <w:rsid w:val="000B63A8"/>
    <w:rsid w:val="000B75B6"/>
    <w:rsid w:val="000C0076"/>
    <w:rsid w:val="000C0B24"/>
    <w:rsid w:val="000D3032"/>
    <w:rsid w:val="000D6EC7"/>
    <w:rsid w:val="000E082F"/>
    <w:rsid w:val="000E0B59"/>
    <w:rsid w:val="000E367D"/>
    <w:rsid w:val="000E5644"/>
    <w:rsid w:val="000E576B"/>
    <w:rsid w:val="000E7A8B"/>
    <w:rsid w:val="000F0F53"/>
    <w:rsid w:val="000F6E14"/>
    <w:rsid w:val="000F7DFE"/>
    <w:rsid w:val="00100569"/>
    <w:rsid w:val="001034BE"/>
    <w:rsid w:val="00103580"/>
    <w:rsid w:val="0011048D"/>
    <w:rsid w:val="00110EFB"/>
    <w:rsid w:val="001118B4"/>
    <w:rsid w:val="0011265F"/>
    <w:rsid w:val="001135E8"/>
    <w:rsid w:val="00117429"/>
    <w:rsid w:val="001242CF"/>
    <w:rsid w:val="00124AFC"/>
    <w:rsid w:val="00124E72"/>
    <w:rsid w:val="0012515D"/>
    <w:rsid w:val="00125B2A"/>
    <w:rsid w:val="00125F49"/>
    <w:rsid w:val="00126FD0"/>
    <w:rsid w:val="0013164D"/>
    <w:rsid w:val="00133FD9"/>
    <w:rsid w:val="001360D7"/>
    <w:rsid w:val="00136529"/>
    <w:rsid w:val="001405A8"/>
    <w:rsid w:val="00140B8E"/>
    <w:rsid w:val="0014296D"/>
    <w:rsid w:val="001434B7"/>
    <w:rsid w:val="00143801"/>
    <w:rsid w:val="00144A75"/>
    <w:rsid w:val="0014561B"/>
    <w:rsid w:val="00153617"/>
    <w:rsid w:val="00153AA1"/>
    <w:rsid w:val="00160BEB"/>
    <w:rsid w:val="0016135D"/>
    <w:rsid w:val="00161580"/>
    <w:rsid w:val="00167258"/>
    <w:rsid w:val="00171FED"/>
    <w:rsid w:val="00174418"/>
    <w:rsid w:val="001807F6"/>
    <w:rsid w:val="00181EB8"/>
    <w:rsid w:val="00183616"/>
    <w:rsid w:val="001839D0"/>
    <w:rsid w:val="0018609B"/>
    <w:rsid w:val="00190F5A"/>
    <w:rsid w:val="00191057"/>
    <w:rsid w:val="00191EEA"/>
    <w:rsid w:val="00194525"/>
    <w:rsid w:val="001945AA"/>
    <w:rsid w:val="001970D9"/>
    <w:rsid w:val="001A35A9"/>
    <w:rsid w:val="001A5445"/>
    <w:rsid w:val="001A63FF"/>
    <w:rsid w:val="001A65DD"/>
    <w:rsid w:val="001A7000"/>
    <w:rsid w:val="001B0060"/>
    <w:rsid w:val="001B06C1"/>
    <w:rsid w:val="001B0B11"/>
    <w:rsid w:val="001B4B6A"/>
    <w:rsid w:val="001B79F9"/>
    <w:rsid w:val="001B7C02"/>
    <w:rsid w:val="001C031E"/>
    <w:rsid w:val="001C0F1A"/>
    <w:rsid w:val="001C22E4"/>
    <w:rsid w:val="001C24F3"/>
    <w:rsid w:val="001C26DC"/>
    <w:rsid w:val="001C6032"/>
    <w:rsid w:val="001C7B93"/>
    <w:rsid w:val="001C7B95"/>
    <w:rsid w:val="001D0F37"/>
    <w:rsid w:val="001D1B51"/>
    <w:rsid w:val="001D314C"/>
    <w:rsid w:val="001D4964"/>
    <w:rsid w:val="001D64F6"/>
    <w:rsid w:val="001E2EB7"/>
    <w:rsid w:val="001E367D"/>
    <w:rsid w:val="001E38C8"/>
    <w:rsid w:val="001E3F51"/>
    <w:rsid w:val="001E51E4"/>
    <w:rsid w:val="001E5642"/>
    <w:rsid w:val="001E595B"/>
    <w:rsid w:val="001E5977"/>
    <w:rsid w:val="001E6D07"/>
    <w:rsid w:val="001F7D30"/>
    <w:rsid w:val="00200B5D"/>
    <w:rsid w:val="00202DDD"/>
    <w:rsid w:val="002032EC"/>
    <w:rsid w:val="00203D63"/>
    <w:rsid w:val="002049AD"/>
    <w:rsid w:val="0020597D"/>
    <w:rsid w:val="00206063"/>
    <w:rsid w:val="00210E22"/>
    <w:rsid w:val="002113F5"/>
    <w:rsid w:val="0021300E"/>
    <w:rsid w:val="00215A0B"/>
    <w:rsid w:val="00215F9C"/>
    <w:rsid w:val="00217952"/>
    <w:rsid w:val="002205F1"/>
    <w:rsid w:val="002209A7"/>
    <w:rsid w:val="002236F2"/>
    <w:rsid w:val="0022563F"/>
    <w:rsid w:val="00225C9A"/>
    <w:rsid w:val="00226AE4"/>
    <w:rsid w:val="00227BB5"/>
    <w:rsid w:val="00227F46"/>
    <w:rsid w:val="002310E5"/>
    <w:rsid w:val="0023259C"/>
    <w:rsid w:val="002325C0"/>
    <w:rsid w:val="0023506C"/>
    <w:rsid w:val="00236CD1"/>
    <w:rsid w:val="002376B8"/>
    <w:rsid w:val="00242047"/>
    <w:rsid w:val="0024275E"/>
    <w:rsid w:val="002454C7"/>
    <w:rsid w:val="002502CA"/>
    <w:rsid w:val="002545AE"/>
    <w:rsid w:val="002575CC"/>
    <w:rsid w:val="00260347"/>
    <w:rsid w:val="00262BCE"/>
    <w:rsid w:val="00262FF3"/>
    <w:rsid w:val="002642DF"/>
    <w:rsid w:val="002709D0"/>
    <w:rsid w:val="00271655"/>
    <w:rsid w:val="00274FF1"/>
    <w:rsid w:val="00275A02"/>
    <w:rsid w:val="0028026B"/>
    <w:rsid w:val="0028080E"/>
    <w:rsid w:val="00281B97"/>
    <w:rsid w:val="002823EE"/>
    <w:rsid w:val="00284562"/>
    <w:rsid w:val="00284A35"/>
    <w:rsid w:val="00284CE7"/>
    <w:rsid w:val="00287CB6"/>
    <w:rsid w:val="0029311A"/>
    <w:rsid w:val="00295049"/>
    <w:rsid w:val="0029516A"/>
    <w:rsid w:val="00297F67"/>
    <w:rsid w:val="002A0000"/>
    <w:rsid w:val="002A0B4F"/>
    <w:rsid w:val="002A1152"/>
    <w:rsid w:val="002A52ED"/>
    <w:rsid w:val="002A6A20"/>
    <w:rsid w:val="002B0676"/>
    <w:rsid w:val="002B2B76"/>
    <w:rsid w:val="002B7678"/>
    <w:rsid w:val="002C1C97"/>
    <w:rsid w:val="002C738B"/>
    <w:rsid w:val="002D168D"/>
    <w:rsid w:val="002D2318"/>
    <w:rsid w:val="002D35D5"/>
    <w:rsid w:val="002D3D7C"/>
    <w:rsid w:val="002D52FF"/>
    <w:rsid w:val="002D5CB2"/>
    <w:rsid w:val="002D777F"/>
    <w:rsid w:val="002D7C76"/>
    <w:rsid w:val="002E0683"/>
    <w:rsid w:val="002E080C"/>
    <w:rsid w:val="002E0FAE"/>
    <w:rsid w:val="002E1492"/>
    <w:rsid w:val="002E1CA4"/>
    <w:rsid w:val="002E4136"/>
    <w:rsid w:val="002F1EED"/>
    <w:rsid w:val="002F44A7"/>
    <w:rsid w:val="002F611C"/>
    <w:rsid w:val="002F7064"/>
    <w:rsid w:val="00301DAB"/>
    <w:rsid w:val="00302F33"/>
    <w:rsid w:val="003035E3"/>
    <w:rsid w:val="003058D6"/>
    <w:rsid w:val="003111FD"/>
    <w:rsid w:val="0031437D"/>
    <w:rsid w:val="003166DE"/>
    <w:rsid w:val="00320F94"/>
    <w:rsid w:val="00320FBB"/>
    <w:rsid w:val="00324C4B"/>
    <w:rsid w:val="00325F94"/>
    <w:rsid w:val="0032796F"/>
    <w:rsid w:val="0033176A"/>
    <w:rsid w:val="003319D3"/>
    <w:rsid w:val="00332D19"/>
    <w:rsid w:val="00332DCD"/>
    <w:rsid w:val="00333239"/>
    <w:rsid w:val="0033671D"/>
    <w:rsid w:val="00337126"/>
    <w:rsid w:val="00337161"/>
    <w:rsid w:val="00340652"/>
    <w:rsid w:val="003426F4"/>
    <w:rsid w:val="00343C43"/>
    <w:rsid w:val="00345361"/>
    <w:rsid w:val="00345D18"/>
    <w:rsid w:val="00345EA6"/>
    <w:rsid w:val="00347D51"/>
    <w:rsid w:val="0035030F"/>
    <w:rsid w:val="00356586"/>
    <w:rsid w:val="00356FAC"/>
    <w:rsid w:val="003610A8"/>
    <w:rsid w:val="003610CC"/>
    <w:rsid w:val="0036192D"/>
    <w:rsid w:val="0036259C"/>
    <w:rsid w:val="003658A2"/>
    <w:rsid w:val="003676E6"/>
    <w:rsid w:val="003713AA"/>
    <w:rsid w:val="00371BCC"/>
    <w:rsid w:val="00371F73"/>
    <w:rsid w:val="00372A4D"/>
    <w:rsid w:val="00375854"/>
    <w:rsid w:val="003763DB"/>
    <w:rsid w:val="00376DC7"/>
    <w:rsid w:val="00377B3B"/>
    <w:rsid w:val="00380C3D"/>
    <w:rsid w:val="003861BE"/>
    <w:rsid w:val="0038730B"/>
    <w:rsid w:val="00390054"/>
    <w:rsid w:val="00390CB1"/>
    <w:rsid w:val="0039313C"/>
    <w:rsid w:val="00395EE9"/>
    <w:rsid w:val="003A1EF2"/>
    <w:rsid w:val="003A4E1D"/>
    <w:rsid w:val="003B1405"/>
    <w:rsid w:val="003B2563"/>
    <w:rsid w:val="003B55DF"/>
    <w:rsid w:val="003B6E36"/>
    <w:rsid w:val="003C2371"/>
    <w:rsid w:val="003D0CE2"/>
    <w:rsid w:val="003D2E8A"/>
    <w:rsid w:val="003D3F54"/>
    <w:rsid w:val="003D4274"/>
    <w:rsid w:val="003D6B75"/>
    <w:rsid w:val="003E0AC5"/>
    <w:rsid w:val="003E4668"/>
    <w:rsid w:val="003E5727"/>
    <w:rsid w:val="003E6313"/>
    <w:rsid w:val="003F06FD"/>
    <w:rsid w:val="003F26F9"/>
    <w:rsid w:val="003F4DD8"/>
    <w:rsid w:val="003F5924"/>
    <w:rsid w:val="003F599A"/>
    <w:rsid w:val="003F63CD"/>
    <w:rsid w:val="003F6BB5"/>
    <w:rsid w:val="00400A1A"/>
    <w:rsid w:val="0040224F"/>
    <w:rsid w:val="00402376"/>
    <w:rsid w:val="00402660"/>
    <w:rsid w:val="004036A3"/>
    <w:rsid w:val="00404DAF"/>
    <w:rsid w:val="00406598"/>
    <w:rsid w:val="00407EF4"/>
    <w:rsid w:val="00411C34"/>
    <w:rsid w:val="004124B4"/>
    <w:rsid w:val="00415D98"/>
    <w:rsid w:val="00417C67"/>
    <w:rsid w:val="0042217F"/>
    <w:rsid w:val="00422502"/>
    <w:rsid w:val="00424F5E"/>
    <w:rsid w:val="00427C93"/>
    <w:rsid w:val="00432400"/>
    <w:rsid w:val="0043285E"/>
    <w:rsid w:val="00433933"/>
    <w:rsid w:val="004357F8"/>
    <w:rsid w:val="00436B31"/>
    <w:rsid w:val="00440711"/>
    <w:rsid w:val="00442641"/>
    <w:rsid w:val="00442C1B"/>
    <w:rsid w:val="0044374D"/>
    <w:rsid w:val="00444AD9"/>
    <w:rsid w:val="00445097"/>
    <w:rsid w:val="004455F8"/>
    <w:rsid w:val="004466C1"/>
    <w:rsid w:val="004479C0"/>
    <w:rsid w:val="004519A7"/>
    <w:rsid w:val="00453A7E"/>
    <w:rsid w:val="00455AC7"/>
    <w:rsid w:val="0045626A"/>
    <w:rsid w:val="004609B8"/>
    <w:rsid w:val="00460E38"/>
    <w:rsid w:val="0046107B"/>
    <w:rsid w:val="00470B38"/>
    <w:rsid w:val="00471AF4"/>
    <w:rsid w:val="00473E3A"/>
    <w:rsid w:val="00474511"/>
    <w:rsid w:val="00476896"/>
    <w:rsid w:val="00476F66"/>
    <w:rsid w:val="00480410"/>
    <w:rsid w:val="004810D4"/>
    <w:rsid w:val="004839F5"/>
    <w:rsid w:val="004840B9"/>
    <w:rsid w:val="00484796"/>
    <w:rsid w:val="00484AA3"/>
    <w:rsid w:val="0049155A"/>
    <w:rsid w:val="00493772"/>
    <w:rsid w:val="00494E6D"/>
    <w:rsid w:val="00495D7C"/>
    <w:rsid w:val="00496D87"/>
    <w:rsid w:val="00497F0E"/>
    <w:rsid w:val="004A0E6E"/>
    <w:rsid w:val="004A1B63"/>
    <w:rsid w:val="004A1D95"/>
    <w:rsid w:val="004A1DC4"/>
    <w:rsid w:val="004A4221"/>
    <w:rsid w:val="004A6AE1"/>
    <w:rsid w:val="004B04BB"/>
    <w:rsid w:val="004B0AC4"/>
    <w:rsid w:val="004B1858"/>
    <w:rsid w:val="004B2641"/>
    <w:rsid w:val="004B4E83"/>
    <w:rsid w:val="004B566E"/>
    <w:rsid w:val="004B6024"/>
    <w:rsid w:val="004B6E39"/>
    <w:rsid w:val="004C10A0"/>
    <w:rsid w:val="004C58A7"/>
    <w:rsid w:val="004C5DCE"/>
    <w:rsid w:val="004C65A3"/>
    <w:rsid w:val="004D0DF8"/>
    <w:rsid w:val="004D0FF5"/>
    <w:rsid w:val="004D1B42"/>
    <w:rsid w:val="004D23C1"/>
    <w:rsid w:val="004D327E"/>
    <w:rsid w:val="004D3E60"/>
    <w:rsid w:val="004D4474"/>
    <w:rsid w:val="004D4752"/>
    <w:rsid w:val="004D7056"/>
    <w:rsid w:val="004E05A6"/>
    <w:rsid w:val="004E29B4"/>
    <w:rsid w:val="004E4BE9"/>
    <w:rsid w:val="004E5C20"/>
    <w:rsid w:val="004F0BC9"/>
    <w:rsid w:val="004F1FE5"/>
    <w:rsid w:val="004F4245"/>
    <w:rsid w:val="004F4855"/>
    <w:rsid w:val="004F6D8E"/>
    <w:rsid w:val="005005C1"/>
    <w:rsid w:val="00500B1E"/>
    <w:rsid w:val="00500E31"/>
    <w:rsid w:val="00502C5F"/>
    <w:rsid w:val="00504ECD"/>
    <w:rsid w:val="00506806"/>
    <w:rsid w:val="00507209"/>
    <w:rsid w:val="00507303"/>
    <w:rsid w:val="00510380"/>
    <w:rsid w:val="00510385"/>
    <w:rsid w:val="005152FF"/>
    <w:rsid w:val="005160D2"/>
    <w:rsid w:val="005169AF"/>
    <w:rsid w:val="00522D69"/>
    <w:rsid w:val="00522E18"/>
    <w:rsid w:val="005236F0"/>
    <w:rsid w:val="005239F7"/>
    <w:rsid w:val="00523E61"/>
    <w:rsid w:val="00523F73"/>
    <w:rsid w:val="005259D2"/>
    <w:rsid w:val="00525EB9"/>
    <w:rsid w:val="005260E0"/>
    <w:rsid w:val="00526CE1"/>
    <w:rsid w:val="00526F0C"/>
    <w:rsid w:val="00530AF5"/>
    <w:rsid w:val="00531493"/>
    <w:rsid w:val="0053156C"/>
    <w:rsid w:val="0053255A"/>
    <w:rsid w:val="00534ECA"/>
    <w:rsid w:val="00535E44"/>
    <w:rsid w:val="00536758"/>
    <w:rsid w:val="00536E1F"/>
    <w:rsid w:val="0054048D"/>
    <w:rsid w:val="0054199B"/>
    <w:rsid w:val="00543A62"/>
    <w:rsid w:val="00544F82"/>
    <w:rsid w:val="0054565D"/>
    <w:rsid w:val="005459CD"/>
    <w:rsid w:val="00551DB7"/>
    <w:rsid w:val="00552785"/>
    <w:rsid w:val="00552F5C"/>
    <w:rsid w:val="005536CE"/>
    <w:rsid w:val="00555B30"/>
    <w:rsid w:val="00557BC5"/>
    <w:rsid w:val="00560D30"/>
    <w:rsid w:val="00560FBC"/>
    <w:rsid w:val="00563C52"/>
    <w:rsid w:val="00563E08"/>
    <w:rsid w:val="00565F1D"/>
    <w:rsid w:val="00566532"/>
    <w:rsid w:val="005701F3"/>
    <w:rsid w:val="00570443"/>
    <w:rsid w:val="005712AA"/>
    <w:rsid w:val="00571373"/>
    <w:rsid w:val="005752FA"/>
    <w:rsid w:val="00583F05"/>
    <w:rsid w:val="005840B8"/>
    <w:rsid w:val="005857F5"/>
    <w:rsid w:val="00585ED0"/>
    <w:rsid w:val="0059368E"/>
    <w:rsid w:val="00594B33"/>
    <w:rsid w:val="005A1B16"/>
    <w:rsid w:val="005A5C72"/>
    <w:rsid w:val="005A6A11"/>
    <w:rsid w:val="005A7BA9"/>
    <w:rsid w:val="005B0DA1"/>
    <w:rsid w:val="005B29ED"/>
    <w:rsid w:val="005C04F5"/>
    <w:rsid w:val="005C1422"/>
    <w:rsid w:val="005C31BA"/>
    <w:rsid w:val="005C3856"/>
    <w:rsid w:val="005C4873"/>
    <w:rsid w:val="005C70C5"/>
    <w:rsid w:val="005D2B9A"/>
    <w:rsid w:val="005D7640"/>
    <w:rsid w:val="005D78D3"/>
    <w:rsid w:val="005E23E9"/>
    <w:rsid w:val="005E26E8"/>
    <w:rsid w:val="005E2F65"/>
    <w:rsid w:val="005E5BA6"/>
    <w:rsid w:val="005E716F"/>
    <w:rsid w:val="005E7801"/>
    <w:rsid w:val="005F07B1"/>
    <w:rsid w:val="005F153B"/>
    <w:rsid w:val="005F1C25"/>
    <w:rsid w:val="005F1CBE"/>
    <w:rsid w:val="005F2331"/>
    <w:rsid w:val="005F4202"/>
    <w:rsid w:val="005F60D4"/>
    <w:rsid w:val="005F674C"/>
    <w:rsid w:val="005F6C8A"/>
    <w:rsid w:val="005F737F"/>
    <w:rsid w:val="00602E84"/>
    <w:rsid w:val="006039D8"/>
    <w:rsid w:val="006054EB"/>
    <w:rsid w:val="006057CC"/>
    <w:rsid w:val="00605CD1"/>
    <w:rsid w:val="0061204D"/>
    <w:rsid w:val="00613443"/>
    <w:rsid w:val="00614321"/>
    <w:rsid w:val="00614FF5"/>
    <w:rsid w:val="006176E8"/>
    <w:rsid w:val="0061798F"/>
    <w:rsid w:val="00617A23"/>
    <w:rsid w:val="0062161E"/>
    <w:rsid w:val="00622FD9"/>
    <w:rsid w:val="00626FDA"/>
    <w:rsid w:val="0063044D"/>
    <w:rsid w:val="006306B9"/>
    <w:rsid w:val="00633951"/>
    <w:rsid w:val="00634C03"/>
    <w:rsid w:val="00635417"/>
    <w:rsid w:val="006355EB"/>
    <w:rsid w:val="00635627"/>
    <w:rsid w:val="0064097E"/>
    <w:rsid w:val="00642D8A"/>
    <w:rsid w:val="006432BC"/>
    <w:rsid w:val="00644DED"/>
    <w:rsid w:val="006462C1"/>
    <w:rsid w:val="00650620"/>
    <w:rsid w:val="00651602"/>
    <w:rsid w:val="0065307C"/>
    <w:rsid w:val="00654021"/>
    <w:rsid w:val="006546B4"/>
    <w:rsid w:val="00655027"/>
    <w:rsid w:val="00655F14"/>
    <w:rsid w:val="0065706D"/>
    <w:rsid w:val="006574C2"/>
    <w:rsid w:val="00657645"/>
    <w:rsid w:val="00660607"/>
    <w:rsid w:val="00670AA3"/>
    <w:rsid w:val="006723E3"/>
    <w:rsid w:val="0067309C"/>
    <w:rsid w:val="0067468F"/>
    <w:rsid w:val="0067481B"/>
    <w:rsid w:val="00674FD9"/>
    <w:rsid w:val="00675095"/>
    <w:rsid w:val="00675A96"/>
    <w:rsid w:val="00675B5B"/>
    <w:rsid w:val="0067727F"/>
    <w:rsid w:val="006823FB"/>
    <w:rsid w:val="00682409"/>
    <w:rsid w:val="006851C6"/>
    <w:rsid w:val="00685261"/>
    <w:rsid w:val="00685475"/>
    <w:rsid w:val="0068724B"/>
    <w:rsid w:val="00690561"/>
    <w:rsid w:val="00692FB7"/>
    <w:rsid w:val="006930C7"/>
    <w:rsid w:val="00693C3F"/>
    <w:rsid w:val="006A0579"/>
    <w:rsid w:val="006A17AD"/>
    <w:rsid w:val="006A1E85"/>
    <w:rsid w:val="006A38E5"/>
    <w:rsid w:val="006A4E44"/>
    <w:rsid w:val="006A69B2"/>
    <w:rsid w:val="006A6C16"/>
    <w:rsid w:val="006A6C19"/>
    <w:rsid w:val="006B26D0"/>
    <w:rsid w:val="006B3251"/>
    <w:rsid w:val="006B629F"/>
    <w:rsid w:val="006B7B44"/>
    <w:rsid w:val="006C13BB"/>
    <w:rsid w:val="006C4D3E"/>
    <w:rsid w:val="006C59E1"/>
    <w:rsid w:val="006D1B9A"/>
    <w:rsid w:val="006D334D"/>
    <w:rsid w:val="006D408E"/>
    <w:rsid w:val="006D6675"/>
    <w:rsid w:val="006D6FF7"/>
    <w:rsid w:val="006E272C"/>
    <w:rsid w:val="006E36A8"/>
    <w:rsid w:val="006E5B82"/>
    <w:rsid w:val="006E6E45"/>
    <w:rsid w:val="006F0AEF"/>
    <w:rsid w:val="006F0DDB"/>
    <w:rsid w:val="006F2E69"/>
    <w:rsid w:val="006F32B8"/>
    <w:rsid w:val="006F365A"/>
    <w:rsid w:val="006F5D81"/>
    <w:rsid w:val="006F6E2F"/>
    <w:rsid w:val="00700D2A"/>
    <w:rsid w:val="00702AB0"/>
    <w:rsid w:val="007043C9"/>
    <w:rsid w:val="00706420"/>
    <w:rsid w:val="007077C8"/>
    <w:rsid w:val="00710617"/>
    <w:rsid w:val="0071581B"/>
    <w:rsid w:val="007169B2"/>
    <w:rsid w:val="00720220"/>
    <w:rsid w:val="00724E46"/>
    <w:rsid w:val="0072545F"/>
    <w:rsid w:val="007268F6"/>
    <w:rsid w:val="00731932"/>
    <w:rsid w:val="007320F1"/>
    <w:rsid w:val="00733873"/>
    <w:rsid w:val="0073770E"/>
    <w:rsid w:val="00740640"/>
    <w:rsid w:val="00743F32"/>
    <w:rsid w:val="00745E01"/>
    <w:rsid w:val="00745F0F"/>
    <w:rsid w:val="0074761B"/>
    <w:rsid w:val="00751F02"/>
    <w:rsid w:val="007536A0"/>
    <w:rsid w:val="00754807"/>
    <w:rsid w:val="007551A9"/>
    <w:rsid w:val="00762571"/>
    <w:rsid w:val="00762970"/>
    <w:rsid w:val="00765534"/>
    <w:rsid w:val="007661D3"/>
    <w:rsid w:val="00771117"/>
    <w:rsid w:val="0077134E"/>
    <w:rsid w:val="00771B7A"/>
    <w:rsid w:val="00773D8F"/>
    <w:rsid w:val="00775758"/>
    <w:rsid w:val="0077670F"/>
    <w:rsid w:val="00785274"/>
    <w:rsid w:val="00790839"/>
    <w:rsid w:val="007924EE"/>
    <w:rsid w:val="00792DF4"/>
    <w:rsid w:val="00794F10"/>
    <w:rsid w:val="007A0AEB"/>
    <w:rsid w:val="007A3BD2"/>
    <w:rsid w:val="007A49A4"/>
    <w:rsid w:val="007A7122"/>
    <w:rsid w:val="007B036E"/>
    <w:rsid w:val="007B171A"/>
    <w:rsid w:val="007B398E"/>
    <w:rsid w:val="007B3C9E"/>
    <w:rsid w:val="007B3FA0"/>
    <w:rsid w:val="007B46F2"/>
    <w:rsid w:val="007B5D35"/>
    <w:rsid w:val="007B62BD"/>
    <w:rsid w:val="007B674A"/>
    <w:rsid w:val="007C20F8"/>
    <w:rsid w:val="007C297F"/>
    <w:rsid w:val="007C4C4D"/>
    <w:rsid w:val="007C516F"/>
    <w:rsid w:val="007C5F13"/>
    <w:rsid w:val="007D1B86"/>
    <w:rsid w:val="007D6763"/>
    <w:rsid w:val="007D6D10"/>
    <w:rsid w:val="007E111E"/>
    <w:rsid w:val="007E1894"/>
    <w:rsid w:val="007E2145"/>
    <w:rsid w:val="007E37EF"/>
    <w:rsid w:val="007E5DC6"/>
    <w:rsid w:val="007F023B"/>
    <w:rsid w:val="007F2D77"/>
    <w:rsid w:val="007F2DAB"/>
    <w:rsid w:val="007F3974"/>
    <w:rsid w:val="007F3D6B"/>
    <w:rsid w:val="007F61ED"/>
    <w:rsid w:val="007F6B8D"/>
    <w:rsid w:val="00800C55"/>
    <w:rsid w:val="00806191"/>
    <w:rsid w:val="0080665E"/>
    <w:rsid w:val="008101B3"/>
    <w:rsid w:val="00810696"/>
    <w:rsid w:val="00810908"/>
    <w:rsid w:val="00810BD3"/>
    <w:rsid w:val="00813E47"/>
    <w:rsid w:val="00815BC7"/>
    <w:rsid w:val="00816316"/>
    <w:rsid w:val="00817C86"/>
    <w:rsid w:val="00821B12"/>
    <w:rsid w:val="0083090E"/>
    <w:rsid w:val="00831597"/>
    <w:rsid w:val="00833201"/>
    <w:rsid w:val="0083496E"/>
    <w:rsid w:val="00836F2A"/>
    <w:rsid w:val="00843531"/>
    <w:rsid w:val="00846573"/>
    <w:rsid w:val="0085207B"/>
    <w:rsid w:val="0085271D"/>
    <w:rsid w:val="00854D43"/>
    <w:rsid w:val="00856B94"/>
    <w:rsid w:val="00860960"/>
    <w:rsid w:val="0086279D"/>
    <w:rsid w:val="00864829"/>
    <w:rsid w:val="00865FFC"/>
    <w:rsid w:val="0086675B"/>
    <w:rsid w:val="00867774"/>
    <w:rsid w:val="00870FEE"/>
    <w:rsid w:val="00873137"/>
    <w:rsid w:val="0087318D"/>
    <w:rsid w:val="008750C2"/>
    <w:rsid w:val="00877008"/>
    <w:rsid w:val="00884710"/>
    <w:rsid w:val="00884AF4"/>
    <w:rsid w:val="00884D13"/>
    <w:rsid w:val="00890825"/>
    <w:rsid w:val="008922C2"/>
    <w:rsid w:val="008933AD"/>
    <w:rsid w:val="00895106"/>
    <w:rsid w:val="0089632C"/>
    <w:rsid w:val="008A181F"/>
    <w:rsid w:val="008A32D6"/>
    <w:rsid w:val="008A3DFB"/>
    <w:rsid w:val="008A566A"/>
    <w:rsid w:val="008A580D"/>
    <w:rsid w:val="008B0159"/>
    <w:rsid w:val="008B2C4B"/>
    <w:rsid w:val="008B2D51"/>
    <w:rsid w:val="008B4FAA"/>
    <w:rsid w:val="008B550E"/>
    <w:rsid w:val="008B55E6"/>
    <w:rsid w:val="008B6F7A"/>
    <w:rsid w:val="008C507C"/>
    <w:rsid w:val="008C5DCD"/>
    <w:rsid w:val="008C60FD"/>
    <w:rsid w:val="008D0CBF"/>
    <w:rsid w:val="008D121A"/>
    <w:rsid w:val="008D1936"/>
    <w:rsid w:val="008D45BF"/>
    <w:rsid w:val="008D46C9"/>
    <w:rsid w:val="008D78FE"/>
    <w:rsid w:val="008E024D"/>
    <w:rsid w:val="008E2265"/>
    <w:rsid w:val="008E2654"/>
    <w:rsid w:val="008E4B23"/>
    <w:rsid w:val="008E4C20"/>
    <w:rsid w:val="008E65F3"/>
    <w:rsid w:val="008E6AC5"/>
    <w:rsid w:val="008E7609"/>
    <w:rsid w:val="008E78D6"/>
    <w:rsid w:val="008F0B28"/>
    <w:rsid w:val="008F1783"/>
    <w:rsid w:val="008F22A9"/>
    <w:rsid w:val="008F2C48"/>
    <w:rsid w:val="008F4BEF"/>
    <w:rsid w:val="008F7503"/>
    <w:rsid w:val="00900B02"/>
    <w:rsid w:val="009022C2"/>
    <w:rsid w:val="0090468C"/>
    <w:rsid w:val="00907503"/>
    <w:rsid w:val="00907534"/>
    <w:rsid w:val="00907D0F"/>
    <w:rsid w:val="00912484"/>
    <w:rsid w:val="009130B9"/>
    <w:rsid w:val="009174FD"/>
    <w:rsid w:val="0092093F"/>
    <w:rsid w:val="00924875"/>
    <w:rsid w:val="00925F27"/>
    <w:rsid w:val="00927B7F"/>
    <w:rsid w:val="00936739"/>
    <w:rsid w:val="009374D3"/>
    <w:rsid w:val="00937931"/>
    <w:rsid w:val="009415D0"/>
    <w:rsid w:val="00943C05"/>
    <w:rsid w:val="0095297D"/>
    <w:rsid w:val="0095716B"/>
    <w:rsid w:val="00962707"/>
    <w:rsid w:val="009655AC"/>
    <w:rsid w:val="0096627D"/>
    <w:rsid w:val="00970AD5"/>
    <w:rsid w:val="00970DBF"/>
    <w:rsid w:val="00974A35"/>
    <w:rsid w:val="00977A43"/>
    <w:rsid w:val="0098285A"/>
    <w:rsid w:val="00983798"/>
    <w:rsid w:val="00995EDB"/>
    <w:rsid w:val="00997DCC"/>
    <w:rsid w:val="009A217F"/>
    <w:rsid w:val="009A2DC8"/>
    <w:rsid w:val="009A5E3E"/>
    <w:rsid w:val="009B57FA"/>
    <w:rsid w:val="009B782C"/>
    <w:rsid w:val="009C034A"/>
    <w:rsid w:val="009C20F2"/>
    <w:rsid w:val="009C580E"/>
    <w:rsid w:val="009C5863"/>
    <w:rsid w:val="009C70F0"/>
    <w:rsid w:val="009D194F"/>
    <w:rsid w:val="009E4D1D"/>
    <w:rsid w:val="009E4E51"/>
    <w:rsid w:val="009F0702"/>
    <w:rsid w:val="009F527D"/>
    <w:rsid w:val="009F7EAB"/>
    <w:rsid w:val="00A009B0"/>
    <w:rsid w:val="00A02CEE"/>
    <w:rsid w:val="00A03064"/>
    <w:rsid w:val="00A03624"/>
    <w:rsid w:val="00A03816"/>
    <w:rsid w:val="00A05AF5"/>
    <w:rsid w:val="00A073D7"/>
    <w:rsid w:val="00A12501"/>
    <w:rsid w:val="00A1261B"/>
    <w:rsid w:val="00A142C5"/>
    <w:rsid w:val="00A15AEF"/>
    <w:rsid w:val="00A17552"/>
    <w:rsid w:val="00A2126F"/>
    <w:rsid w:val="00A21FF7"/>
    <w:rsid w:val="00A22282"/>
    <w:rsid w:val="00A22A51"/>
    <w:rsid w:val="00A27632"/>
    <w:rsid w:val="00A278E6"/>
    <w:rsid w:val="00A30389"/>
    <w:rsid w:val="00A30450"/>
    <w:rsid w:val="00A32800"/>
    <w:rsid w:val="00A32D8B"/>
    <w:rsid w:val="00A343DD"/>
    <w:rsid w:val="00A34B1B"/>
    <w:rsid w:val="00A364CB"/>
    <w:rsid w:val="00A36B71"/>
    <w:rsid w:val="00A374CA"/>
    <w:rsid w:val="00A37887"/>
    <w:rsid w:val="00A40B77"/>
    <w:rsid w:val="00A42B73"/>
    <w:rsid w:val="00A4389E"/>
    <w:rsid w:val="00A44136"/>
    <w:rsid w:val="00A4787C"/>
    <w:rsid w:val="00A50275"/>
    <w:rsid w:val="00A50796"/>
    <w:rsid w:val="00A51A7D"/>
    <w:rsid w:val="00A51BF3"/>
    <w:rsid w:val="00A642D9"/>
    <w:rsid w:val="00A65DBB"/>
    <w:rsid w:val="00A6638F"/>
    <w:rsid w:val="00A671AC"/>
    <w:rsid w:val="00A67B6B"/>
    <w:rsid w:val="00A74669"/>
    <w:rsid w:val="00A77076"/>
    <w:rsid w:val="00A837CE"/>
    <w:rsid w:val="00A87AAE"/>
    <w:rsid w:val="00A87D2E"/>
    <w:rsid w:val="00A92D98"/>
    <w:rsid w:val="00A93AEF"/>
    <w:rsid w:val="00A954FE"/>
    <w:rsid w:val="00A96AEC"/>
    <w:rsid w:val="00AA065F"/>
    <w:rsid w:val="00AA1D08"/>
    <w:rsid w:val="00AA47CC"/>
    <w:rsid w:val="00AA6124"/>
    <w:rsid w:val="00AB272B"/>
    <w:rsid w:val="00AB3599"/>
    <w:rsid w:val="00AB4636"/>
    <w:rsid w:val="00AC2DC5"/>
    <w:rsid w:val="00AC6824"/>
    <w:rsid w:val="00AC6FFE"/>
    <w:rsid w:val="00AC7F3B"/>
    <w:rsid w:val="00AD00F6"/>
    <w:rsid w:val="00AD05D0"/>
    <w:rsid w:val="00AD3687"/>
    <w:rsid w:val="00AD6694"/>
    <w:rsid w:val="00AE02E6"/>
    <w:rsid w:val="00AE12DE"/>
    <w:rsid w:val="00AE1A0B"/>
    <w:rsid w:val="00AE3673"/>
    <w:rsid w:val="00AE467F"/>
    <w:rsid w:val="00AE564E"/>
    <w:rsid w:val="00AE75DC"/>
    <w:rsid w:val="00AF0437"/>
    <w:rsid w:val="00AF09D3"/>
    <w:rsid w:val="00AF1E13"/>
    <w:rsid w:val="00AF2BAE"/>
    <w:rsid w:val="00AF3566"/>
    <w:rsid w:val="00AF36D4"/>
    <w:rsid w:val="00AF434D"/>
    <w:rsid w:val="00AF568B"/>
    <w:rsid w:val="00AF5B4E"/>
    <w:rsid w:val="00AF5C2D"/>
    <w:rsid w:val="00AF61D1"/>
    <w:rsid w:val="00B00F27"/>
    <w:rsid w:val="00B02ADA"/>
    <w:rsid w:val="00B035A4"/>
    <w:rsid w:val="00B052AB"/>
    <w:rsid w:val="00B05ABE"/>
    <w:rsid w:val="00B06484"/>
    <w:rsid w:val="00B11402"/>
    <w:rsid w:val="00B11CC7"/>
    <w:rsid w:val="00B12891"/>
    <w:rsid w:val="00B1390E"/>
    <w:rsid w:val="00B156C6"/>
    <w:rsid w:val="00B20BDC"/>
    <w:rsid w:val="00B21C5D"/>
    <w:rsid w:val="00B24162"/>
    <w:rsid w:val="00B2490B"/>
    <w:rsid w:val="00B25DAC"/>
    <w:rsid w:val="00B33D51"/>
    <w:rsid w:val="00B345CF"/>
    <w:rsid w:val="00B35ECC"/>
    <w:rsid w:val="00B40768"/>
    <w:rsid w:val="00B40A97"/>
    <w:rsid w:val="00B410C8"/>
    <w:rsid w:val="00B44F60"/>
    <w:rsid w:val="00B46CA0"/>
    <w:rsid w:val="00B52240"/>
    <w:rsid w:val="00B55166"/>
    <w:rsid w:val="00B55CCF"/>
    <w:rsid w:val="00B56D61"/>
    <w:rsid w:val="00B619AA"/>
    <w:rsid w:val="00B63226"/>
    <w:rsid w:val="00B6701E"/>
    <w:rsid w:val="00B7252B"/>
    <w:rsid w:val="00B73CDC"/>
    <w:rsid w:val="00B7417A"/>
    <w:rsid w:val="00B7509B"/>
    <w:rsid w:val="00B83B60"/>
    <w:rsid w:val="00B856DD"/>
    <w:rsid w:val="00B85EC6"/>
    <w:rsid w:val="00B901C9"/>
    <w:rsid w:val="00B90FF9"/>
    <w:rsid w:val="00B926EA"/>
    <w:rsid w:val="00B955B8"/>
    <w:rsid w:val="00BA00A3"/>
    <w:rsid w:val="00BA2376"/>
    <w:rsid w:val="00BA6407"/>
    <w:rsid w:val="00BA6650"/>
    <w:rsid w:val="00BA7F60"/>
    <w:rsid w:val="00BB1680"/>
    <w:rsid w:val="00BB2848"/>
    <w:rsid w:val="00BB5E50"/>
    <w:rsid w:val="00BB6CA2"/>
    <w:rsid w:val="00BB755F"/>
    <w:rsid w:val="00BB7B4C"/>
    <w:rsid w:val="00BC1F2E"/>
    <w:rsid w:val="00BC2521"/>
    <w:rsid w:val="00BC3649"/>
    <w:rsid w:val="00BC41F5"/>
    <w:rsid w:val="00BC4B75"/>
    <w:rsid w:val="00BC5C25"/>
    <w:rsid w:val="00BD026A"/>
    <w:rsid w:val="00BD2868"/>
    <w:rsid w:val="00BD32E3"/>
    <w:rsid w:val="00BD34F1"/>
    <w:rsid w:val="00BD5C5C"/>
    <w:rsid w:val="00BE0734"/>
    <w:rsid w:val="00BE10E5"/>
    <w:rsid w:val="00BE112F"/>
    <w:rsid w:val="00BE31CD"/>
    <w:rsid w:val="00BE3368"/>
    <w:rsid w:val="00BE45EC"/>
    <w:rsid w:val="00BE50A9"/>
    <w:rsid w:val="00BE699D"/>
    <w:rsid w:val="00BF244E"/>
    <w:rsid w:val="00BF2A13"/>
    <w:rsid w:val="00BF382C"/>
    <w:rsid w:val="00BF47DD"/>
    <w:rsid w:val="00BF71ED"/>
    <w:rsid w:val="00C02828"/>
    <w:rsid w:val="00C04554"/>
    <w:rsid w:val="00C049D6"/>
    <w:rsid w:val="00C04B5E"/>
    <w:rsid w:val="00C05393"/>
    <w:rsid w:val="00C05CF9"/>
    <w:rsid w:val="00C10E17"/>
    <w:rsid w:val="00C12B89"/>
    <w:rsid w:val="00C15887"/>
    <w:rsid w:val="00C15A43"/>
    <w:rsid w:val="00C15F23"/>
    <w:rsid w:val="00C22A0D"/>
    <w:rsid w:val="00C257D1"/>
    <w:rsid w:val="00C26616"/>
    <w:rsid w:val="00C2709B"/>
    <w:rsid w:val="00C30F2D"/>
    <w:rsid w:val="00C33814"/>
    <w:rsid w:val="00C34D3F"/>
    <w:rsid w:val="00C351C8"/>
    <w:rsid w:val="00C35B9E"/>
    <w:rsid w:val="00C373E9"/>
    <w:rsid w:val="00C37A57"/>
    <w:rsid w:val="00C43B46"/>
    <w:rsid w:val="00C45DE2"/>
    <w:rsid w:val="00C50963"/>
    <w:rsid w:val="00C53B06"/>
    <w:rsid w:val="00C53B9D"/>
    <w:rsid w:val="00C5722C"/>
    <w:rsid w:val="00C607AE"/>
    <w:rsid w:val="00C613BD"/>
    <w:rsid w:val="00C6220A"/>
    <w:rsid w:val="00C624AB"/>
    <w:rsid w:val="00C62A91"/>
    <w:rsid w:val="00C66229"/>
    <w:rsid w:val="00C67973"/>
    <w:rsid w:val="00C679AF"/>
    <w:rsid w:val="00C71978"/>
    <w:rsid w:val="00C72013"/>
    <w:rsid w:val="00C73323"/>
    <w:rsid w:val="00C82475"/>
    <w:rsid w:val="00C83498"/>
    <w:rsid w:val="00C908E5"/>
    <w:rsid w:val="00C9178B"/>
    <w:rsid w:val="00C962CC"/>
    <w:rsid w:val="00C96CAA"/>
    <w:rsid w:val="00C96CEA"/>
    <w:rsid w:val="00C96E52"/>
    <w:rsid w:val="00C97ADD"/>
    <w:rsid w:val="00CA0231"/>
    <w:rsid w:val="00CA0747"/>
    <w:rsid w:val="00CA1232"/>
    <w:rsid w:val="00CA19AA"/>
    <w:rsid w:val="00CA761B"/>
    <w:rsid w:val="00CB0266"/>
    <w:rsid w:val="00CB0FCD"/>
    <w:rsid w:val="00CB19D1"/>
    <w:rsid w:val="00CB1E74"/>
    <w:rsid w:val="00CB2411"/>
    <w:rsid w:val="00CC01A0"/>
    <w:rsid w:val="00CC0816"/>
    <w:rsid w:val="00CC1F48"/>
    <w:rsid w:val="00CC7CCC"/>
    <w:rsid w:val="00CD1547"/>
    <w:rsid w:val="00CD2B5F"/>
    <w:rsid w:val="00CD3852"/>
    <w:rsid w:val="00CE11B3"/>
    <w:rsid w:val="00CE6F12"/>
    <w:rsid w:val="00CE7AB1"/>
    <w:rsid w:val="00CF18BB"/>
    <w:rsid w:val="00CF47B8"/>
    <w:rsid w:val="00CF5703"/>
    <w:rsid w:val="00CF5FD5"/>
    <w:rsid w:val="00D02C80"/>
    <w:rsid w:val="00D05954"/>
    <w:rsid w:val="00D05E9D"/>
    <w:rsid w:val="00D068E8"/>
    <w:rsid w:val="00D12F19"/>
    <w:rsid w:val="00D141AB"/>
    <w:rsid w:val="00D1511D"/>
    <w:rsid w:val="00D15361"/>
    <w:rsid w:val="00D15949"/>
    <w:rsid w:val="00D20D2D"/>
    <w:rsid w:val="00D20E6D"/>
    <w:rsid w:val="00D22FB4"/>
    <w:rsid w:val="00D243B8"/>
    <w:rsid w:val="00D253F2"/>
    <w:rsid w:val="00D26541"/>
    <w:rsid w:val="00D26629"/>
    <w:rsid w:val="00D27904"/>
    <w:rsid w:val="00D31695"/>
    <w:rsid w:val="00D3250B"/>
    <w:rsid w:val="00D36BF8"/>
    <w:rsid w:val="00D36E5E"/>
    <w:rsid w:val="00D41769"/>
    <w:rsid w:val="00D4368B"/>
    <w:rsid w:val="00D44E70"/>
    <w:rsid w:val="00D5098D"/>
    <w:rsid w:val="00D511F6"/>
    <w:rsid w:val="00D51A76"/>
    <w:rsid w:val="00D5207D"/>
    <w:rsid w:val="00D52F12"/>
    <w:rsid w:val="00D538B3"/>
    <w:rsid w:val="00D53DBE"/>
    <w:rsid w:val="00D53F2A"/>
    <w:rsid w:val="00D55881"/>
    <w:rsid w:val="00D569ED"/>
    <w:rsid w:val="00D644D5"/>
    <w:rsid w:val="00D6696E"/>
    <w:rsid w:val="00D66A82"/>
    <w:rsid w:val="00D672E1"/>
    <w:rsid w:val="00D74458"/>
    <w:rsid w:val="00D76398"/>
    <w:rsid w:val="00D8045A"/>
    <w:rsid w:val="00D80479"/>
    <w:rsid w:val="00D84C1F"/>
    <w:rsid w:val="00D87D24"/>
    <w:rsid w:val="00D9125E"/>
    <w:rsid w:val="00D916A9"/>
    <w:rsid w:val="00D91B51"/>
    <w:rsid w:val="00D922C6"/>
    <w:rsid w:val="00D94059"/>
    <w:rsid w:val="00D941D0"/>
    <w:rsid w:val="00DA337F"/>
    <w:rsid w:val="00DA3970"/>
    <w:rsid w:val="00DA5C61"/>
    <w:rsid w:val="00DA5D4A"/>
    <w:rsid w:val="00DB0186"/>
    <w:rsid w:val="00DB11B2"/>
    <w:rsid w:val="00DB278C"/>
    <w:rsid w:val="00DB2EEE"/>
    <w:rsid w:val="00DB42DD"/>
    <w:rsid w:val="00DB5804"/>
    <w:rsid w:val="00DB5D6F"/>
    <w:rsid w:val="00DC12F7"/>
    <w:rsid w:val="00DC34E8"/>
    <w:rsid w:val="00DC4FA7"/>
    <w:rsid w:val="00DC59F9"/>
    <w:rsid w:val="00DC5BD9"/>
    <w:rsid w:val="00DD2A1C"/>
    <w:rsid w:val="00DD345A"/>
    <w:rsid w:val="00DD5C1E"/>
    <w:rsid w:val="00DD7D32"/>
    <w:rsid w:val="00DE3D84"/>
    <w:rsid w:val="00DE5D5F"/>
    <w:rsid w:val="00DF5859"/>
    <w:rsid w:val="00DF7F30"/>
    <w:rsid w:val="00E04669"/>
    <w:rsid w:val="00E04A8F"/>
    <w:rsid w:val="00E06BC2"/>
    <w:rsid w:val="00E13F59"/>
    <w:rsid w:val="00E15327"/>
    <w:rsid w:val="00E16A8F"/>
    <w:rsid w:val="00E206E0"/>
    <w:rsid w:val="00E22D54"/>
    <w:rsid w:val="00E31ECC"/>
    <w:rsid w:val="00E32EE2"/>
    <w:rsid w:val="00E32EF0"/>
    <w:rsid w:val="00E34DE9"/>
    <w:rsid w:val="00E35CE2"/>
    <w:rsid w:val="00E363A8"/>
    <w:rsid w:val="00E36869"/>
    <w:rsid w:val="00E457C9"/>
    <w:rsid w:val="00E47530"/>
    <w:rsid w:val="00E546C4"/>
    <w:rsid w:val="00E54C70"/>
    <w:rsid w:val="00E54CC0"/>
    <w:rsid w:val="00E561CB"/>
    <w:rsid w:val="00E57409"/>
    <w:rsid w:val="00E6097A"/>
    <w:rsid w:val="00E60EDB"/>
    <w:rsid w:val="00E6176E"/>
    <w:rsid w:val="00E630D3"/>
    <w:rsid w:val="00E64E54"/>
    <w:rsid w:val="00E67101"/>
    <w:rsid w:val="00E67B63"/>
    <w:rsid w:val="00E67C39"/>
    <w:rsid w:val="00E7038C"/>
    <w:rsid w:val="00E732F9"/>
    <w:rsid w:val="00E779FD"/>
    <w:rsid w:val="00E80C54"/>
    <w:rsid w:val="00E80E05"/>
    <w:rsid w:val="00E8112F"/>
    <w:rsid w:val="00E81A1D"/>
    <w:rsid w:val="00E81D46"/>
    <w:rsid w:val="00E82280"/>
    <w:rsid w:val="00E82D3F"/>
    <w:rsid w:val="00E83233"/>
    <w:rsid w:val="00E851BD"/>
    <w:rsid w:val="00E87292"/>
    <w:rsid w:val="00E87ED4"/>
    <w:rsid w:val="00E901C8"/>
    <w:rsid w:val="00E9045C"/>
    <w:rsid w:val="00E914D0"/>
    <w:rsid w:val="00E95244"/>
    <w:rsid w:val="00E962BD"/>
    <w:rsid w:val="00EA1988"/>
    <w:rsid w:val="00EA2EF2"/>
    <w:rsid w:val="00EA7F04"/>
    <w:rsid w:val="00EB0584"/>
    <w:rsid w:val="00EB3029"/>
    <w:rsid w:val="00EB3328"/>
    <w:rsid w:val="00EB40A2"/>
    <w:rsid w:val="00EB55B6"/>
    <w:rsid w:val="00EB577F"/>
    <w:rsid w:val="00EB58BA"/>
    <w:rsid w:val="00EB656B"/>
    <w:rsid w:val="00EB7055"/>
    <w:rsid w:val="00EB7650"/>
    <w:rsid w:val="00EC0425"/>
    <w:rsid w:val="00EC564F"/>
    <w:rsid w:val="00EC5D9A"/>
    <w:rsid w:val="00EC7EB8"/>
    <w:rsid w:val="00ED0B21"/>
    <w:rsid w:val="00ED17E0"/>
    <w:rsid w:val="00ED41F8"/>
    <w:rsid w:val="00ED57E6"/>
    <w:rsid w:val="00ED7C44"/>
    <w:rsid w:val="00ED7F6C"/>
    <w:rsid w:val="00EE18CC"/>
    <w:rsid w:val="00EE2B6E"/>
    <w:rsid w:val="00EE3F04"/>
    <w:rsid w:val="00EE57F9"/>
    <w:rsid w:val="00EE5A75"/>
    <w:rsid w:val="00EE696A"/>
    <w:rsid w:val="00EE72F9"/>
    <w:rsid w:val="00EE77B7"/>
    <w:rsid w:val="00EF7A02"/>
    <w:rsid w:val="00EF7E17"/>
    <w:rsid w:val="00F00F13"/>
    <w:rsid w:val="00F017BF"/>
    <w:rsid w:val="00F01C31"/>
    <w:rsid w:val="00F07444"/>
    <w:rsid w:val="00F07FA4"/>
    <w:rsid w:val="00F10E88"/>
    <w:rsid w:val="00F11F4C"/>
    <w:rsid w:val="00F12646"/>
    <w:rsid w:val="00F155FC"/>
    <w:rsid w:val="00F16325"/>
    <w:rsid w:val="00F17CAD"/>
    <w:rsid w:val="00F22295"/>
    <w:rsid w:val="00F25666"/>
    <w:rsid w:val="00F26312"/>
    <w:rsid w:val="00F26AE3"/>
    <w:rsid w:val="00F3041E"/>
    <w:rsid w:val="00F31146"/>
    <w:rsid w:val="00F32674"/>
    <w:rsid w:val="00F33BAC"/>
    <w:rsid w:val="00F34552"/>
    <w:rsid w:val="00F354A9"/>
    <w:rsid w:val="00F36DB7"/>
    <w:rsid w:val="00F37AD2"/>
    <w:rsid w:val="00F41269"/>
    <w:rsid w:val="00F421FF"/>
    <w:rsid w:val="00F44FDE"/>
    <w:rsid w:val="00F5036D"/>
    <w:rsid w:val="00F52ACA"/>
    <w:rsid w:val="00F5332D"/>
    <w:rsid w:val="00F533D4"/>
    <w:rsid w:val="00F53862"/>
    <w:rsid w:val="00F55BDF"/>
    <w:rsid w:val="00F61538"/>
    <w:rsid w:val="00F62252"/>
    <w:rsid w:val="00F62830"/>
    <w:rsid w:val="00F635A7"/>
    <w:rsid w:val="00F63828"/>
    <w:rsid w:val="00F6632B"/>
    <w:rsid w:val="00F66500"/>
    <w:rsid w:val="00F6782E"/>
    <w:rsid w:val="00F719B5"/>
    <w:rsid w:val="00F76FDD"/>
    <w:rsid w:val="00F77D6F"/>
    <w:rsid w:val="00F8428B"/>
    <w:rsid w:val="00F86E30"/>
    <w:rsid w:val="00F87998"/>
    <w:rsid w:val="00F92B07"/>
    <w:rsid w:val="00F95CF9"/>
    <w:rsid w:val="00F97690"/>
    <w:rsid w:val="00F976EB"/>
    <w:rsid w:val="00FA59D1"/>
    <w:rsid w:val="00FA70CA"/>
    <w:rsid w:val="00FA7775"/>
    <w:rsid w:val="00FA7CD1"/>
    <w:rsid w:val="00FB072B"/>
    <w:rsid w:val="00FB0FA6"/>
    <w:rsid w:val="00FB15E9"/>
    <w:rsid w:val="00FB3AD9"/>
    <w:rsid w:val="00FB42CB"/>
    <w:rsid w:val="00FB62BA"/>
    <w:rsid w:val="00FC2499"/>
    <w:rsid w:val="00FC334E"/>
    <w:rsid w:val="00FC3524"/>
    <w:rsid w:val="00FC3A46"/>
    <w:rsid w:val="00FC3A61"/>
    <w:rsid w:val="00FC58B0"/>
    <w:rsid w:val="00FD1C18"/>
    <w:rsid w:val="00FD2750"/>
    <w:rsid w:val="00FD402F"/>
    <w:rsid w:val="00FD4082"/>
    <w:rsid w:val="00FD546E"/>
    <w:rsid w:val="00FD6429"/>
    <w:rsid w:val="00FD6754"/>
    <w:rsid w:val="00FD6D80"/>
    <w:rsid w:val="00FE06A8"/>
    <w:rsid w:val="00FE37C2"/>
    <w:rsid w:val="00FE6891"/>
    <w:rsid w:val="00FF3A73"/>
    <w:rsid w:val="00FF71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40AE3F32-8E91-455F-AACB-D5D97A49A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265"/>
    <w:rPr>
      <w:lang w:eastAsia="en-US"/>
    </w:rPr>
  </w:style>
  <w:style w:type="paragraph" w:styleId="Heading1">
    <w:name w:val="heading 1"/>
    <w:basedOn w:val="Normal"/>
    <w:next w:val="Normal"/>
    <w:qFormat/>
    <w:pPr>
      <w:keepNext/>
      <w:jc w:val="center"/>
      <w:outlineLvl w:val="0"/>
    </w:pPr>
    <w:rPr>
      <w:sz w:val="24"/>
      <w:u w:val="single"/>
    </w:rPr>
  </w:style>
  <w:style w:type="paragraph" w:styleId="Heading2">
    <w:name w:val="heading 2"/>
    <w:basedOn w:val="Normal"/>
    <w:next w:val="Normal"/>
    <w:qFormat/>
    <w:pPr>
      <w:keepNext/>
      <w:outlineLvl w:val="1"/>
    </w:pPr>
    <w:rPr>
      <w:b/>
      <w:bCs/>
      <w:sz w:val="24"/>
      <w:u w:val="single"/>
    </w:rPr>
  </w:style>
  <w:style w:type="paragraph" w:styleId="Heading3">
    <w:name w:val="heading 3"/>
    <w:basedOn w:val="Normal"/>
    <w:next w:val="Normal"/>
    <w:qFormat/>
    <w:pPr>
      <w:keepNext/>
      <w:outlineLvl w:val="2"/>
    </w:pPr>
    <w:rPr>
      <w:b/>
      <w:bCs/>
      <w:sz w:val="24"/>
    </w:rPr>
  </w:style>
  <w:style w:type="paragraph" w:styleId="Heading4">
    <w:name w:val="heading 4"/>
    <w:basedOn w:val="Normal"/>
    <w:next w:val="Normal"/>
    <w:qFormat/>
    <w:pPr>
      <w:keepNext/>
      <w:tabs>
        <w:tab w:val="left" w:pos="1418"/>
      </w:tabs>
      <w:outlineLvl w:val="3"/>
    </w:pPr>
    <w:rPr>
      <w:sz w:val="24"/>
    </w:rPr>
  </w:style>
  <w:style w:type="paragraph" w:styleId="Heading5">
    <w:name w:val="heading 5"/>
    <w:basedOn w:val="Normal"/>
    <w:next w:val="Normal"/>
    <w:qFormat/>
    <w:pPr>
      <w:keepNext/>
      <w:outlineLvl w:val="4"/>
    </w:pPr>
    <w:rPr>
      <w:b/>
      <w:bCs/>
      <w:sz w:val="28"/>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 w:val="24"/>
      <w:szCs w:val="24"/>
    </w:rPr>
  </w:style>
  <w:style w:type="paragraph" w:styleId="Heading8">
    <w:name w:val="heading 8"/>
    <w:basedOn w:val="Normal"/>
    <w:next w:val="Normal"/>
    <w:qFormat/>
    <w:pPr>
      <w:spacing w:before="240" w:after="60"/>
      <w:outlineLvl w:val="7"/>
    </w:pPr>
    <w:rPr>
      <w:i/>
      <w:iCs/>
      <w:sz w:val="24"/>
      <w:szCs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sz w:val="24"/>
    </w:rPr>
  </w:style>
  <w:style w:type="character" w:styleId="PageNumber">
    <w:name w:val="page number"/>
    <w:basedOn w:val="DefaultParagraphFont"/>
  </w:style>
  <w:style w:type="paragraph" w:styleId="BodyTextIndent">
    <w:name w:val="Body Text Indent"/>
    <w:basedOn w:val="Normal"/>
    <w:pPr>
      <w:ind w:left="720" w:hanging="720"/>
    </w:pPr>
    <w:rPr>
      <w:rFonts w:ascii="Tahoma" w:hAnsi="Tahoma" w:cs="Tahoma"/>
      <w:sz w:val="24"/>
    </w:rPr>
  </w:style>
  <w:style w:type="paragraph" w:styleId="BodyTextIndent2">
    <w:name w:val="Body Text Indent 2"/>
    <w:basedOn w:val="Normal"/>
    <w:pPr>
      <w:ind w:left="709" w:hanging="709"/>
    </w:pPr>
    <w:rPr>
      <w:rFonts w:ascii="Tahoma" w:hAnsi="Tahoma" w:cs="Tahoma"/>
      <w:sz w:val="24"/>
    </w:rPr>
  </w:style>
  <w:style w:type="paragraph" w:styleId="BodyTextIndent3">
    <w:name w:val="Body Text Indent 3"/>
    <w:basedOn w:val="Normal"/>
    <w:pPr>
      <w:numPr>
        <w:ilvl w:val="1"/>
      </w:numPr>
      <w:tabs>
        <w:tab w:val="num" w:pos="1440"/>
      </w:tabs>
      <w:ind w:left="709"/>
    </w:pPr>
    <w:rPr>
      <w:rFonts w:ascii="Tahoma" w:hAnsi="Tahoma" w:cs="Tahoma"/>
      <w:sz w:val="24"/>
    </w:rPr>
  </w:style>
  <w:style w:type="paragraph" w:styleId="BodyText2">
    <w:name w:val="Body Text 2"/>
    <w:basedOn w:val="Normal"/>
    <w:link w:val="BodyText2Char"/>
    <w:rPr>
      <w:rFonts w:ascii="Tahoma" w:hAnsi="Tahoma" w:cs="Tahoma"/>
      <w:sz w:val="24"/>
      <w:u w:val="single"/>
    </w:rPr>
  </w:style>
  <w:style w:type="character" w:styleId="LineNumber">
    <w:name w:val="line number"/>
    <w:basedOn w:val="DefaultParagraphFont"/>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731932"/>
    <w:rPr>
      <w:sz w:val="16"/>
      <w:szCs w:val="16"/>
    </w:rPr>
  </w:style>
  <w:style w:type="paragraph" w:styleId="CommentText">
    <w:name w:val="annotation text"/>
    <w:basedOn w:val="Normal"/>
    <w:semiHidden/>
    <w:rsid w:val="00731932"/>
  </w:style>
  <w:style w:type="paragraph" w:styleId="CommentSubject">
    <w:name w:val="annotation subject"/>
    <w:basedOn w:val="CommentText"/>
    <w:next w:val="CommentText"/>
    <w:semiHidden/>
    <w:rsid w:val="00731932"/>
    <w:rPr>
      <w:b/>
      <w:bCs/>
    </w:rPr>
  </w:style>
  <w:style w:type="character" w:customStyle="1" w:styleId="c8111">
    <w:name w:val="c8111"/>
    <w:semiHidden/>
    <w:rsid w:val="004D4752"/>
    <w:rPr>
      <w:rFonts w:ascii="Arial" w:hAnsi="Arial" w:cs="Arial"/>
      <w:b w:val="0"/>
      <w:bCs w:val="0"/>
      <w:i w:val="0"/>
      <w:iCs w:val="0"/>
      <w:strike w:val="0"/>
      <w:color w:val="auto"/>
      <w:sz w:val="24"/>
      <w:szCs w:val="24"/>
      <w:u w:val="none"/>
    </w:rPr>
  </w:style>
  <w:style w:type="table" w:styleId="TableGrid">
    <w:name w:val="Table Grid"/>
    <w:basedOn w:val="TableNormal"/>
    <w:rsid w:val="00674F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6E1F"/>
    <w:pPr>
      <w:ind w:left="720"/>
    </w:pPr>
  </w:style>
  <w:style w:type="character" w:customStyle="1" w:styleId="BodyText2Char">
    <w:name w:val="Body Text 2 Char"/>
    <w:link w:val="BodyText2"/>
    <w:rsid w:val="00217952"/>
    <w:rPr>
      <w:rFonts w:ascii="Tahoma" w:hAnsi="Tahoma" w:cs="Tahoma"/>
      <w:sz w:val="24"/>
      <w:u w:val="single"/>
      <w:lang w:eastAsia="en-US"/>
    </w:rPr>
  </w:style>
  <w:style w:type="character" w:customStyle="1" w:styleId="HeaderChar">
    <w:name w:val="Header Char"/>
    <w:basedOn w:val="DefaultParagraphFont"/>
    <w:link w:val="Header"/>
    <w:uiPriority w:val="99"/>
    <w:rsid w:val="0079083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95510">
      <w:bodyDiv w:val="1"/>
      <w:marLeft w:val="0"/>
      <w:marRight w:val="0"/>
      <w:marTop w:val="0"/>
      <w:marBottom w:val="0"/>
      <w:divBdr>
        <w:top w:val="none" w:sz="0" w:space="0" w:color="auto"/>
        <w:left w:val="none" w:sz="0" w:space="0" w:color="auto"/>
        <w:bottom w:val="none" w:sz="0" w:space="0" w:color="auto"/>
        <w:right w:val="none" w:sz="0" w:space="0" w:color="auto"/>
      </w:divBdr>
    </w:div>
    <w:div w:id="183187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ustomXml" Target="ink/ink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EVELAND%20POLICE\AUTHORITY%20REPORTS\Standard%20PA%20report%20layout%20-%20June%202003.do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dPt>
          <c:dPt>
            <c:idx val="1"/>
            <c:bubble3D val="0"/>
            <c:spPr>
              <a:solidFill>
                <a:schemeClr val="accent2"/>
              </a:solidFill>
              <a:ln w="25400">
                <a:solidFill>
                  <a:schemeClr val="lt1"/>
                </a:solidFill>
              </a:ln>
              <a:effectLst/>
              <a:sp3d contourW="25400">
                <a:contourClr>
                  <a:schemeClr val="lt1"/>
                </a:contourClr>
              </a:sp3d>
            </c:spPr>
          </c:dPt>
          <c:dPt>
            <c:idx val="2"/>
            <c:bubble3D val="0"/>
            <c:spPr>
              <a:solidFill>
                <a:schemeClr val="accent3"/>
              </a:solidFill>
              <a:ln w="25400">
                <a:solidFill>
                  <a:schemeClr val="lt1"/>
                </a:solidFill>
              </a:ln>
              <a:effectLst/>
              <a:sp3d contourW="25400">
                <a:contourClr>
                  <a:schemeClr val="lt1"/>
                </a:contourClr>
              </a:sp3d>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Sheet1!$O$9:$Q$9</c:f>
              <c:strCache>
                <c:ptCount val="3"/>
                <c:pt idx="0">
                  <c:v>Further Competition</c:v>
                </c:pt>
                <c:pt idx="1">
                  <c:v>Tender</c:v>
                </c:pt>
                <c:pt idx="2">
                  <c:v>National</c:v>
                </c:pt>
              </c:strCache>
            </c:strRef>
          </c:cat>
          <c:val>
            <c:numRef>
              <c:f>Sheet1!$O$10:$Q$10</c:f>
              <c:numCache>
                <c:formatCode>General</c:formatCode>
                <c:ptCount val="3"/>
                <c:pt idx="0">
                  <c:v>8</c:v>
                </c:pt>
                <c:pt idx="1">
                  <c:v>5</c:v>
                </c:pt>
                <c:pt idx="2">
                  <c:v>3</c:v>
                </c:pt>
              </c:numCache>
            </c:numRef>
          </c:val>
        </c:ser>
        <c:dLbls>
          <c:showLegendKey val="0"/>
          <c:showVal val="0"/>
          <c:showCatName val="0"/>
          <c:showSerName val="0"/>
          <c:showPercent val="0"/>
          <c:showBubbleSize val="0"/>
          <c:showLeaderLines val="1"/>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dPt>
          <c:dPt>
            <c:idx val="1"/>
            <c:bubble3D val="0"/>
            <c:spPr>
              <a:solidFill>
                <a:schemeClr val="accent2"/>
              </a:solidFill>
              <a:ln w="25400">
                <a:solidFill>
                  <a:schemeClr val="lt1"/>
                </a:solidFill>
              </a:ln>
              <a:effectLst/>
              <a:sp3d contourW="25400">
                <a:contourClr>
                  <a:schemeClr val="lt1"/>
                </a:contourClr>
              </a:sp3d>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Sheet1!$N$33:$O$33</c:f>
              <c:strCache>
                <c:ptCount val="2"/>
                <c:pt idx="0">
                  <c:v>New Requirement</c:v>
                </c:pt>
                <c:pt idx="1">
                  <c:v>Existing Requirement</c:v>
                </c:pt>
              </c:strCache>
            </c:strRef>
          </c:cat>
          <c:val>
            <c:numRef>
              <c:f>Sheet1!$N$34:$O$34</c:f>
              <c:numCache>
                <c:formatCode>General</c:formatCode>
                <c:ptCount val="2"/>
                <c:pt idx="0">
                  <c:v>11</c:v>
                </c:pt>
                <c:pt idx="1">
                  <c:v>5</c:v>
                </c:pt>
              </c:numCache>
            </c:numRef>
          </c:val>
        </c:ser>
        <c:dLbls>
          <c:showLegendKey val="0"/>
          <c:showVal val="0"/>
          <c:showCatName val="0"/>
          <c:showSerName val="0"/>
          <c:showPercent val="0"/>
          <c:showBubbleSize val="0"/>
          <c:showLeaderLines val="1"/>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ink/ink1.xml><?xml version="1.0" encoding="utf-8"?>
<inkml:ink xmlns:inkml="http://www.w3.org/2003/InkML">
  <inkml:definitions>
    <inkml:context xml:id="ctx0">
      <inkml:inkSource xml:id="inkSrc0">
        <inkml:traceFormat>
          <inkml:channel name="X" type="integer" max="10136" units="cm"/>
          <inkml:channel name="Y" type="integer" max="6760" units="cm"/>
          <inkml:channel name="T" type="integer" max="2.14748E9" units="dev"/>
        </inkml:traceFormat>
        <inkml:channelProperties>
          <inkml:channelProperty channel="X" name="resolution" value="400" units="1/cm"/>
          <inkml:channelProperty channel="Y" name="resolution" value="400" units="1/cm"/>
          <inkml:channelProperty channel="T" name="resolution" value="1" units="1/dev"/>
        </inkml:channelProperties>
      </inkml:inkSource>
      <inkml:timestamp xml:id="ts0" timeString="2018-03-02T09:31:47.173"/>
    </inkml:context>
    <inkml:brush xml:id="br0">
      <inkml:brushProperty name="width" value="0.1" units="cm"/>
      <inkml:brushProperty name="height" value="0.1" units="cm"/>
      <inkml:brushProperty name="fitToCurve" value="1"/>
    </inkml:brush>
  </inkml:definitions>
  <inkml:trace contextRef="#ctx0" brushRef="#br0">0 0 0,'0'0'0,"0"0"16,0 0-1,0 0-15,0 0 16,0 0-16,0 0 15,0 0-15,0 0 16,0 0 0,0 0-16,0 0 15,0 0-15</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D4649-6602-46FD-B1C0-D5F0B0A58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PA report layout - June 2003</Template>
  <TotalTime>1</TotalTime>
  <Pages>8</Pages>
  <Words>1989</Words>
  <Characters>10402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21 February 2002</vt:lpstr>
    </vt:vector>
  </TitlesOfParts>
  <Company>Cleveland Police</Company>
  <LinksUpToDate>false</LinksUpToDate>
  <CharactersWithSpaces>12367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 February 2002</dc:title>
  <dc:creator>Chief Constable</dc:creator>
  <cp:lastModifiedBy>YATES, Jennifer (C8507)</cp:lastModifiedBy>
  <cp:revision>2</cp:revision>
  <cp:lastPrinted>2020-02-04T15:54:00Z</cp:lastPrinted>
  <dcterms:created xsi:type="dcterms:W3CDTF">2020-02-26T14:08:00Z</dcterms:created>
  <dcterms:modified xsi:type="dcterms:W3CDTF">2020-02-26T14:08:00Z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86f21a88-5e18-4ba8-bce0-544e96306260</vt:lpwstr>
  </property>
  <property fmtid="{D5CDD505-2E9C-101B-9397-08002B2CF9AE}" pid="3" name="Classification">
    <vt:lpwstr>OFFICIAL</vt:lpwstr>
  </property>
</Properties>
</file>