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20" w:type="dxa"/>
          <w:left w:w="60" w:type="dxa"/>
          <w:bottom w:w="120" w:type="dxa"/>
          <w:right w:w="60" w:type="dxa"/>
        </w:tblCellMar>
        <w:tblLook w:val="0000" w:firstRow="0" w:lastRow="0" w:firstColumn="0" w:lastColumn="0" w:noHBand="0" w:noVBand="0"/>
      </w:tblPr>
      <w:tblGrid>
        <w:gridCol w:w="7569"/>
        <w:gridCol w:w="7569"/>
      </w:tblGrid>
      <w:tr w:rsidR="008A247D" w:rsidTr="008A247D">
        <w:tc>
          <w:tcPr>
            <w:tcW w:w="7569" w:type="dxa"/>
            <w:vAlign w:val="bottom"/>
          </w:tcPr>
          <w:p w:rsidR="008A247D" w:rsidRDefault="00DD7181" w:rsidP="008A247D">
            <w:pPr>
              <w:spacing w:before="60" w:after="60"/>
            </w:pPr>
            <w:bookmarkStart w:id="0" w:name="_GoBack"/>
            <w:bookmarkEnd w:id="0"/>
            <w:r w:rsidRPr="005F2A3C">
              <w:rPr>
                <w:rFonts w:cs="Arial"/>
                <w:noProof/>
                <w:color w:val="365F91"/>
                <w:sz w:val="40"/>
                <w:szCs w:val="40"/>
                <w:lang w:eastAsia="en-GB"/>
              </w:rPr>
              <w:drawing>
                <wp:inline distT="0" distB="0" distL="0" distR="0" wp14:anchorId="5BA2CDE2" wp14:editId="0FC13D75">
                  <wp:extent cx="1619250" cy="742950"/>
                  <wp:effectExtent l="0" t="0" r="0" b="0"/>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tc>
        <w:tc>
          <w:tcPr>
            <w:tcW w:w="7569" w:type="dxa"/>
          </w:tcPr>
          <w:p w:rsidR="008A247D" w:rsidRDefault="008A247D" w:rsidP="008A247D">
            <w:pPr>
              <w:spacing w:before="60" w:after="60"/>
            </w:pPr>
          </w:p>
        </w:tc>
      </w:tr>
    </w:tbl>
    <w:p w:rsidR="008A247D" w:rsidRDefault="008A247D" w:rsidP="008A247D">
      <w:pPr>
        <w:spacing w:after="120"/>
      </w:pPr>
    </w:p>
    <w:p w:rsidR="008A247D" w:rsidRDefault="008A247D" w:rsidP="008A247D">
      <w:pPr>
        <w:spacing w:after="120"/>
      </w:pP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15138"/>
      </w:tblGrid>
      <w:tr w:rsidR="008A247D" w:rsidRPr="008A247D" w:rsidTr="008A247D">
        <w:trPr>
          <w:trHeight w:hRule="exact" w:val="1134"/>
        </w:trPr>
        <w:tc>
          <w:tcPr>
            <w:tcW w:w="15138" w:type="dxa"/>
            <w:tcBorders>
              <w:bottom w:val="single" w:sz="48" w:space="0" w:color="DC0D15"/>
            </w:tcBorders>
            <w:shd w:val="clear" w:color="auto" w:fill="auto"/>
            <w:tcMar>
              <w:left w:w="0" w:type="dxa"/>
            </w:tcMar>
          </w:tcPr>
          <w:p w:rsidR="008A247D" w:rsidRPr="008A247D" w:rsidRDefault="008A247D" w:rsidP="008A247D">
            <w:pPr>
              <w:spacing w:before="60" w:after="60"/>
              <w:rPr>
                <w:rFonts w:ascii="Arial" w:hAnsi="Arial" w:cs="Arial"/>
                <w:b/>
                <w:color w:val="163D82"/>
                <w:sz w:val="40"/>
              </w:rPr>
            </w:pPr>
            <w:r>
              <w:rPr>
                <w:rFonts w:ascii="Arial" w:hAnsi="Arial" w:cs="Arial"/>
                <w:b/>
                <w:color w:val="163D82"/>
                <w:sz w:val="40"/>
              </w:rPr>
              <w:t>The Police and Crime Commissioner for Cleveland and the Chief Constable Cleveland Police</w:t>
            </w:r>
          </w:p>
        </w:tc>
      </w:tr>
      <w:tr w:rsidR="008A247D" w:rsidRPr="008A247D" w:rsidTr="008A247D">
        <w:trPr>
          <w:trHeight w:hRule="exact" w:val="1134"/>
        </w:trPr>
        <w:tc>
          <w:tcPr>
            <w:tcW w:w="15138" w:type="dxa"/>
            <w:tcBorders>
              <w:top w:val="single" w:sz="48" w:space="0" w:color="DC0D15"/>
            </w:tcBorders>
            <w:shd w:val="clear" w:color="auto" w:fill="auto"/>
            <w:tcMar>
              <w:left w:w="0" w:type="dxa"/>
            </w:tcMar>
          </w:tcPr>
          <w:p w:rsidR="008A247D" w:rsidRPr="008A247D" w:rsidRDefault="008A247D" w:rsidP="008A247D">
            <w:pPr>
              <w:spacing w:before="60" w:after="60"/>
              <w:rPr>
                <w:rFonts w:ascii="Arial" w:hAnsi="Arial" w:cs="Arial"/>
                <w:b/>
                <w:color w:val="163D82"/>
                <w:sz w:val="40"/>
              </w:rPr>
            </w:pPr>
            <w:r w:rsidRPr="008A247D">
              <w:rPr>
                <w:rFonts w:ascii="Arial" w:hAnsi="Arial" w:cs="Arial"/>
                <w:b/>
                <w:color w:val="163D82"/>
                <w:sz w:val="40"/>
              </w:rPr>
              <w:t>Assurance Review of Key Financial Controls</w:t>
            </w:r>
          </w:p>
        </w:tc>
      </w:tr>
      <w:tr w:rsidR="008A247D" w:rsidRPr="008A247D" w:rsidTr="008A247D">
        <w:trPr>
          <w:trHeight w:hRule="exact" w:val="1134"/>
        </w:trPr>
        <w:tc>
          <w:tcPr>
            <w:tcW w:w="15138" w:type="dxa"/>
            <w:shd w:val="clear" w:color="auto" w:fill="auto"/>
            <w:tcMar>
              <w:left w:w="0" w:type="dxa"/>
            </w:tcMar>
          </w:tcPr>
          <w:p w:rsidR="008A247D" w:rsidRPr="008A247D" w:rsidRDefault="008A247D" w:rsidP="008A247D">
            <w:pPr>
              <w:spacing w:before="60" w:after="60"/>
              <w:rPr>
                <w:rFonts w:ascii="Arial" w:hAnsi="Arial" w:cs="Arial"/>
                <w:b/>
                <w:color w:val="163D82"/>
                <w:sz w:val="40"/>
              </w:rPr>
            </w:pPr>
            <w:r w:rsidRPr="008A247D">
              <w:rPr>
                <w:rFonts w:ascii="Arial" w:hAnsi="Arial" w:cs="Arial"/>
                <w:b/>
                <w:color w:val="163D82"/>
                <w:sz w:val="40"/>
              </w:rPr>
              <w:t>2017/18</w:t>
            </w:r>
          </w:p>
        </w:tc>
      </w:tr>
    </w:tbl>
    <w:p w:rsidR="008A247D" w:rsidRDefault="008A247D" w:rsidP="008A247D">
      <w:pPr>
        <w:spacing w:after="120"/>
      </w:pPr>
    </w:p>
    <w:p w:rsidR="008A247D" w:rsidRDefault="008A247D" w:rsidP="008A247D">
      <w:pPr>
        <w:spacing w:after="120"/>
        <w:sectPr w:rsidR="008A247D" w:rsidSect="008A247D">
          <w:headerReference w:type="first" r:id="rId9"/>
          <w:footerReference w:type="first" r:id="rId10"/>
          <w:pgSz w:w="16838" w:h="11906" w:orient="landscape"/>
          <w:pgMar w:top="850" w:right="850" w:bottom="850" w:left="850" w:header="708" w:footer="708" w:gutter="0"/>
          <w:cols w:space="708"/>
          <w:titlePg/>
          <w:docGrid w:linePitch="360"/>
        </w:sectPr>
      </w:pPr>
    </w:p>
    <w:tbl>
      <w:tblPr>
        <w:tblW w:w="15193" w:type="dxa"/>
        <w:jc w:val="center"/>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8A247D" w:rsidTr="008A247D">
        <w:trPr>
          <w:trHeight w:hRule="exact" w:val="624"/>
          <w:jc w:val="center"/>
        </w:trPr>
        <w:tc>
          <w:tcPr>
            <w:tcW w:w="15194" w:type="dxa"/>
            <w:shd w:val="clear" w:color="auto" w:fill="FFFFFF"/>
            <w:tcMar>
              <w:bottom w:w="20" w:type="dxa"/>
            </w:tcMar>
          </w:tcPr>
          <w:p w:rsidR="008A247D" w:rsidRPr="008A247D" w:rsidRDefault="008A247D" w:rsidP="008A247D">
            <w:pPr>
              <w:spacing w:before="120" w:after="120"/>
              <w:rPr>
                <w:rFonts w:ascii="Arial" w:hAnsi="Arial" w:cs="Arial"/>
                <w:b/>
                <w:color w:val="163D82"/>
                <w:sz w:val="32"/>
              </w:rPr>
            </w:pPr>
            <w:r>
              <w:rPr>
                <w:rFonts w:ascii="Arial" w:hAnsi="Arial" w:cs="Arial"/>
                <w:b/>
                <w:color w:val="163D82"/>
                <w:sz w:val="32"/>
              </w:rPr>
              <w:lastRenderedPageBreak/>
              <w:t>Executive Summary</w:t>
            </w:r>
          </w:p>
        </w:tc>
      </w:tr>
    </w:tbl>
    <w:p w:rsidR="008A247D" w:rsidRPr="00DD7181" w:rsidRDefault="008A247D" w:rsidP="008A247D">
      <w:pPr>
        <w:spacing w:after="120"/>
        <w:jc w:val="center"/>
        <w:rPr>
          <w:sz w:val="8"/>
        </w:rPr>
      </w:pPr>
      <w:bookmarkStart w:id="1" w:name="section2"/>
      <w:bookmarkEnd w:id="1"/>
    </w:p>
    <w:tbl>
      <w:tblPr>
        <w:tblW w:w="15194" w:type="dxa"/>
        <w:jc w:val="center"/>
        <w:tblBorders>
          <w:top w:val="single" w:sz="24" w:space="0" w:color="DC0D15"/>
          <w:left w:val="single" w:sz="24" w:space="0" w:color="DC0D15"/>
          <w:bottom w:val="single" w:sz="24" w:space="0" w:color="DC0D15"/>
          <w:right w:val="single" w:sz="24" w:space="0" w:color="DC0D15"/>
          <w:insideH w:val="single" w:sz="24" w:space="0" w:color="DC0D15"/>
          <w:insideV w:val="single" w:sz="24" w:space="0" w:color="DC0D15"/>
        </w:tblBorders>
        <w:tblLayout w:type="fixed"/>
        <w:tblCellMar>
          <w:left w:w="60" w:type="dxa"/>
          <w:right w:w="60" w:type="dxa"/>
        </w:tblCellMar>
        <w:tblLook w:val="0000" w:firstRow="0" w:lastRow="0" w:firstColumn="0" w:lastColumn="0" w:noHBand="0" w:noVBand="0"/>
      </w:tblPr>
      <w:tblGrid>
        <w:gridCol w:w="7597"/>
        <w:gridCol w:w="7597"/>
      </w:tblGrid>
      <w:tr w:rsidR="008A247D" w:rsidRPr="008A247D" w:rsidTr="008A247D">
        <w:trPr>
          <w:trHeight w:val="397"/>
          <w:jc w:val="center"/>
        </w:trPr>
        <w:tc>
          <w:tcPr>
            <w:tcW w:w="7597" w:type="dxa"/>
            <w:tcBorders>
              <w:bottom w:val="nil"/>
            </w:tcBorders>
            <w:shd w:val="clear" w:color="auto" w:fill="D9D9D9"/>
          </w:tcPr>
          <w:p w:rsidR="008A247D" w:rsidRPr="008A247D" w:rsidRDefault="008A247D" w:rsidP="008A247D">
            <w:pPr>
              <w:spacing w:before="60" w:after="60"/>
              <w:rPr>
                <w:rFonts w:ascii="Arial" w:hAnsi="Arial" w:cs="Arial"/>
                <w:b/>
                <w:color w:val="163D82"/>
                <w:sz w:val="20"/>
              </w:rPr>
            </w:pPr>
            <w:r w:rsidRPr="008A247D">
              <w:rPr>
                <w:rFonts w:ascii="Arial" w:hAnsi="Arial" w:cs="Arial"/>
                <w:b/>
                <w:color w:val="163D82"/>
                <w:sz w:val="20"/>
              </w:rPr>
              <w:t>OVERALL ASSURANCE ASSESSMENT</w:t>
            </w:r>
          </w:p>
        </w:tc>
        <w:tc>
          <w:tcPr>
            <w:tcW w:w="7597" w:type="dxa"/>
            <w:tcBorders>
              <w:bottom w:val="nil"/>
            </w:tcBorders>
            <w:shd w:val="clear" w:color="auto" w:fill="D9D9D9"/>
          </w:tcPr>
          <w:p w:rsidR="008A247D" w:rsidRPr="008A247D" w:rsidRDefault="008A247D" w:rsidP="008A247D">
            <w:pPr>
              <w:spacing w:before="60" w:after="60"/>
              <w:rPr>
                <w:rFonts w:ascii="Arial" w:hAnsi="Arial" w:cs="Arial"/>
                <w:b/>
                <w:color w:val="163D82"/>
                <w:sz w:val="20"/>
              </w:rPr>
            </w:pPr>
            <w:r w:rsidRPr="008A247D">
              <w:rPr>
                <w:rFonts w:ascii="Arial" w:hAnsi="Arial" w:cs="Arial"/>
                <w:b/>
                <w:color w:val="163D82"/>
                <w:sz w:val="20"/>
              </w:rPr>
              <w:t>OVERALL CONCLUSION</w:t>
            </w:r>
          </w:p>
        </w:tc>
      </w:tr>
      <w:tr w:rsidR="008A247D" w:rsidRPr="008A247D" w:rsidTr="008A247D">
        <w:trPr>
          <w:trHeight w:val="3345"/>
          <w:jc w:val="center"/>
        </w:trPr>
        <w:tc>
          <w:tcPr>
            <w:tcW w:w="7597" w:type="dxa"/>
            <w:tcBorders>
              <w:top w:val="nil"/>
              <w:bottom w:val="single" w:sz="24" w:space="0" w:color="DC0D15"/>
            </w:tcBorders>
            <w:shd w:val="clear" w:color="auto" w:fill="auto"/>
            <w:vAlign w:val="center"/>
          </w:tcPr>
          <w:p w:rsidR="008A247D" w:rsidRPr="008A247D" w:rsidRDefault="00197807" w:rsidP="008A247D">
            <w:pPr>
              <w:spacing w:before="60" w:after="60"/>
              <w:jc w:val="center"/>
              <w:rPr>
                <w:rFonts w:ascii="Arial" w:hAnsi="Arial" w:cs="Arial"/>
              </w:rPr>
            </w:pPr>
            <w:r>
              <w:rPr>
                <w:noProof/>
                <w:lang w:eastAsia="en-GB"/>
              </w:rPr>
              <w:drawing>
                <wp:inline distT="0" distB="0" distL="0" distR="0" wp14:anchorId="51EBA59F" wp14:editId="583D9515">
                  <wp:extent cx="2806335" cy="162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7597" w:type="dxa"/>
            <w:tcBorders>
              <w:top w:val="nil"/>
              <w:bottom w:val="single" w:sz="24" w:space="0" w:color="DC0D15"/>
            </w:tcBorders>
            <w:shd w:val="clear" w:color="auto" w:fill="auto"/>
          </w:tcPr>
          <w:tbl>
            <w:tblPr>
              <w:tblW w:w="0" w:type="auto"/>
              <w:tblLayout w:type="fixed"/>
              <w:tblLook w:val="0000" w:firstRow="0" w:lastRow="0" w:firstColumn="0" w:lastColumn="0" w:noHBand="0" w:noVBand="0"/>
            </w:tblPr>
            <w:tblGrid>
              <w:gridCol w:w="283"/>
              <w:gridCol w:w="6972"/>
            </w:tblGrid>
            <w:tr w:rsidR="008A247D" w:rsidTr="00DD7181">
              <w:tc>
                <w:tcPr>
                  <w:tcW w:w="7255" w:type="dxa"/>
                  <w:gridSpan w:val="2"/>
                </w:tcPr>
                <w:p w:rsidR="008A247D" w:rsidRPr="00DD7181" w:rsidRDefault="008A247D" w:rsidP="00DD7181">
                  <w:pPr>
                    <w:spacing w:before="60" w:after="60" w:line="264" w:lineRule="auto"/>
                    <w:jc w:val="both"/>
                    <w:rPr>
                      <w:rFonts w:ascii="Arial" w:hAnsi="Arial" w:cs="Arial"/>
                      <w:b/>
                      <w:color w:val="DC0D15"/>
                      <w:sz w:val="20"/>
                      <w:szCs w:val="20"/>
                    </w:rPr>
                  </w:pPr>
                  <w:r w:rsidRPr="00DD7181">
                    <w:rPr>
                      <w:rFonts w:ascii="Arial" w:hAnsi="Arial" w:cs="Arial"/>
                      <w:b/>
                      <w:color w:val="DC0D15"/>
                      <w:sz w:val="20"/>
                      <w:szCs w:val="20"/>
                    </w:rPr>
                    <w:t>There are appropriate controls in place and operating for the majority of the processes reviewed;</w:t>
                  </w:r>
                </w:p>
              </w:tc>
            </w:tr>
            <w:tr w:rsidR="008A247D" w:rsidTr="00DD7181">
              <w:tc>
                <w:tcPr>
                  <w:tcW w:w="283" w:type="dxa"/>
                </w:tcPr>
                <w:p w:rsidR="008A247D" w:rsidRPr="008A247D" w:rsidRDefault="008A247D" w:rsidP="00197807">
                  <w:pPr>
                    <w:spacing w:before="60" w:after="60" w:line="271" w:lineRule="auto"/>
                    <w:jc w:val="both"/>
                    <w:rPr>
                      <w:rFonts w:ascii="Wingdings" w:hAnsi="Wingdings" w:cs="Arial"/>
                      <w:color w:val="DC0D15"/>
                      <w:sz w:val="16"/>
                    </w:rPr>
                  </w:pPr>
                  <w:r w:rsidRPr="008A247D">
                    <w:rPr>
                      <w:rFonts w:ascii="Wingdings" w:hAnsi="Wingdings" w:cs="Arial"/>
                      <w:color w:val="DC0D15"/>
                      <w:sz w:val="16"/>
                    </w:rPr>
                    <w:t></w:t>
                  </w:r>
                </w:p>
              </w:tc>
              <w:tc>
                <w:tcPr>
                  <w:tcW w:w="6972" w:type="dxa"/>
                </w:tcPr>
                <w:p w:rsidR="008A247D" w:rsidRPr="00DD7181" w:rsidRDefault="008A247D" w:rsidP="00DD7181">
                  <w:pPr>
                    <w:spacing w:before="60" w:after="60" w:line="264" w:lineRule="auto"/>
                    <w:jc w:val="both"/>
                    <w:rPr>
                      <w:rFonts w:ascii="Arial" w:hAnsi="Arial" w:cs="Arial"/>
                      <w:b/>
                      <w:color w:val="DC0D15"/>
                      <w:sz w:val="20"/>
                      <w:szCs w:val="20"/>
                    </w:rPr>
                  </w:pPr>
                  <w:r w:rsidRPr="00DD7181">
                    <w:rPr>
                      <w:rFonts w:ascii="Arial" w:hAnsi="Arial" w:cs="Arial"/>
                      <w:b/>
                      <w:color w:val="DC0D15"/>
                      <w:sz w:val="20"/>
                      <w:szCs w:val="20"/>
                    </w:rPr>
                    <w:t>Supplier details changes could be strengthened to mitigate against potential fraud.</w:t>
                  </w:r>
                </w:p>
              </w:tc>
            </w:tr>
            <w:tr w:rsidR="008A247D" w:rsidTr="00DD7181">
              <w:tc>
                <w:tcPr>
                  <w:tcW w:w="283" w:type="dxa"/>
                </w:tcPr>
                <w:p w:rsidR="008A247D" w:rsidRPr="008A247D" w:rsidRDefault="008A247D" w:rsidP="00197807">
                  <w:pPr>
                    <w:spacing w:before="60" w:after="60" w:line="271" w:lineRule="auto"/>
                    <w:jc w:val="both"/>
                    <w:rPr>
                      <w:rFonts w:ascii="Wingdings" w:hAnsi="Wingdings" w:cs="Arial"/>
                      <w:color w:val="DC0D15"/>
                      <w:sz w:val="16"/>
                    </w:rPr>
                  </w:pPr>
                  <w:r w:rsidRPr="008A247D">
                    <w:rPr>
                      <w:rFonts w:ascii="Wingdings" w:hAnsi="Wingdings" w:cs="Arial"/>
                      <w:color w:val="DC0D15"/>
                      <w:sz w:val="16"/>
                    </w:rPr>
                    <w:t></w:t>
                  </w:r>
                </w:p>
              </w:tc>
              <w:tc>
                <w:tcPr>
                  <w:tcW w:w="6972" w:type="dxa"/>
                </w:tcPr>
                <w:p w:rsidR="008A247D" w:rsidRPr="00DD7181" w:rsidRDefault="008A247D" w:rsidP="00DD7181">
                  <w:pPr>
                    <w:spacing w:before="60" w:after="60" w:line="264" w:lineRule="auto"/>
                    <w:jc w:val="both"/>
                    <w:rPr>
                      <w:rFonts w:ascii="Arial" w:hAnsi="Arial" w:cs="Arial"/>
                      <w:b/>
                      <w:color w:val="DC0D15"/>
                      <w:sz w:val="20"/>
                      <w:szCs w:val="20"/>
                    </w:rPr>
                  </w:pPr>
                  <w:r w:rsidRPr="00DD7181">
                    <w:rPr>
                      <w:rFonts w:ascii="Arial" w:hAnsi="Arial" w:cs="Arial"/>
                      <w:b/>
                      <w:color w:val="DC0D15"/>
                      <w:sz w:val="20"/>
                      <w:szCs w:val="20"/>
                    </w:rPr>
                    <w:t>Robust processes are operating for Accounts Payable and Accounts Receivable which include clear segregation of duties.</w:t>
                  </w:r>
                </w:p>
              </w:tc>
            </w:tr>
            <w:tr w:rsidR="008A247D" w:rsidTr="00DD7181">
              <w:tc>
                <w:tcPr>
                  <w:tcW w:w="283" w:type="dxa"/>
                </w:tcPr>
                <w:p w:rsidR="008A247D" w:rsidRPr="008A247D" w:rsidRDefault="008A247D" w:rsidP="00197807">
                  <w:pPr>
                    <w:spacing w:before="60" w:after="60" w:line="271" w:lineRule="auto"/>
                    <w:jc w:val="both"/>
                    <w:rPr>
                      <w:rFonts w:ascii="Wingdings" w:hAnsi="Wingdings" w:cs="Arial"/>
                      <w:color w:val="DC0D15"/>
                      <w:sz w:val="16"/>
                    </w:rPr>
                  </w:pPr>
                  <w:r w:rsidRPr="008A247D">
                    <w:rPr>
                      <w:rFonts w:ascii="Wingdings" w:hAnsi="Wingdings" w:cs="Arial"/>
                      <w:color w:val="DC0D15"/>
                      <w:sz w:val="16"/>
                    </w:rPr>
                    <w:t></w:t>
                  </w:r>
                </w:p>
              </w:tc>
              <w:tc>
                <w:tcPr>
                  <w:tcW w:w="6972" w:type="dxa"/>
                </w:tcPr>
                <w:p w:rsidR="008A247D" w:rsidRPr="00DD7181" w:rsidRDefault="008A247D" w:rsidP="00DD7181">
                  <w:pPr>
                    <w:spacing w:before="60" w:after="60" w:line="264" w:lineRule="auto"/>
                    <w:jc w:val="both"/>
                    <w:rPr>
                      <w:rFonts w:ascii="Arial" w:hAnsi="Arial" w:cs="Arial"/>
                      <w:b/>
                      <w:color w:val="DC0D15"/>
                      <w:sz w:val="20"/>
                      <w:szCs w:val="20"/>
                    </w:rPr>
                  </w:pPr>
                  <w:r w:rsidRPr="00DD7181">
                    <w:rPr>
                      <w:rFonts w:ascii="Arial" w:hAnsi="Arial" w:cs="Arial"/>
                      <w:b/>
                      <w:color w:val="DC0D15"/>
                      <w:sz w:val="20"/>
                      <w:szCs w:val="20"/>
                    </w:rPr>
                    <w:t>Treasury management arrangements are appropriately directed and well controlled.</w:t>
                  </w:r>
                </w:p>
              </w:tc>
            </w:tr>
          </w:tbl>
          <w:p w:rsidR="008A247D" w:rsidRPr="008A247D" w:rsidRDefault="008A247D" w:rsidP="008A247D">
            <w:pPr>
              <w:spacing w:before="60" w:after="60"/>
              <w:rPr>
                <w:rFonts w:ascii="Arial" w:hAnsi="Arial" w:cs="Arial"/>
              </w:rPr>
            </w:pPr>
          </w:p>
        </w:tc>
      </w:tr>
      <w:tr w:rsidR="008A247D" w:rsidRPr="008A247D" w:rsidTr="008A247D">
        <w:trPr>
          <w:trHeight w:val="397"/>
          <w:jc w:val="center"/>
        </w:trPr>
        <w:tc>
          <w:tcPr>
            <w:tcW w:w="7597" w:type="dxa"/>
            <w:tcBorders>
              <w:bottom w:val="nil"/>
            </w:tcBorders>
            <w:shd w:val="clear" w:color="auto" w:fill="D9D9D9"/>
          </w:tcPr>
          <w:p w:rsidR="008A247D" w:rsidRPr="008A247D" w:rsidRDefault="008A247D" w:rsidP="008A247D">
            <w:pPr>
              <w:spacing w:before="60" w:after="60"/>
              <w:rPr>
                <w:rFonts w:ascii="Arial" w:hAnsi="Arial" w:cs="Arial"/>
                <w:b/>
                <w:color w:val="163D82"/>
                <w:sz w:val="20"/>
              </w:rPr>
            </w:pPr>
            <w:r w:rsidRPr="008A247D">
              <w:rPr>
                <w:rFonts w:ascii="Arial" w:hAnsi="Arial" w:cs="Arial"/>
                <w:b/>
                <w:color w:val="163D82"/>
                <w:sz w:val="20"/>
              </w:rPr>
              <w:t>SCOPE</w:t>
            </w:r>
          </w:p>
        </w:tc>
        <w:tc>
          <w:tcPr>
            <w:tcW w:w="7597" w:type="dxa"/>
            <w:tcBorders>
              <w:bottom w:val="nil"/>
            </w:tcBorders>
            <w:shd w:val="clear" w:color="auto" w:fill="D9D9D9"/>
          </w:tcPr>
          <w:p w:rsidR="008A247D" w:rsidRPr="008A247D" w:rsidRDefault="008A247D" w:rsidP="008A247D">
            <w:pPr>
              <w:spacing w:before="60" w:after="60"/>
              <w:rPr>
                <w:rFonts w:ascii="Arial" w:hAnsi="Arial" w:cs="Arial"/>
                <w:b/>
                <w:color w:val="163D82"/>
                <w:sz w:val="20"/>
              </w:rPr>
            </w:pPr>
            <w:r w:rsidRPr="008A247D">
              <w:rPr>
                <w:rFonts w:ascii="Arial" w:hAnsi="Arial" w:cs="Arial"/>
                <w:b/>
                <w:color w:val="163D82"/>
                <w:sz w:val="20"/>
              </w:rPr>
              <w:t>ACTION POINTS</w:t>
            </w:r>
          </w:p>
        </w:tc>
      </w:tr>
      <w:tr w:rsidR="008A247D" w:rsidRPr="008A247D" w:rsidTr="008A247D">
        <w:trPr>
          <w:trHeight w:val="1701"/>
          <w:jc w:val="center"/>
        </w:trPr>
        <w:tc>
          <w:tcPr>
            <w:tcW w:w="7597" w:type="dxa"/>
            <w:tcBorders>
              <w:top w:val="nil"/>
            </w:tcBorders>
            <w:shd w:val="clear" w:color="auto" w:fill="auto"/>
          </w:tcPr>
          <w:p w:rsidR="008A247D" w:rsidRPr="008A247D" w:rsidRDefault="008A247D" w:rsidP="00DD7181">
            <w:pPr>
              <w:spacing w:before="60" w:after="60" w:line="271" w:lineRule="auto"/>
              <w:jc w:val="both"/>
              <w:rPr>
                <w:rFonts w:ascii="Arial" w:hAnsi="Arial" w:cs="Arial"/>
                <w:color w:val="000000"/>
                <w:sz w:val="20"/>
              </w:rPr>
            </w:pPr>
            <w:r>
              <w:rPr>
                <w:rFonts w:ascii="Arial" w:hAnsi="Arial" w:cs="Arial"/>
                <w:color w:val="000000"/>
                <w:sz w:val="20"/>
              </w:rPr>
              <w:t>The review</w:t>
            </w:r>
            <w:r w:rsidRPr="008A247D">
              <w:rPr>
                <w:rFonts w:ascii="Arial" w:hAnsi="Arial" w:cs="Arial"/>
                <w:color w:val="000000"/>
                <w:sz w:val="20"/>
              </w:rPr>
              <w:t xml:space="preserve"> assess</w:t>
            </w:r>
            <w:r>
              <w:rPr>
                <w:rFonts w:ascii="Arial" w:hAnsi="Arial" w:cs="Arial"/>
                <w:color w:val="000000"/>
                <w:sz w:val="20"/>
              </w:rPr>
              <w:t>ed</w:t>
            </w:r>
            <w:r w:rsidRPr="008A247D">
              <w:rPr>
                <w:rFonts w:ascii="Arial" w:hAnsi="Arial" w:cs="Arial"/>
                <w:color w:val="000000"/>
                <w:sz w:val="20"/>
              </w:rPr>
              <w:t xml:space="preserve"> the adequacy and effectiveness of the internal controls in place at the Constabulary for managing the </w:t>
            </w:r>
            <w:r>
              <w:rPr>
                <w:rFonts w:ascii="Arial" w:hAnsi="Arial" w:cs="Arial"/>
                <w:color w:val="000000"/>
                <w:sz w:val="20"/>
              </w:rPr>
              <w:t xml:space="preserve">following key financial systems: </w:t>
            </w:r>
            <w:r w:rsidRPr="008A247D">
              <w:rPr>
                <w:rFonts w:ascii="Arial" w:hAnsi="Arial" w:cs="Arial"/>
                <w:color w:val="000000"/>
                <w:sz w:val="20"/>
              </w:rPr>
              <w:t>Accounts Receivable</w:t>
            </w:r>
            <w:r>
              <w:rPr>
                <w:rFonts w:ascii="Arial" w:hAnsi="Arial" w:cs="Arial"/>
                <w:color w:val="000000"/>
                <w:sz w:val="20"/>
              </w:rPr>
              <w:t xml:space="preserve">; </w:t>
            </w:r>
            <w:r w:rsidRPr="008A247D">
              <w:rPr>
                <w:rFonts w:ascii="Arial" w:hAnsi="Arial" w:cs="Arial"/>
                <w:color w:val="000000"/>
                <w:sz w:val="20"/>
              </w:rPr>
              <w:t>Accounts Payable</w:t>
            </w:r>
            <w:r>
              <w:rPr>
                <w:rFonts w:ascii="Arial" w:hAnsi="Arial" w:cs="Arial"/>
                <w:color w:val="000000"/>
                <w:sz w:val="20"/>
              </w:rPr>
              <w:t xml:space="preserve">; </w:t>
            </w:r>
            <w:r w:rsidRPr="008A247D">
              <w:rPr>
                <w:rFonts w:ascii="Arial" w:hAnsi="Arial" w:cs="Arial"/>
                <w:color w:val="000000"/>
                <w:sz w:val="20"/>
              </w:rPr>
              <w:t>General Ledger</w:t>
            </w:r>
            <w:r>
              <w:rPr>
                <w:rFonts w:ascii="Arial" w:hAnsi="Arial" w:cs="Arial"/>
                <w:color w:val="000000"/>
                <w:sz w:val="20"/>
              </w:rPr>
              <w:t xml:space="preserve"> and </w:t>
            </w:r>
            <w:r w:rsidRPr="008A247D">
              <w:rPr>
                <w:rFonts w:ascii="Arial" w:hAnsi="Arial" w:cs="Arial"/>
                <w:color w:val="000000"/>
                <w:sz w:val="20"/>
              </w:rPr>
              <w:t>Treasury Management</w:t>
            </w:r>
            <w:r>
              <w:rPr>
                <w:rFonts w:ascii="Arial" w:hAnsi="Arial" w:cs="Arial"/>
                <w:color w:val="000000"/>
                <w:sz w:val="20"/>
              </w:rPr>
              <w:t xml:space="preserve">. </w:t>
            </w:r>
          </w:p>
          <w:p w:rsidR="008A247D" w:rsidRPr="008A247D" w:rsidRDefault="008A247D" w:rsidP="00DD7181">
            <w:pPr>
              <w:spacing w:before="60" w:after="60" w:line="271" w:lineRule="auto"/>
              <w:jc w:val="both"/>
              <w:rPr>
                <w:rFonts w:ascii="Arial" w:hAnsi="Arial" w:cs="Arial"/>
                <w:color w:val="000000"/>
                <w:sz w:val="20"/>
              </w:rPr>
            </w:pPr>
            <w:r w:rsidRPr="008A247D">
              <w:rPr>
                <w:rFonts w:ascii="Arial" w:hAnsi="Arial" w:cs="Arial"/>
                <w:color w:val="000000"/>
                <w:sz w:val="20"/>
              </w:rPr>
              <w:t xml:space="preserve">The review </w:t>
            </w:r>
            <w:r>
              <w:rPr>
                <w:rFonts w:ascii="Arial" w:hAnsi="Arial" w:cs="Arial"/>
                <w:color w:val="000000"/>
                <w:sz w:val="20"/>
              </w:rPr>
              <w:t>considered</w:t>
            </w:r>
            <w:r w:rsidRPr="008A247D">
              <w:rPr>
                <w:rFonts w:ascii="Arial" w:hAnsi="Arial" w:cs="Arial"/>
                <w:color w:val="000000"/>
                <w:sz w:val="20"/>
              </w:rPr>
              <w:t xml:space="preserve"> that financial transactions </w:t>
            </w:r>
            <w:r>
              <w:rPr>
                <w:rFonts w:ascii="Arial" w:hAnsi="Arial" w:cs="Arial"/>
                <w:color w:val="000000"/>
                <w:sz w:val="20"/>
              </w:rPr>
              <w:t>were</w:t>
            </w:r>
            <w:r w:rsidRPr="008A247D">
              <w:rPr>
                <w:rFonts w:ascii="Arial" w:hAnsi="Arial" w:cs="Arial"/>
                <w:color w:val="000000"/>
                <w:sz w:val="20"/>
              </w:rPr>
              <w:t xml:space="preserve"> complete and accurately recorded on a timely basis within the Financial Ledger, thus ensuring the integrity of all financial information reported, included management accounts and financial accounts.</w:t>
            </w:r>
          </w:p>
          <w:p w:rsidR="008A247D" w:rsidRPr="00197807" w:rsidRDefault="008A247D" w:rsidP="008A247D">
            <w:pPr>
              <w:spacing w:before="60" w:after="60"/>
              <w:jc w:val="both"/>
              <w:rPr>
                <w:rFonts w:ascii="Arial" w:hAnsi="Arial" w:cs="Arial"/>
                <w:color w:val="000000"/>
                <w:sz w:val="2"/>
              </w:rPr>
            </w:pPr>
          </w:p>
        </w:tc>
        <w:tc>
          <w:tcPr>
            <w:tcW w:w="7597" w:type="dxa"/>
            <w:tcBorders>
              <w:top w:val="nil"/>
            </w:tcBorders>
            <w:shd w:val="clear" w:color="auto" w:fill="auto"/>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8A247D" w:rsidTr="008A247D">
              <w:trPr>
                <w:trHeight w:val="567"/>
                <w:jc w:val="center"/>
              </w:trPr>
              <w:tc>
                <w:tcPr>
                  <w:tcW w:w="1587" w:type="dxa"/>
                  <w:shd w:val="clear" w:color="auto" w:fill="163D82"/>
                </w:tcPr>
                <w:p w:rsidR="008A247D" w:rsidRPr="008A247D" w:rsidRDefault="008A247D" w:rsidP="008A247D">
                  <w:pPr>
                    <w:spacing w:before="60" w:after="60"/>
                    <w:jc w:val="center"/>
                    <w:rPr>
                      <w:rFonts w:ascii="Arial" w:hAnsi="Arial" w:cs="Arial"/>
                      <w:b/>
                      <w:color w:val="FFFFFF"/>
                      <w:sz w:val="20"/>
                    </w:rPr>
                  </w:pPr>
                  <w:r w:rsidRPr="008A247D">
                    <w:rPr>
                      <w:rFonts w:ascii="Arial" w:hAnsi="Arial" w:cs="Arial"/>
                      <w:b/>
                      <w:color w:val="FFFFFF"/>
                      <w:sz w:val="20"/>
                    </w:rPr>
                    <w:t>Urgent</w:t>
                  </w:r>
                </w:p>
              </w:tc>
              <w:tc>
                <w:tcPr>
                  <w:tcW w:w="1587" w:type="dxa"/>
                  <w:shd w:val="clear" w:color="auto" w:fill="163D82"/>
                </w:tcPr>
                <w:p w:rsidR="008A247D" w:rsidRPr="008A247D" w:rsidRDefault="008A247D" w:rsidP="008A247D">
                  <w:pPr>
                    <w:spacing w:before="60" w:after="60"/>
                    <w:jc w:val="center"/>
                    <w:rPr>
                      <w:rFonts w:ascii="Arial" w:hAnsi="Arial" w:cs="Arial"/>
                      <w:b/>
                      <w:color w:val="FFFFFF"/>
                      <w:sz w:val="20"/>
                    </w:rPr>
                  </w:pPr>
                  <w:r w:rsidRPr="008A247D">
                    <w:rPr>
                      <w:rFonts w:ascii="Arial" w:hAnsi="Arial" w:cs="Arial"/>
                      <w:b/>
                      <w:color w:val="FFFFFF"/>
                      <w:sz w:val="20"/>
                    </w:rPr>
                    <w:t>Important</w:t>
                  </w:r>
                </w:p>
              </w:tc>
              <w:tc>
                <w:tcPr>
                  <w:tcW w:w="1587" w:type="dxa"/>
                  <w:shd w:val="clear" w:color="auto" w:fill="163D82"/>
                </w:tcPr>
                <w:p w:rsidR="008A247D" w:rsidRPr="008A247D" w:rsidRDefault="008A247D" w:rsidP="008A247D">
                  <w:pPr>
                    <w:spacing w:before="60" w:after="60"/>
                    <w:jc w:val="center"/>
                    <w:rPr>
                      <w:rFonts w:ascii="Arial" w:hAnsi="Arial" w:cs="Arial"/>
                      <w:b/>
                      <w:color w:val="FFFFFF"/>
                      <w:sz w:val="20"/>
                    </w:rPr>
                  </w:pPr>
                  <w:r w:rsidRPr="008A247D">
                    <w:rPr>
                      <w:rFonts w:ascii="Arial" w:hAnsi="Arial" w:cs="Arial"/>
                      <w:b/>
                      <w:color w:val="FFFFFF"/>
                      <w:sz w:val="20"/>
                    </w:rPr>
                    <w:t>Routine</w:t>
                  </w:r>
                </w:p>
              </w:tc>
              <w:tc>
                <w:tcPr>
                  <w:tcW w:w="1587" w:type="dxa"/>
                  <w:shd w:val="clear" w:color="auto" w:fill="163D82"/>
                </w:tcPr>
                <w:p w:rsidR="008A247D" w:rsidRPr="008A247D" w:rsidRDefault="008A247D" w:rsidP="008A247D">
                  <w:pPr>
                    <w:spacing w:before="60" w:after="60"/>
                    <w:jc w:val="center"/>
                    <w:rPr>
                      <w:rFonts w:ascii="Arial" w:hAnsi="Arial" w:cs="Arial"/>
                      <w:b/>
                      <w:color w:val="FFFFFF"/>
                      <w:sz w:val="20"/>
                    </w:rPr>
                  </w:pPr>
                  <w:r w:rsidRPr="008A247D">
                    <w:rPr>
                      <w:rFonts w:ascii="Arial" w:hAnsi="Arial" w:cs="Arial"/>
                      <w:b/>
                      <w:color w:val="FFFFFF"/>
                      <w:sz w:val="20"/>
                    </w:rPr>
                    <w:t>Operational</w:t>
                  </w:r>
                </w:p>
              </w:tc>
            </w:tr>
            <w:tr w:rsidR="008A247D" w:rsidTr="008A247D">
              <w:trPr>
                <w:trHeight w:val="567"/>
                <w:jc w:val="center"/>
              </w:trPr>
              <w:tc>
                <w:tcPr>
                  <w:tcW w:w="1587" w:type="dxa"/>
                  <w:shd w:val="clear" w:color="auto" w:fill="F3F3F3"/>
                </w:tcPr>
                <w:p w:rsidR="008A247D" w:rsidRPr="008A247D" w:rsidRDefault="008A247D" w:rsidP="008A247D">
                  <w:pPr>
                    <w:spacing w:before="60" w:after="60"/>
                    <w:jc w:val="center"/>
                    <w:rPr>
                      <w:rFonts w:ascii="Arial" w:hAnsi="Arial" w:cs="Arial"/>
                      <w:b/>
                      <w:color w:val="000000"/>
                      <w:sz w:val="20"/>
                    </w:rPr>
                  </w:pPr>
                  <w:r w:rsidRPr="008A247D">
                    <w:rPr>
                      <w:rFonts w:ascii="Arial" w:hAnsi="Arial" w:cs="Arial"/>
                      <w:b/>
                      <w:color w:val="000000"/>
                      <w:sz w:val="20"/>
                    </w:rPr>
                    <w:t>0</w:t>
                  </w:r>
                </w:p>
              </w:tc>
              <w:tc>
                <w:tcPr>
                  <w:tcW w:w="1587" w:type="dxa"/>
                  <w:shd w:val="clear" w:color="auto" w:fill="F3F3F3"/>
                </w:tcPr>
                <w:p w:rsidR="008A247D" w:rsidRPr="008A247D" w:rsidRDefault="009265C5" w:rsidP="008A247D">
                  <w:pPr>
                    <w:spacing w:before="60" w:after="60"/>
                    <w:jc w:val="center"/>
                    <w:rPr>
                      <w:rFonts w:ascii="Arial" w:hAnsi="Arial" w:cs="Arial"/>
                      <w:b/>
                      <w:color w:val="000000"/>
                      <w:sz w:val="20"/>
                    </w:rPr>
                  </w:pPr>
                  <w:r>
                    <w:rPr>
                      <w:rFonts w:ascii="Arial" w:hAnsi="Arial" w:cs="Arial"/>
                      <w:b/>
                      <w:color w:val="000000"/>
                      <w:sz w:val="20"/>
                    </w:rPr>
                    <w:t>2</w:t>
                  </w:r>
                </w:p>
              </w:tc>
              <w:tc>
                <w:tcPr>
                  <w:tcW w:w="1587" w:type="dxa"/>
                  <w:shd w:val="clear" w:color="auto" w:fill="F3F3F3"/>
                </w:tcPr>
                <w:p w:rsidR="008A247D" w:rsidRPr="008A247D" w:rsidRDefault="009265C5" w:rsidP="008A247D">
                  <w:pPr>
                    <w:spacing w:before="60" w:after="60"/>
                    <w:jc w:val="center"/>
                    <w:rPr>
                      <w:rFonts w:ascii="Arial" w:hAnsi="Arial" w:cs="Arial"/>
                      <w:b/>
                      <w:color w:val="000000"/>
                      <w:sz w:val="20"/>
                    </w:rPr>
                  </w:pPr>
                  <w:r>
                    <w:rPr>
                      <w:rFonts w:ascii="Arial" w:hAnsi="Arial" w:cs="Arial"/>
                      <w:b/>
                      <w:color w:val="000000"/>
                      <w:sz w:val="20"/>
                    </w:rPr>
                    <w:t>1</w:t>
                  </w:r>
                </w:p>
              </w:tc>
              <w:tc>
                <w:tcPr>
                  <w:tcW w:w="1587" w:type="dxa"/>
                  <w:shd w:val="clear" w:color="auto" w:fill="F3F3F3"/>
                </w:tcPr>
                <w:p w:rsidR="008A247D" w:rsidRPr="008A247D" w:rsidRDefault="008A247D" w:rsidP="008A247D">
                  <w:pPr>
                    <w:spacing w:before="60" w:after="60"/>
                    <w:jc w:val="center"/>
                    <w:rPr>
                      <w:rFonts w:ascii="Arial" w:hAnsi="Arial" w:cs="Arial"/>
                      <w:b/>
                      <w:color w:val="000000"/>
                      <w:sz w:val="20"/>
                    </w:rPr>
                  </w:pPr>
                  <w:r w:rsidRPr="008A247D">
                    <w:rPr>
                      <w:rFonts w:ascii="Arial" w:hAnsi="Arial" w:cs="Arial"/>
                      <w:b/>
                      <w:color w:val="000000"/>
                      <w:sz w:val="20"/>
                    </w:rPr>
                    <w:t>0</w:t>
                  </w:r>
                </w:p>
              </w:tc>
            </w:tr>
          </w:tbl>
          <w:p w:rsidR="008A247D" w:rsidRPr="008A247D" w:rsidRDefault="008A247D" w:rsidP="008A247D">
            <w:pPr>
              <w:spacing w:before="60" w:after="60"/>
              <w:rPr>
                <w:rFonts w:ascii="Arial" w:hAnsi="Arial" w:cs="Arial"/>
              </w:rPr>
            </w:pPr>
          </w:p>
        </w:tc>
      </w:tr>
    </w:tbl>
    <w:p w:rsidR="008A247D" w:rsidRDefault="008A247D" w:rsidP="008A247D">
      <w:pPr>
        <w:spacing w:after="120"/>
        <w:jc w:val="center"/>
        <w:sectPr w:rsidR="008A247D" w:rsidSect="008A247D">
          <w:headerReference w:type="default" r:id="rId12"/>
          <w:footerReference w:type="default" r:id="rId13"/>
          <w:headerReference w:type="first" r:id="rId14"/>
          <w:footerReference w:type="first" r:id="rId15"/>
          <w:pgSz w:w="16838" w:h="11906" w:orient="landscape"/>
          <w:pgMar w:top="850" w:right="850" w:bottom="850" w:left="850" w:header="708" w:footer="708" w:gutter="0"/>
          <w:pgNumType w:start="1"/>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8A247D" w:rsidTr="008A247D">
        <w:trPr>
          <w:trHeight w:hRule="exact" w:val="624"/>
        </w:trPr>
        <w:tc>
          <w:tcPr>
            <w:tcW w:w="15194" w:type="dxa"/>
            <w:shd w:val="clear" w:color="auto" w:fill="FFFFFF"/>
            <w:tcMar>
              <w:bottom w:w="20" w:type="dxa"/>
            </w:tcMar>
          </w:tcPr>
          <w:p w:rsidR="008A247D" w:rsidRPr="008A247D" w:rsidRDefault="008A247D" w:rsidP="008A247D">
            <w:pPr>
              <w:spacing w:before="120" w:after="120"/>
              <w:rPr>
                <w:rFonts w:ascii="Arial" w:hAnsi="Arial" w:cs="Arial"/>
                <w:b/>
                <w:color w:val="163D82"/>
                <w:sz w:val="32"/>
              </w:rPr>
            </w:pPr>
            <w:r>
              <w:rPr>
                <w:rFonts w:ascii="Arial" w:hAnsi="Arial" w:cs="Arial"/>
                <w:b/>
                <w:color w:val="163D82"/>
                <w:sz w:val="32"/>
              </w:rPr>
              <w:lastRenderedPageBreak/>
              <w:t>Management Action Plan - Priority 1, 2 and 3 Recommendations</w:t>
            </w:r>
          </w:p>
        </w:tc>
      </w:tr>
    </w:tbl>
    <w:p w:rsidR="008A247D" w:rsidRPr="00E640A1" w:rsidRDefault="008A247D" w:rsidP="008A247D">
      <w:pPr>
        <w:spacing w:after="120"/>
        <w:rPr>
          <w:sz w:val="8"/>
          <w:szCs w:val="8"/>
        </w:rPr>
      </w:pPr>
    </w:p>
    <w:tbl>
      <w:tblPr>
        <w:tblW w:w="1508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740"/>
        <w:gridCol w:w="1213"/>
      </w:tblGrid>
      <w:tr w:rsidR="008A247D" w:rsidRPr="008A247D" w:rsidTr="008A247D">
        <w:trPr>
          <w:tblHeader/>
          <w:jc w:val="center"/>
        </w:trPr>
        <w:tc>
          <w:tcPr>
            <w:tcW w:w="556" w:type="dxa"/>
            <w:shd w:val="clear" w:color="auto" w:fill="D9D9D9"/>
          </w:tcPr>
          <w:p w:rsidR="008A247D" w:rsidRPr="008A247D" w:rsidRDefault="008A247D" w:rsidP="008A247D">
            <w:pPr>
              <w:spacing w:before="60" w:after="60"/>
              <w:jc w:val="center"/>
              <w:rPr>
                <w:rFonts w:ascii="Arial" w:hAnsi="Arial" w:cs="Arial"/>
                <w:b/>
                <w:color w:val="163D82"/>
                <w:sz w:val="16"/>
              </w:rPr>
            </w:pPr>
            <w:bookmarkStart w:id="2" w:name="section3"/>
            <w:bookmarkEnd w:id="2"/>
            <w:r w:rsidRPr="008A247D">
              <w:rPr>
                <w:rFonts w:ascii="Arial" w:hAnsi="Arial" w:cs="Arial"/>
                <w:b/>
                <w:color w:val="163D82"/>
                <w:sz w:val="16"/>
              </w:rPr>
              <w:t>Rec.</w:t>
            </w:r>
          </w:p>
        </w:tc>
        <w:tc>
          <w:tcPr>
            <w:tcW w:w="1514" w:type="dxa"/>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Risk Area</w:t>
            </w:r>
          </w:p>
        </w:tc>
        <w:tc>
          <w:tcPr>
            <w:tcW w:w="3260" w:type="dxa"/>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Finding</w:t>
            </w:r>
          </w:p>
        </w:tc>
        <w:tc>
          <w:tcPr>
            <w:tcW w:w="2971" w:type="dxa"/>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Recommendation</w:t>
            </w:r>
          </w:p>
        </w:tc>
        <w:tc>
          <w:tcPr>
            <w:tcW w:w="850" w:type="dxa"/>
            <w:tcBorders>
              <w:bottom w:val="single" w:sz="12" w:space="0" w:color="BFBFBF"/>
            </w:tcBorders>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Priority</w:t>
            </w:r>
          </w:p>
        </w:tc>
        <w:tc>
          <w:tcPr>
            <w:tcW w:w="2976" w:type="dxa"/>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Management</w:t>
            </w:r>
          </w:p>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Comments</w:t>
            </w:r>
          </w:p>
        </w:tc>
        <w:tc>
          <w:tcPr>
            <w:tcW w:w="1740" w:type="dxa"/>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Implementation</w:t>
            </w:r>
          </w:p>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Timetable</w:t>
            </w:r>
          </w:p>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(dd/mm/yy)</w:t>
            </w:r>
          </w:p>
        </w:tc>
        <w:tc>
          <w:tcPr>
            <w:tcW w:w="1213" w:type="dxa"/>
            <w:shd w:val="clear" w:color="auto" w:fill="D9D9D9"/>
          </w:tcPr>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Responsible</w:t>
            </w:r>
          </w:p>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Officer</w:t>
            </w:r>
          </w:p>
          <w:p w:rsidR="008A247D" w:rsidRPr="008A247D" w:rsidRDefault="008A247D" w:rsidP="008A247D">
            <w:pPr>
              <w:spacing w:before="60" w:after="60"/>
              <w:jc w:val="center"/>
              <w:rPr>
                <w:rFonts w:ascii="Arial" w:hAnsi="Arial" w:cs="Arial"/>
                <w:b/>
                <w:color w:val="163D82"/>
                <w:sz w:val="16"/>
              </w:rPr>
            </w:pPr>
            <w:r w:rsidRPr="008A247D">
              <w:rPr>
                <w:rFonts w:ascii="Arial" w:hAnsi="Arial" w:cs="Arial"/>
                <w:b/>
                <w:color w:val="163D82"/>
                <w:sz w:val="16"/>
              </w:rPr>
              <w:t>(Job Title)</w:t>
            </w:r>
          </w:p>
        </w:tc>
      </w:tr>
      <w:tr w:rsidR="008A247D" w:rsidRPr="008A247D" w:rsidTr="008A247D">
        <w:trPr>
          <w:jc w:val="center"/>
        </w:trPr>
        <w:tc>
          <w:tcPr>
            <w:tcW w:w="556" w:type="dxa"/>
          </w:tcPr>
          <w:p w:rsidR="008A247D" w:rsidRPr="008A247D" w:rsidRDefault="008A247D" w:rsidP="008A247D">
            <w:pPr>
              <w:spacing w:before="60" w:after="60"/>
              <w:jc w:val="center"/>
              <w:rPr>
                <w:rFonts w:ascii="Arial" w:hAnsi="Arial" w:cs="Arial"/>
                <w:color w:val="000000"/>
                <w:sz w:val="18"/>
              </w:rPr>
            </w:pPr>
            <w:r w:rsidRPr="008A247D">
              <w:rPr>
                <w:rFonts w:ascii="Arial" w:hAnsi="Arial" w:cs="Arial"/>
                <w:color w:val="000000"/>
                <w:sz w:val="18"/>
              </w:rPr>
              <w:t>1</w:t>
            </w:r>
          </w:p>
        </w:tc>
        <w:tc>
          <w:tcPr>
            <w:tcW w:w="1514" w:type="dxa"/>
          </w:tcPr>
          <w:p w:rsidR="008A247D" w:rsidRPr="008A247D" w:rsidRDefault="008A247D" w:rsidP="008A247D">
            <w:pPr>
              <w:spacing w:before="60" w:after="60"/>
              <w:jc w:val="center"/>
              <w:rPr>
                <w:rFonts w:ascii="Arial" w:hAnsi="Arial" w:cs="Arial"/>
                <w:color w:val="000000"/>
                <w:sz w:val="18"/>
              </w:rPr>
            </w:pPr>
            <w:r w:rsidRPr="008A247D">
              <w:rPr>
                <w:rFonts w:ascii="Arial" w:hAnsi="Arial" w:cs="Arial"/>
                <w:color w:val="000000"/>
                <w:sz w:val="18"/>
              </w:rPr>
              <w:t>Compliance</w:t>
            </w:r>
          </w:p>
        </w:tc>
        <w:tc>
          <w:tcPr>
            <w:tcW w:w="3260" w:type="dxa"/>
          </w:tcPr>
          <w:p w:rsidR="00905383" w:rsidRDefault="008A247D" w:rsidP="00905383">
            <w:pPr>
              <w:spacing w:before="60" w:after="60"/>
              <w:jc w:val="both"/>
              <w:rPr>
                <w:rFonts w:ascii="Arial" w:hAnsi="Arial" w:cs="Arial"/>
                <w:color w:val="000000"/>
                <w:sz w:val="18"/>
              </w:rPr>
            </w:pPr>
            <w:r w:rsidRPr="008A247D">
              <w:rPr>
                <w:rFonts w:ascii="Arial" w:hAnsi="Arial" w:cs="Arial"/>
                <w:color w:val="000000"/>
                <w:sz w:val="18"/>
              </w:rPr>
              <w:t xml:space="preserve">It was advised that the Oracle system does not permit a report to be run to identify when supplier banks details have been changed. </w:t>
            </w:r>
          </w:p>
          <w:p w:rsidR="008A247D" w:rsidRPr="008A247D" w:rsidRDefault="00905383" w:rsidP="00021F84">
            <w:pPr>
              <w:spacing w:before="60" w:after="60"/>
              <w:jc w:val="both"/>
              <w:rPr>
                <w:rFonts w:ascii="Arial" w:hAnsi="Arial" w:cs="Arial"/>
                <w:color w:val="000000"/>
                <w:sz w:val="18"/>
              </w:rPr>
            </w:pPr>
            <w:r>
              <w:rPr>
                <w:rFonts w:ascii="Arial" w:hAnsi="Arial" w:cs="Arial"/>
                <w:color w:val="000000"/>
                <w:sz w:val="18"/>
              </w:rPr>
              <w:t>Testing identified that the checking of supplier details changes is not undertaken as a standard control, although there was evidence to support that it had been undertaken for four out of five bank account changes that were able to be identified from hardcopy paperwork held by the Finance team.</w:t>
            </w:r>
          </w:p>
        </w:tc>
        <w:tc>
          <w:tcPr>
            <w:tcW w:w="2971" w:type="dxa"/>
          </w:tcPr>
          <w:p w:rsidR="008A247D" w:rsidRPr="008A247D" w:rsidRDefault="00905383" w:rsidP="008A247D">
            <w:pPr>
              <w:spacing w:before="60" w:after="60"/>
              <w:jc w:val="both"/>
              <w:rPr>
                <w:rFonts w:ascii="Arial" w:hAnsi="Arial" w:cs="Arial"/>
                <w:color w:val="000000"/>
                <w:sz w:val="18"/>
              </w:rPr>
            </w:pPr>
            <w:r w:rsidRPr="00905383">
              <w:rPr>
                <w:rFonts w:ascii="Arial" w:hAnsi="Arial" w:cs="Arial"/>
                <w:color w:val="000000"/>
                <w:sz w:val="18"/>
              </w:rPr>
              <w:t>All supplier account details changes be verified with the supplier using existing contact details before the change is made.</w:t>
            </w:r>
          </w:p>
        </w:tc>
        <w:tc>
          <w:tcPr>
            <w:tcW w:w="850" w:type="dxa"/>
            <w:tcBorders>
              <w:bottom w:val="single" w:sz="12" w:space="0" w:color="BFBFBF"/>
            </w:tcBorders>
            <w:shd w:val="clear" w:color="auto" w:fill="E5730F"/>
          </w:tcPr>
          <w:p w:rsidR="008A247D" w:rsidRPr="008A247D" w:rsidRDefault="008A247D" w:rsidP="008A247D">
            <w:pPr>
              <w:spacing w:before="60" w:after="60"/>
              <w:jc w:val="center"/>
              <w:rPr>
                <w:rFonts w:ascii="Arial" w:hAnsi="Arial" w:cs="Arial"/>
                <w:color w:val="FFFFFF"/>
                <w:sz w:val="18"/>
              </w:rPr>
            </w:pPr>
            <w:r w:rsidRPr="008A247D">
              <w:rPr>
                <w:rFonts w:ascii="Arial" w:hAnsi="Arial" w:cs="Arial"/>
                <w:color w:val="FFFFFF"/>
                <w:sz w:val="18"/>
              </w:rPr>
              <w:t>2</w:t>
            </w:r>
          </w:p>
        </w:tc>
        <w:tc>
          <w:tcPr>
            <w:tcW w:w="2976" w:type="dxa"/>
          </w:tcPr>
          <w:p w:rsidR="008A247D" w:rsidRPr="008A247D" w:rsidRDefault="006D022D" w:rsidP="00DD7181">
            <w:pPr>
              <w:spacing w:before="60" w:after="60"/>
              <w:jc w:val="both"/>
              <w:rPr>
                <w:rFonts w:ascii="Arial" w:hAnsi="Arial" w:cs="Arial"/>
                <w:i/>
                <w:color w:val="000000"/>
                <w:sz w:val="18"/>
              </w:rPr>
            </w:pPr>
            <w:r>
              <w:rPr>
                <w:rFonts w:ascii="Arial" w:hAnsi="Arial" w:cs="Arial"/>
                <w:i/>
                <w:color w:val="000000"/>
                <w:sz w:val="18"/>
              </w:rPr>
              <w:t>Note:</w:t>
            </w:r>
            <w:r w:rsidR="00AB3922">
              <w:rPr>
                <w:rFonts w:ascii="Arial" w:hAnsi="Arial" w:cs="Arial"/>
                <w:i/>
                <w:color w:val="000000"/>
                <w:sz w:val="18"/>
              </w:rPr>
              <w:t xml:space="preserve"> there is an audit log which identified who made the last change to an account. However we have since written a bespoke report which provides greater clarity regarding the changes. </w:t>
            </w:r>
          </w:p>
        </w:tc>
        <w:tc>
          <w:tcPr>
            <w:tcW w:w="1740" w:type="dxa"/>
          </w:tcPr>
          <w:p w:rsidR="008A247D" w:rsidRPr="008A247D" w:rsidRDefault="00DD7181" w:rsidP="008A247D">
            <w:pPr>
              <w:spacing w:before="60" w:after="60"/>
              <w:jc w:val="center"/>
              <w:rPr>
                <w:rFonts w:ascii="Arial" w:hAnsi="Arial" w:cs="Arial"/>
                <w:i/>
                <w:color w:val="000000"/>
                <w:sz w:val="18"/>
              </w:rPr>
            </w:pPr>
            <w:r>
              <w:rPr>
                <w:rFonts w:ascii="Arial" w:hAnsi="Arial" w:cs="Arial"/>
                <w:i/>
                <w:color w:val="000000"/>
                <w:sz w:val="18"/>
              </w:rPr>
              <w:t>31/12/17</w:t>
            </w:r>
          </w:p>
        </w:tc>
        <w:tc>
          <w:tcPr>
            <w:tcW w:w="1213" w:type="dxa"/>
          </w:tcPr>
          <w:p w:rsidR="008A247D" w:rsidRPr="008A247D" w:rsidRDefault="00AB3922" w:rsidP="008A247D">
            <w:pPr>
              <w:spacing w:before="60" w:after="60"/>
              <w:jc w:val="both"/>
              <w:rPr>
                <w:rFonts w:ascii="Arial" w:hAnsi="Arial" w:cs="Arial"/>
                <w:i/>
                <w:color w:val="000000"/>
                <w:sz w:val="18"/>
              </w:rPr>
            </w:pPr>
            <w:r>
              <w:rPr>
                <w:rFonts w:ascii="Arial" w:hAnsi="Arial" w:cs="Arial"/>
                <w:i/>
                <w:color w:val="000000"/>
                <w:sz w:val="18"/>
              </w:rPr>
              <w:t>Ged Gallagher</w:t>
            </w:r>
          </w:p>
        </w:tc>
      </w:tr>
      <w:tr w:rsidR="00905383" w:rsidRPr="008A247D" w:rsidTr="008A247D">
        <w:trPr>
          <w:jc w:val="center"/>
        </w:trPr>
        <w:tc>
          <w:tcPr>
            <w:tcW w:w="556" w:type="dxa"/>
          </w:tcPr>
          <w:p w:rsidR="00905383" w:rsidRPr="008A247D" w:rsidRDefault="00905383" w:rsidP="008A247D">
            <w:pPr>
              <w:spacing w:before="60" w:after="60"/>
              <w:jc w:val="center"/>
              <w:rPr>
                <w:rFonts w:ascii="Arial" w:hAnsi="Arial" w:cs="Arial"/>
                <w:color w:val="000000"/>
                <w:sz w:val="18"/>
              </w:rPr>
            </w:pPr>
            <w:r>
              <w:rPr>
                <w:rFonts w:ascii="Arial" w:hAnsi="Arial" w:cs="Arial"/>
                <w:color w:val="000000"/>
                <w:sz w:val="18"/>
              </w:rPr>
              <w:t>2</w:t>
            </w:r>
          </w:p>
        </w:tc>
        <w:tc>
          <w:tcPr>
            <w:tcW w:w="1514" w:type="dxa"/>
          </w:tcPr>
          <w:p w:rsidR="00905383" w:rsidRPr="008A247D" w:rsidRDefault="00905383" w:rsidP="008A247D">
            <w:pPr>
              <w:spacing w:before="60" w:after="60"/>
              <w:jc w:val="center"/>
              <w:rPr>
                <w:rFonts w:ascii="Arial" w:hAnsi="Arial" w:cs="Arial"/>
                <w:color w:val="000000"/>
                <w:sz w:val="18"/>
              </w:rPr>
            </w:pPr>
            <w:r>
              <w:rPr>
                <w:rFonts w:ascii="Arial" w:hAnsi="Arial" w:cs="Arial"/>
                <w:color w:val="000000"/>
                <w:sz w:val="18"/>
              </w:rPr>
              <w:t>Compliance</w:t>
            </w:r>
          </w:p>
        </w:tc>
        <w:tc>
          <w:tcPr>
            <w:tcW w:w="3260" w:type="dxa"/>
          </w:tcPr>
          <w:p w:rsidR="00905383" w:rsidRDefault="00905383" w:rsidP="00905383">
            <w:pPr>
              <w:spacing w:before="60" w:after="60"/>
              <w:jc w:val="both"/>
              <w:rPr>
                <w:rFonts w:ascii="Arial" w:hAnsi="Arial" w:cs="Arial"/>
                <w:color w:val="000000"/>
                <w:sz w:val="18"/>
              </w:rPr>
            </w:pPr>
            <w:r w:rsidRPr="008A247D">
              <w:rPr>
                <w:rFonts w:ascii="Arial" w:hAnsi="Arial" w:cs="Arial"/>
                <w:color w:val="000000"/>
                <w:sz w:val="18"/>
              </w:rPr>
              <w:t xml:space="preserve">It was advised that the Oracle system does not permit a report to be run to identify when supplier banks details have been changed. </w:t>
            </w:r>
          </w:p>
          <w:p w:rsidR="00905383" w:rsidRPr="008A247D" w:rsidRDefault="00905383" w:rsidP="00905383">
            <w:pPr>
              <w:spacing w:before="60" w:after="60"/>
              <w:jc w:val="both"/>
              <w:rPr>
                <w:rFonts w:ascii="Arial" w:hAnsi="Arial" w:cs="Arial"/>
                <w:color w:val="000000"/>
                <w:sz w:val="18"/>
              </w:rPr>
            </w:pPr>
            <w:r>
              <w:rPr>
                <w:rFonts w:ascii="Arial" w:hAnsi="Arial" w:cs="Arial"/>
                <w:color w:val="000000"/>
                <w:sz w:val="18"/>
              </w:rPr>
              <w:t>The use of having such a report would allow a check of any changes that may have been made between each payment run.</w:t>
            </w:r>
          </w:p>
        </w:tc>
        <w:tc>
          <w:tcPr>
            <w:tcW w:w="2971" w:type="dxa"/>
          </w:tcPr>
          <w:p w:rsidR="00905383" w:rsidRPr="00905383" w:rsidRDefault="00905383" w:rsidP="008A247D">
            <w:pPr>
              <w:spacing w:before="60" w:after="60"/>
              <w:jc w:val="both"/>
              <w:rPr>
                <w:rFonts w:ascii="Arial" w:hAnsi="Arial" w:cs="Arial"/>
                <w:color w:val="000000"/>
                <w:sz w:val="18"/>
              </w:rPr>
            </w:pPr>
            <w:r w:rsidRPr="00905383">
              <w:rPr>
                <w:rFonts w:ascii="Arial" w:hAnsi="Arial" w:cs="Arial"/>
                <w:color w:val="000000"/>
                <w:sz w:val="18"/>
              </w:rPr>
              <w:t>Investigations be undertaken to identify if the Oracle system ca</w:t>
            </w:r>
            <w:r>
              <w:rPr>
                <w:rFonts w:ascii="Arial" w:hAnsi="Arial" w:cs="Arial"/>
                <w:color w:val="000000"/>
                <w:sz w:val="18"/>
              </w:rPr>
              <w:t>n</w:t>
            </w:r>
            <w:r w:rsidRPr="00905383">
              <w:rPr>
                <w:rFonts w:ascii="Arial" w:hAnsi="Arial" w:cs="Arial"/>
                <w:color w:val="000000"/>
                <w:sz w:val="18"/>
              </w:rPr>
              <w:t xml:space="preserve"> be utilised to provide a report that identifies supplier detail changes, which would allow a check to be undertaken prior to each payment run.</w:t>
            </w:r>
          </w:p>
        </w:tc>
        <w:tc>
          <w:tcPr>
            <w:tcW w:w="850" w:type="dxa"/>
            <w:tcBorders>
              <w:bottom w:val="single" w:sz="12" w:space="0" w:color="BFBFBF"/>
            </w:tcBorders>
            <w:shd w:val="clear" w:color="auto" w:fill="E5730F"/>
          </w:tcPr>
          <w:p w:rsidR="00905383" w:rsidRPr="008A247D" w:rsidRDefault="00905383" w:rsidP="008A247D">
            <w:pPr>
              <w:spacing w:before="60" w:after="60"/>
              <w:jc w:val="center"/>
              <w:rPr>
                <w:rFonts w:ascii="Arial" w:hAnsi="Arial" w:cs="Arial"/>
                <w:color w:val="FFFFFF"/>
                <w:sz w:val="18"/>
              </w:rPr>
            </w:pPr>
            <w:r>
              <w:rPr>
                <w:rFonts w:ascii="Arial" w:hAnsi="Arial" w:cs="Arial"/>
                <w:color w:val="FFFFFF"/>
                <w:sz w:val="18"/>
              </w:rPr>
              <w:t>2</w:t>
            </w:r>
          </w:p>
        </w:tc>
        <w:tc>
          <w:tcPr>
            <w:tcW w:w="2976" w:type="dxa"/>
          </w:tcPr>
          <w:p w:rsidR="00905383" w:rsidRPr="008A247D" w:rsidRDefault="006D022D" w:rsidP="00DD7181">
            <w:pPr>
              <w:spacing w:before="60" w:after="60"/>
              <w:jc w:val="both"/>
              <w:rPr>
                <w:rFonts w:ascii="Arial" w:hAnsi="Arial" w:cs="Arial"/>
                <w:i/>
                <w:color w:val="000000"/>
                <w:sz w:val="18"/>
              </w:rPr>
            </w:pPr>
            <w:r>
              <w:rPr>
                <w:rFonts w:ascii="Arial" w:hAnsi="Arial" w:cs="Arial"/>
                <w:i/>
                <w:color w:val="000000"/>
                <w:sz w:val="18"/>
              </w:rPr>
              <w:t>Note:</w:t>
            </w:r>
            <w:r w:rsidR="00AB3922">
              <w:rPr>
                <w:rFonts w:ascii="Arial" w:hAnsi="Arial" w:cs="Arial"/>
                <w:i/>
                <w:color w:val="000000"/>
                <w:sz w:val="18"/>
              </w:rPr>
              <w:t xml:space="preserve"> there is an audit log which identified who made the last change to an account. However we have since written a bespoke report which provides greater clarity regarding the changes.</w:t>
            </w:r>
          </w:p>
        </w:tc>
        <w:tc>
          <w:tcPr>
            <w:tcW w:w="1740" w:type="dxa"/>
          </w:tcPr>
          <w:p w:rsidR="00905383" w:rsidRPr="008A247D" w:rsidRDefault="00DD7181" w:rsidP="008A247D">
            <w:pPr>
              <w:spacing w:before="60" w:after="60"/>
              <w:jc w:val="center"/>
              <w:rPr>
                <w:rFonts w:ascii="Arial" w:hAnsi="Arial" w:cs="Arial"/>
                <w:i/>
                <w:color w:val="000000"/>
                <w:sz w:val="18"/>
              </w:rPr>
            </w:pPr>
            <w:r>
              <w:rPr>
                <w:rFonts w:ascii="Arial" w:hAnsi="Arial" w:cs="Arial"/>
                <w:i/>
                <w:color w:val="000000"/>
                <w:sz w:val="18"/>
              </w:rPr>
              <w:t>31/12/17</w:t>
            </w:r>
          </w:p>
        </w:tc>
        <w:tc>
          <w:tcPr>
            <w:tcW w:w="1213" w:type="dxa"/>
          </w:tcPr>
          <w:p w:rsidR="00905383" w:rsidRPr="008A247D" w:rsidRDefault="00AB3922" w:rsidP="008A247D">
            <w:pPr>
              <w:spacing w:before="60" w:after="60"/>
              <w:jc w:val="both"/>
              <w:rPr>
                <w:rFonts w:ascii="Arial" w:hAnsi="Arial" w:cs="Arial"/>
                <w:i/>
                <w:color w:val="000000"/>
                <w:sz w:val="18"/>
              </w:rPr>
            </w:pPr>
            <w:r>
              <w:rPr>
                <w:rFonts w:ascii="Arial" w:hAnsi="Arial" w:cs="Arial"/>
                <w:i/>
                <w:color w:val="000000"/>
                <w:sz w:val="18"/>
              </w:rPr>
              <w:t>Ged Gallagher</w:t>
            </w:r>
          </w:p>
        </w:tc>
      </w:tr>
      <w:tr w:rsidR="008A247D" w:rsidRPr="008A247D" w:rsidTr="008A247D">
        <w:trPr>
          <w:jc w:val="center"/>
        </w:trPr>
        <w:tc>
          <w:tcPr>
            <w:tcW w:w="556" w:type="dxa"/>
          </w:tcPr>
          <w:p w:rsidR="008A247D" w:rsidRPr="008A247D" w:rsidRDefault="008A247D" w:rsidP="008A247D">
            <w:pPr>
              <w:spacing w:before="60" w:after="60"/>
              <w:jc w:val="center"/>
              <w:rPr>
                <w:rFonts w:ascii="Arial" w:hAnsi="Arial" w:cs="Arial"/>
                <w:color w:val="000000"/>
                <w:sz w:val="18"/>
              </w:rPr>
            </w:pPr>
            <w:r w:rsidRPr="008A247D">
              <w:rPr>
                <w:rFonts w:ascii="Arial" w:hAnsi="Arial" w:cs="Arial"/>
                <w:color w:val="000000"/>
                <w:sz w:val="18"/>
              </w:rPr>
              <w:t>2</w:t>
            </w:r>
          </w:p>
        </w:tc>
        <w:tc>
          <w:tcPr>
            <w:tcW w:w="1514" w:type="dxa"/>
          </w:tcPr>
          <w:p w:rsidR="008A247D" w:rsidRPr="008A247D" w:rsidRDefault="008A247D" w:rsidP="008A247D">
            <w:pPr>
              <w:spacing w:before="60" w:after="60"/>
              <w:jc w:val="center"/>
              <w:rPr>
                <w:rFonts w:ascii="Arial" w:hAnsi="Arial" w:cs="Arial"/>
                <w:color w:val="000000"/>
                <w:sz w:val="18"/>
              </w:rPr>
            </w:pPr>
            <w:r w:rsidRPr="008A247D">
              <w:rPr>
                <w:rFonts w:ascii="Arial" w:hAnsi="Arial" w:cs="Arial"/>
                <w:color w:val="000000"/>
                <w:sz w:val="18"/>
              </w:rPr>
              <w:t>Compliance</w:t>
            </w:r>
          </w:p>
        </w:tc>
        <w:tc>
          <w:tcPr>
            <w:tcW w:w="3260" w:type="dxa"/>
          </w:tcPr>
          <w:p w:rsidR="008A247D" w:rsidRPr="008A247D" w:rsidRDefault="008A247D" w:rsidP="0059532D">
            <w:pPr>
              <w:spacing w:before="60" w:after="60"/>
              <w:jc w:val="both"/>
              <w:rPr>
                <w:rFonts w:ascii="Arial" w:hAnsi="Arial" w:cs="Arial"/>
                <w:color w:val="000000"/>
                <w:sz w:val="18"/>
              </w:rPr>
            </w:pPr>
            <w:r w:rsidRPr="008A247D">
              <w:rPr>
                <w:rFonts w:ascii="Arial" w:hAnsi="Arial" w:cs="Arial"/>
                <w:color w:val="000000"/>
                <w:sz w:val="18"/>
              </w:rPr>
              <w:t xml:space="preserve">A review of the user accounts on Oracle for Accounts Payable and Accounts Receivable </w:t>
            </w:r>
            <w:r w:rsidR="00905383">
              <w:rPr>
                <w:rFonts w:ascii="Arial" w:hAnsi="Arial" w:cs="Arial"/>
                <w:color w:val="000000"/>
                <w:sz w:val="18"/>
              </w:rPr>
              <w:t>noted that t</w:t>
            </w:r>
            <w:r w:rsidR="00905383" w:rsidRPr="008A247D">
              <w:rPr>
                <w:rFonts w:ascii="Arial" w:hAnsi="Arial" w:cs="Arial"/>
                <w:color w:val="000000"/>
                <w:sz w:val="18"/>
              </w:rPr>
              <w:t xml:space="preserve">here were </w:t>
            </w:r>
            <w:r w:rsidR="00905383">
              <w:rPr>
                <w:rFonts w:ascii="Arial" w:hAnsi="Arial" w:cs="Arial"/>
                <w:color w:val="000000"/>
                <w:sz w:val="18"/>
              </w:rPr>
              <w:t>four</w:t>
            </w:r>
            <w:r w:rsidR="00905383" w:rsidRPr="008A247D">
              <w:rPr>
                <w:rFonts w:ascii="Arial" w:hAnsi="Arial" w:cs="Arial"/>
                <w:color w:val="000000"/>
                <w:sz w:val="18"/>
              </w:rPr>
              <w:t xml:space="preserve"> users plus an Administrator who had Receivables Super User Status, however, it was identified that three of these also had a separate account designated as Receivables User, which appeared to be a duplicate.</w:t>
            </w:r>
          </w:p>
        </w:tc>
        <w:tc>
          <w:tcPr>
            <w:tcW w:w="2971" w:type="dxa"/>
          </w:tcPr>
          <w:p w:rsidR="008A247D" w:rsidRPr="008A247D" w:rsidRDefault="008A247D" w:rsidP="008A247D">
            <w:pPr>
              <w:spacing w:before="60" w:after="60"/>
              <w:jc w:val="both"/>
              <w:rPr>
                <w:rFonts w:ascii="Arial" w:hAnsi="Arial" w:cs="Arial"/>
                <w:color w:val="000000"/>
                <w:sz w:val="18"/>
              </w:rPr>
            </w:pPr>
            <w:r w:rsidRPr="008A247D">
              <w:rPr>
                <w:rFonts w:ascii="Arial" w:hAnsi="Arial" w:cs="Arial"/>
                <w:color w:val="000000"/>
                <w:sz w:val="18"/>
              </w:rPr>
              <w:t>A review of the duplicated accounts with Receivables Super User and Receivable User permissions be undertaken to determine if both accounts are required.</w:t>
            </w:r>
          </w:p>
        </w:tc>
        <w:tc>
          <w:tcPr>
            <w:tcW w:w="850" w:type="dxa"/>
            <w:shd w:val="clear" w:color="auto" w:fill="FFCC00"/>
          </w:tcPr>
          <w:p w:rsidR="008A247D" w:rsidRPr="008A247D" w:rsidRDefault="008A247D" w:rsidP="008A247D">
            <w:pPr>
              <w:spacing w:before="60" w:after="60"/>
              <w:jc w:val="center"/>
              <w:rPr>
                <w:rFonts w:ascii="Arial" w:hAnsi="Arial" w:cs="Arial"/>
                <w:color w:val="FFFFFF"/>
                <w:sz w:val="18"/>
              </w:rPr>
            </w:pPr>
            <w:r w:rsidRPr="008A247D">
              <w:rPr>
                <w:rFonts w:ascii="Arial" w:hAnsi="Arial" w:cs="Arial"/>
                <w:color w:val="FFFFFF"/>
                <w:sz w:val="18"/>
              </w:rPr>
              <w:t>3</w:t>
            </w:r>
          </w:p>
        </w:tc>
        <w:tc>
          <w:tcPr>
            <w:tcW w:w="2976" w:type="dxa"/>
          </w:tcPr>
          <w:p w:rsidR="008A247D" w:rsidRPr="008A247D" w:rsidRDefault="006D022D" w:rsidP="006D022D">
            <w:pPr>
              <w:spacing w:before="60" w:after="60"/>
              <w:jc w:val="both"/>
              <w:rPr>
                <w:rFonts w:ascii="Arial" w:hAnsi="Arial" w:cs="Arial"/>
                <w:i/>
                <w:color w:val="000000"/>
                <w:sz w:val="18"/>
              </w:rPr>
            </w:pPr>
            <w:r>
              <w:rPr>
                <w:rFonts w:ascii="Arial" w:hAnsi="Arial" w:cs="Arial"/>
                <w:i/>
                <w:color w:val="000000"/>
                <w:sz w:val="18"/>
              </w:rPr>
              <w:t>Note:</w:t>
            </w:r>
            <w:r w:rsidR="00AB3922">
              <w:rPr>
                <w:rFonts w:ascii="Arial" w:hAnsi="Arial" w:cs="Arial"/>
                <w:i/>
                <w:color w:val="000000"/>
                <w:sz w:val="18"/>
              </w:rPr>
              <w:t xml:space="preserve"> </w:t>
            </w:r>
            <w:r>
              <w:rPr>
                <w:rFonts w:ascii="Arial" w:hAnsi="Arial" w:cs="Arial"/>
                <w:i/>
                <w:color w:val="000000"/>
                <w:sz w:val="18"/>
              </w:rPr>
              <w:t>T</w:t>
            </w:r>
            <w:r w:rsidR="00AB3922">
              <w:rPr>
                <w:rFonts w:ascii="Arial" w:hAnsi="Arial" w:cs="Arial"/>
                <w:i/>
                <w:color w:val="000000"/>
                <w:sz w:val="18"/>
              </w:rPr>
              <w:t>hese were not duplicate accounts</w:t>
            </w:r>
            <w:r>
              <w:rPr>
                <w:rFonts w:ascii="Arial" w:hAnsi="Arial" w:cs="Arial"/>
                <w:i/>
                <w:color w:val="000000"/>
                <w:sz w:val="18"/>
              </w:rPr>
              <w:t>. The user only had one account to access the system, however the account had two levels of responsibility within the account</w:t>
            </w:r>
            <w:r w:rsidR="00664005">
              <w:rPr>
                <w:rFonts w:ascii="Arial" w:hAnsi="Arial" w:cs="Arial"/>
                <w:i/>
                <w:color w:val="000000"/>
                <w:sz w:val="18"/>
              </w:rPr>
              <w:t>.</w:t>
            </w:r>
            <w:r>
              <w:rPr>
                <w:rFonts w:ascii="Arial" w:hAnsi="Arial" w:cs="Arial"/>
                <w:i/>
                <w:color w:val="000000"/>
                <w:sz w:val="18"/>
              </w:rPr>
              <w:t xml:space="preserve"> We have removed the lower level as it was established the functionality within the “Super User” was the required level for the role.</w:t>
            </w:r>
          </w:p>
        </w:tc>
        <w:tc>
          <w:tcPr>
            <w:tcW w:w="1740" w:type="dxa"/>
          </w:tcPr>
          <w:p w:rsidR="008A247D" w:rsidRPr="008A247D" w:rsidRDefault="00DD7181" w:rsidP="008A247D">
            <w:pPr>
              <w:spacing w:before="60" w:after="60"/>
              <w:jc w:val="center"/>
              <w:rPr>
                <w:rFonts w:ascii="Arial" w:hAnsi="Arial" w:cs="Arial"/>
                <w:i/>
                <w:color w:val="000000"/>
                <w:sz w:val="18"/>
              </w:rPr>
            </w:pPr>
            <w:r>
              <w:rPr>
                <w:rFonts w:ascii="Arial" w:hAnsi="Arial" w:cs="Arial"/>
                <w:i/>
                <w:color w:val="000000"/>
                <w:sz w:val="18"/>
              </w:rPr>
              <w:t>30/11/17</w:t>
            </w:r>
          </w:p>
        </w:tc>
        <w:tc>
          <w:tcPr>
            <w:tcW w:w="1213" w:type="dxa"/>
          </w:tcPr>
          <w:p w:rsidR="008A247D" w:rsidRPr="008A247D" w:rsidRDefault="006D022D" w:rsidP="008A247D">
            <w:pPr>
              <w:spacing w:before="60" w:after="60"/>
              <w:jc w:val="both"/>
              <w:rPr>
                <w:rFonts w:ascii="Arial" w:hAnsi="Arial" w:cs="Arial"/>
                <w:i/>
                <w:color w:val="000000"/>
                <w:sz w:val="18"/>
              </w:rPr>
            </w:pPr>
            <w:r>
              <w:rPr>
                <w:rFonts w:ascii="Arial" w:hAnsi="Arial" w:cs="Arial"/>
                <w:i/>
                <w:color w:val="000000"/>
                <w:sz w:val="18"/>
              </w:rPr>
              <w:t xml:space="preserve">Ian Hailstone </w:t>
            </w:r>
          </w:p>
        </w:tc>
      </w:tr>
    </w:tbl>
    <w:p w:rsidR="008A247D" w:rsidRDefault="008A247D" w:rsidP="008A247D">
      <w:pPr>
        <w:spacing w:after="200"/>
        <w:rPr>
          <w:b/>
        </w:rPr>
      </w:pPr>
    </w:p>
    <w:p w:rsidR="008A247D" w:rsidRDefault="008A247D" w:rsidP="008A247D">
      <w:pPr>
        <w:spacing w:after="200"/>
        <w:rPr>
          <w:b/>
        </w:rPr>
        <w:sectPr w:rsidR="008A247D" w:rsidSect="008A247D">
          <w:headerReference w:type="default" r:id="rId16"/>
          <w:footerReference w:type="default" r:id="rId17"/>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8A247D" w:rsidTr="008A247D">
        <w:trPr>
          <w:trHeight w:hRule="exact" w:val="624"/>
        </w:trPr>
        <w:tc>
          <w:tcPr>
            <w:tcW w:w="15194" w:type="dxa"/>
            <w:shd w:val="clear" w:color="auto" w:fill="FFFFFF"/>
            <w:tcMar>
              <w:bottom w:w="20" w:type="dxa"/>
            </w:tcMar>
          </w:tcPr>
          <w:p w:rsidR="008A247D" w:rsidRPr="008A247D" w:rsidRDefault="008A247D" w:rsidP="008A247D">
            <w:pPr>
              <w:spacing w:before="120" w:after="120"/>
              <w:rPr>
                <w:rFonts w:ascii="Arial" w:hAnsi="Arial" w:cs="Arial"/>
                <w:b/>
                <w:color w:val="163D82"/>
                <w:sz w:val="32"/>
              </w:rPr>
            </w:pPr>
            <w:r>
              <w:rPr>
                <w:rFonts w:ascii="Arial" w:hAnsi="Arial" w:cs="Arial"/>
                <w:b/>
                <w:color w:val="163D82"/>
                <w:sz w:val="32"/>
              </w:rPr>
              <w:t>Operational Effectiveness Matters</w:t>
            </w:r>
          </w:p>
        </w:tc>
      </w:tr>
    </w:tbl>
    <w:p w:rsidR="008A247D" w:rsidRPr="00E640A1" w:rsidRDefault="008A247D" w:rsidP="008A247D">
      <w:pPr>
        <w:spacing w:after="200"/>
        <w:rPr>
          <w:b/>
          <w:sz w:val="8"/>
          <w:szCs w:val="8"/>
        </w:rPr>
      </w:pPr>
    </w:p>
    <w:tbl>
      <w:tblPr>
        <w:tblW w:w="15195"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531"/>
        <w:gridCol w:w="6350"/>
        <w:gridCol w:w="6350"/>
      </w:tblGrid>
      <w:tr w:rsidR="008A247D" w:rsidRPr="008A247D" w:rsidTr="008A247D">
        <w:trPr>
          <w:cantSplit/>
          <w:tblHeader/>
          <w:jc w:val="center"/>
        </w:trPr>
        <w:tc>
          <w:tcPr>
            <w:tcW w:w="964" w:type="dxa"/>
            <w:shd w:val="clear" w:color="auto" w:fill="D9D9D9"/>
          </w:tcPr>
          <w:p w:rsidR="008A247D" w:rsidRPr="00DD7181" w:rsidRDefault="008A247D" w:rsidP="008A247D">
            <w:pPr>
              <w:spacing w:before="60" w:after="60"/>
              <w:jc w:val="center"/>
              <w:rPr>
                <w:rFonts w:ascii="Arial" w:hAnsi="Arial" w:cs="Arial"/>
                <w:b/>
                <w:color w:val="163D82"/>
                <w:sz w:val="16"/>
                <w:szCs w:val="16"/>
              </w:rPr>
            </w:pPr>
            <w:bookmarkStart w:id="3" w:name="section4"/>
            <w:bookmarkEnd w:id="3"/>
            <w:r w:rsidRPr="00DD7181">
              <w:rPr>
                <w:rFonts w:ascii="Arial" w:hAnsi="Arial" w:cs="Arial"/>
                <w:b/>
                <w:color w:val="163D82"/>
                <w:sz w:val="16"/>
                <w:szCs w:val="16"/>
              </w:rPr>
              <w:t>Ref</w:t>
            </w:r>
          </w:p>
        </w:tc>
        <w:tc>
          <w:tcPr>
            <w:tcW w:w="1531" w:type="dxa"/>
            <w:shd w:val="clear" w:color="auto" w:fill="D9D9D9"/>
          </w:tcPr>
          <w:p w:rsidR="008A247D" w:rsidRPr="00DD7181" w:rsidRDefault="008A247D" w:rsidP="008A247D">
            <w:pPr>
              <w:spacing w:before="60" w:after="60"/>
              <w:jc w:val="center"/>
              <w:rPr>
                <w:rFonts w:ascii="Arial" w:hAnsi="Arial" w:cs="Arial"/>
                <w:b/>
                <w:color w:val="163D82"/>
                <w:sz w:val="16"/>
                <w:szCs w:val="16"/>
              </w:rPr>
            </w:pPr>
            <w:r w:rsidRPr="00DD7181">
              <w:rPr>
                <w:rFonts w:ascii="Arial" w:hAnsi="Arial" w:cs="Arial"/>
                <w:b/>
                <w:color w:val="163D82"/>
                <w:sz w:val="16"/>
                <w:szCs w:val="16"/>
              </w:rPr>
              <w:t>Risk Area</w:t>
            </w:r>
          </w:p>
        </w:tc>
        <w:tc>
          <w:tcPr>
            <w:tcW w:w="6350" w:type="dxa"/>
            <w:shd w:val="clear" w:color="auto" w:fill="D9D9D9"/>
          </w:tcPr>
          <w:p w:rsidR="008A247D" w:rsidRPr="00DD7181" w:rsidRDefault="008A247D" w:rsidP="008A247D">
            <w:pPr>
              <w:spacing w:before="60" w:after="60"/>
              <w:jc w:val="center"/>
              <w:rPr>
                <w:rFonts w:ascii="Arial" w:hAnsi="Arial" w:cs="Arial"/>
                <w:b/>
                <w:color w:val="163D82"/>
                <w:sz w:val="16"/>
                <w:szCs w:val="16"/>
              </w:rPr>
            </w:pPr>
            <w:r w:rsidRPr="00DD7181">
              <w:rPr>
                <w:rFonts w:ascii="Arial" w:hAnsi="Arial" w:cs="Arial"/>
                <w:b/>
                <w:color w:val="163D82"/>
                <w:sz w:val="16"/>
                <w:szCs w:val="16"/>
              </w:rPr>
              <w:t>Item</w:t>
            </w:r>
          </w:p>
        </w:tc>
        <w:tc>
          <w:tcPr>
            <w:tcW w:w="6350" w:type="dxa"/>
            <w:shd w:val="clear" w:color="auto" w:fill="D9D9D9"/>
          </w:tcPr>
          <w:p w:rsidR="008A247D" w:rsidRPr="00DD7181" w:rsidRDefault="008A247D" w:rsidP="008A247D">
            <w:pPr>
              <w:spacing w:before="60" w:after="60"/>
              <w:jc w:val="center"/>
              <w:rPr>
                <w:rFonts w:ascii="Arial" w:hAnsi="Arial" w:cs="Arial"/>
                <w:b/>
                <w:color w:val="163D82"/>
                <w:sz w:val="16"/>
                <w:szCs w:val="16"/>
              </w:rPr>
            </w:pPr>
            <w:r w:rsidRPr="00DD7181">
              <w:rPr>
                <w:rFonts w:ascii="Arial" w:hAnsi="Arial" w:cs="Arial"/>
                <w:b/>
                <w:color w:val="163D82"/>
                <w:sz w:val="16"/>
                <w:szCs w:val="16"/>
              </w:rPr>
              <w:t>Management</w:t>
            </w:r>
          </w:p>
          <w:p w:rsidR="008A247D" w:rsidRPr="00DD7181" w:rsidRDefault="008A247D" w:rsidP="008A247D">
            <w:pPr>
              <w:spacing w:before="60" w:after="60"/>
              <w:jc w:val="center"/>
              <w:rPr>
                <w:rFonts w:ascii="Arial" w:hAnsi="Arial" w:cs="Arial"/>
                <w:b/>
                <w:color w:val="163D82"/>
                <w:sz w:val="16"/>
                <w:szCs w:val="16"/>
              </w:rPr>
            </w:pPr>
            <w:r w:rsidRPr="00DD7181">
              <w:rPr>
                <w:rFonts w:ascii="Arial" w:hAnsi="Arial" w:cs="Arial"/>
                <w:b/>
                <w:color w:val="163D82"/>
                <w:sz w:val="16"/>
                <w:szCs w:val="16"/>
              </w:rPr>
              <w:t>Comments</w:t>
            </w:r>
          </w:p>
        </w:tc>
      </w:tr>
      <w:tr w:rsidR="00E640A1" w:rsidRPr="008A247D" w:rsidTr="00C04FB4">
        <w:trPr>
          <w:cantSplit/>
          <w:tblHeader/>
          <w:jc w:val="center"/>
        </w:trPr>
        <w:tc>
          <w:tcPr>
            <w:tcW w:w="15195" w:type="dxa"/>
            <w:gridSpan w:val="4"/>
            <w:shd w:val="clear" w:color="auto" w:fill="auto"/>
          </w:tcPr>
          <w:p w:rsidR="00E640A1" w:rsidRPr="008A247D" w:rsidRDefault="00E640A1" w:rsidP="00E640A1">
            <w:pPr>
              <w:spacing w:before="60" w:after="60"/>
              <w:jc w:val="both"/>
              <w:rPr>
                <w:rFonts w:ascii="Arial" w:hAnsi="Arial" w:cs="Arial"/>
                <w:b/>
                <w:color w:val="163D82"/>
                <w:sz w:val="18"/>
              </w:rPr>
            </w:pPr>
            <w:r w:rsidRPr="00905383">
              <w:rPr>
                <w:rFonts w:ascii="Arial" w:hAnsi="Arial" w:cs="Arial"/>
                <w:sz w:val="18"/>
              </w:rPr>
              <w:t>There were no operational effectiveness matters identified.</w:t>
            </w:r>
          </w:p>
        </w:tc>
      </w:tr>
    </w:tbl>
    <w:p w:rsidR="008A247D" w:rsidRDefault="008A247D" w:rsidP="008A247D">
      <w:pPr>
        <w:spacing w:after="200"/>
        <w:rPr>
          <w:b/>
        </w:rPr>
      </w:pPr>
    </w:p>
    <w:p w:rsidR="008A247D" w:rsidRDefault="008A247D" w:rsidP="008A247D">
      <w:pPr>
        <w:spacing w:after="200"/>
        <w:rPr>
          <w:b/>
        </w:rPr>
        <w:sectPr w:rsidR="008A247D" w:rsidSect="008A247D">
          <w:headerReference w:type="default" r:id="rId18"/>
          <w:footerReference w:type="default" r:id="rId19"/>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8A247D" w:rsidTr="008A247D">
        <w:trPr>
          <w:trHeight w:hRule="exact" w:val="624"/>
        </w:trPr>
        <w:tc>
          <w:tcPr>
            <w:tcW w:w="15194" w:type="dxa"/>
            <w:shd w:val="clear" w:color="auto" w:fill="FFFFFF"/>
            <w:tcMar>
              <w:bottom w:w="20" w:type="dxa"/>
            </w:tcMar>
          </w:tcPr>
          <w:p w:rsidR="008A247D" w:rsidRPr="008A247D" w:rsidRDefault="008A247D" w:rsidP="008A247D">
            <w:pPr>
              <w:spacing w:before="120" w:after="120"/>
              <w:rPr>
                <w:rFonts w:ascii="Arial" w:hAnsi="Arial" w:cs="Arial"/>
                <w:b/>
                <w:color w:val="163D82"/>
                <w:sz w:val="32"/>
              </w:rPr>
            </w:pPr>
            <w:r>
              <w:rPr>
                <w:rFonts w:ascii="Arial" w:hAnsi="Arial" w:cs="Arial"/>
                <w:b/>
                <w:color w:val="163D82"/>
                <w:sz w:val="32"/>
              </w:rPr>
              <w:t>Detailed Findings</w:t>
            </w:r>
          </w:p>
        </w:tc>
      </w:tr>
    </w:tbl>
    <w:p w:rsidR="008A247D" w:rsidRDefault="008A247D" w:rsidP="00DD7181">
      <w:pPr>
        <w:spacing w:before="120" w:after="120" w:line="271" w:lineRule="auto"/>
        <w:rPr>
          <w:rFonts w:ascii="Arial" w:hAnsi="Arial" w:cs="Arial"/>
          <w:b/>
          <w:color w:val="DC0D15"/>
          <w:sz w:val="20"/>
        </w:rPr>
      </w:pPr>
      <w:bookmarkStart w:id="4" w:name="section5"/>
      <w:bookmarkEnd w:id="4"/>
      <w:r w:rsidRPr="008A247D">
        <w:rPr>
          <w:rFonts w:ascii="Arial" w:hAnsi="Arial" w:cs="Arial"/>
          <w:b/>
          <w:color w:val="DC0D15"/>
          <w:sz w:val="20"/>
        </w:rPr>
        <w:t>INTRODUCTION</w:t>
      </w:r>
    </w:p>
    <w:p w:rsidR="008A247D" w:rsidRDefault="008A247D" w:rsidP="00DD7181">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This review was carried out in October 2017 as part of the planned internal audit work for 2017/18. Based on the work carried out an overall assessment of the overall adequacy of the arrangements to mitigate the key control risk areas is provided in the Executive Summary.</w:t>
      </w:r>
    </w:p>
    <w:p w:rsidR="008A247D" w:rsidRDefault="008A247D" w:rsidP="00DD7181">
      <w:pPr>
        <w:spacing w:before="120" w:after="120" w:line="271" w:lineRule="auto"/>
        <w:rPr>
          <w:rFonts w:ascii="Arial" w:hAnsi="Arial" w:cs="Arial"/>
          <w:b/>
          <w:color w:val="DC0D15"/>
          <w:sz w:val="20"/>
        </w:rPr>
      </w:pPr>
      <w:r w:rsidRPr="008A247D">
        <w:rPr>
          <w:rFonts w:ascii="Arial" w:hAnsi="Arial" w:cs="Arial"/>
          <w:b/>
          <w:color w:val="DC0D15"/>
          <w:sz w:val="20"/>
        </w:rPr>
        <w:t>BACKGROUND</w:t>
      </w:r>
    </w:p>
    <w:p w:rsidR="008A247D" w:rsidRDefault="008A247D" w:rsidP="00DD7181">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The Force utilises an external provider, Sopra Steria, for the back office financial arrangements. In relation to this review, this includes accounts payable and the accounts receivable function, as well as the general ledger journals. The treasury management aspect of this review is undertaken by the Treasury team, who are OPCC staff.</w:t>
      </w:r>
    </w:p>
    <w:p w:rsidR="008A247D" w:rsidRDefault="008A247D" w:rsidP="00DD7181">
      <w:pPr>
        <w:spacing w:before="120" w:after="120" w:line="271" w:lineRule="auto"/>
        <w:rPr>
          <w:rFonts w:ascii="Arial" w:hAnsi="Arial" w:cs="Arial"/>
          <w:b/>
          <w:color w:val="DC0D15"/>
          <w:sz w:val="20"/>
        </w:rPr>
      </w:pPr>
      <w:r w:rsidRPr="008A247D">
        <w:rPr>
          <w:rFonts w:ascii="Arial" w:hAnsi="Arial" w:cs="Arial"/>
          <w:b/>
          <w:color w:val="DC0D15"/>
          <w:sz w:val="20"/>
        </w:rPr>
        <w:t>MATERIALITY</w:t>
      </w:r>
    </w:p>
    <w:p w:rsidR="008A247D" w:rsidRDefault="008A247D" w:rsidP="00DD7181">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For the first six months of the 2017/18 financial year 303 invoices have been raised to a net total of £2.25M. In the same period, 5,859 invoices have been paid, totalling £6.07M.</w:t>
      </w:r>
    </w:p>
    <w:p w:rsidR="008A247D" w:rsidRDefault="008A247D" w:rsidP="00DD7181">
      <w:pPr>
        <w:spacing w:before="120" w:after="120" w:line="271" w:lineRule="auto"/>
        <w:rPr>
          <w:rFonts w:ascii="Arial" w:hAnsi="Arial" w:cs="Arial"/>
          <w:b/>
          <w:color w:val="DC0D15"/>
          <w:sz w:val="20"/>
        </w:rPr>
      </w:pPr>
      <w:r w:rsidRPr="008A247D">
        <w:rPr>
          <w:rFonts w:ascii="Arial" w:hAnsi="Arial" w:cs="Arial"/>
          <w:b/>
          <w:color w:val="DC0D15"/>
          <w:sz w:val="20"/>
        </w:rPr>
        <w:t>KEY FINDINGS &amp; ACTION POINTS</w:t>
      </w:r>
    </w:p>
    <w:p w:rsidR="008A247D" w:rsidRDefault="008A247D" w:rsidP="00DD7181">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8A247D" w:rsidRDefault="008A247D" w:rsidP="00DD7181">
      <w:pPr>
        <w:spacing w:before="120" w:after="120" w:line="271" w:lineRule="auto"/>
        <w:rPr>
          <w:rFonts w:ascii="Arial" w:hAnsi="Arial" w:cs="Arial"/>
          <w:b/>
          <w:color w:val="DC0D15"/>
          <w:sz w:val="20"/>
        </w:rPr>
      </w:pPr>
      <w:r w:rsidRPr="008A247D">
        <w:rPr>
          <w:rFonts w:ascii="Arial" w:hAnsi="Arial" w:cs="Arial"/>
          <w:b/>
          <w:color w:val="DC0D15"/>
          <w:sz w:val="20"/>
        </w:rPr>
        <w:t>SCOPE AND LIMITATIONS OF THE REVIEW</w:t>
      </w:r>
    </w:p>
    <w:p w:rsidR="008A247D" w:rsidRPr="008A247D" w:rsidRDefault="008A247D" w:rsidP="00DD7181">
      <w:pPr>
        <w:pStyle w:val="ListParagraph"/>
        <w:numPr>
          <w:ilvl w:val="0"/>
          <w:numId w:val="1"/>
        </w:numPr>
        <w:spacing w:before="120" w:after="120" w:line="271" w:lineRule="auto"/>
        <w:jc w:val="both"/>
        <w:rPr>
          <w:rFonts w:ascii="Arial" w:hAnsi="Arial" w:cs="Arial"/>
          <w:color w:val="000000"/>
          <w:sz w:val="20"/>
        </w:rPr>
      </w:pPr>
      <w:r>
        <w:rPr>
          <w:rFonts w:ascii="Arial" w:hAnsi="Arial" w:cs="Arial"/>
          <w:color w:val="000000"/>
          <w:sz w:val="20"/>
        </w:rPr>
        <w:t>The review assessed the adequacy and effectiveness of the internal controls in place at the Constabulary for managing the following key financial systems: Accounts Receivable; Accounts Payable; General Ledger and Treasury Management. The review considered that financial transactions were complete and accurately recorded on a timely basis within the Financial Ledger, thus ensuring the integrity of all financial information reported, included management accounts and financial accounts.</w:t>
      </w:r>
    </w:p>
    <w:p w:rsidR="008A247D" w:rsidRDefault="008A247D" w:rsidP="00DD7181">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The definition of the type of review, the limitations and the responsibilities of management in regard to this review are set out in the Annual Plan.</w:t>
      </w:r>
    </w:p>
    <w:p w:rsidR="008A247D" w:rsidRDefault="008A247D" w:rsidP="00DD7181">
      <w:pPr>
        <w:spacing w:before="120" w:after="120" w:line="271" w:lineRule="auto"/>
        <w:rPr>
          <w:rFonts w:ascii="Arial" w:hAnsi="Arial" w:cs="Arial"/>
          <w:b/>
          <w:color w:val="DC0D15"/>
          <w:sz w:val="20"/>
        </w:rPr>
      </w:pPr>
      <w:r w:rsidRPr="008A247D">
        <w:rPr>
          <w:rFonts w:ascii="Arial" w:hAnsi="Arial" w:cs="Arial"/>
          <w:b/>
          <w:color w:val="DC0D15"/>
          <w:sz w:val="20"/>
        </w:rPr>
        <w:t>DISCLAIMER</w:t>
      </w:r>
    </w:p>
    <w:p w:rsidR="008A247D" w:rsidRDefault="008A247D" w:rsidP="00DD7181">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DD7181" w:rsidRDefault="00DD7181">
      <w:pPr>
        <w:rPr>
          <w:rFonts w:ascii="Arial" w:hAnsi="Arial" w:cs="Arial"/>
          <w:b/>
          <w:color w:val="DC0D15"/>
          <w:sz w:val="20"/>
        </w:rPr>
      </w:pPr>
      <w:r>
        <w:rPr>
          <w:rFonts w:ascii="Arial" w:hAnsi="Arial" w:cs="Arial"/>
          <w:b/>
          <w:color w:val="DC0D15"/>
          <w:sz w:val="20"/>
        </w:rPr>
        <w:br w:type="page"/>
      </w:r>
    </w:p>
    <w:p w:rsidR="008A247D" w:rsidRDefault="008A247D" w:rsidP="008A247D">
      <w:pPr>
        <w:spacing w:before="200" w:after="120" w:line="271" w:lineRule="auto"/>
        <w:rPr>
          <w:rFonts w:ascii="Arial" w:hAnsi="Arial" w:cs="Arial"/>
          <w:b/>
          <w:color w:val="DC0D15"/>
          <w:sz w:val="20"/>
        </w:rPr>
      </w:pPr>
      <w:r w:rsidRPr="008A247D">
        <w:rPr>
          <w:rFonts w:ascii="Arial" w:hAnsi="Arial" w:cs="Arial"/>
          <w:b/>
          <w:color w:val="DC0D15"/>
          <w:sz w:val="20"/>
        </w:rPr>
        <w:t>RISK AREA ASSURANCE ASSESSMENTS</w:t>
      </w:r>
    </w:p>
    <w:p w:rsidR="008A247D" w:rsidRDefault="008A247D" w:rsidP="008A247D">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8A247D" w:rsidTr="008A247D">
        <w:trPr>
          <w:jc w:val="right"/>
        </w:trPr>
        <w:tc>
          <w:tcPr>
            <w:tcW w:w="2948" w:type="dxa"/>
            <w:shd w:val="clear" w:color="auto" w:fill="92D01E"/>
            <w:vAlign w:val="center"/>
          </w:tcPr>
          <w:p w:rsidR="008A247D" w:rsidRPr="008A247D" w:rsidRDefault="008A247D" w:rsidP="008A247D">
            <w:pPr>
              <w:spacing w:before="60" w:after="60" w:line="271" w:lineRule="auto"/>
              <w:rPr>
                <w:rFonts w:ascii="Arial" w:hAnsi="Arial" w:cs="Arial"/>
                <w:b/>
                <w:color w:val="FFFFFF"/>
                <w:sz w:val="17"/>
              </w:rPr>
            </w:pPr>
            <w:r w:rsidRPr="008A247D">
              <w:rPr>
                <w:rFonts w:ascii="Arial" w:hAnsi="Arial" w:cs="Arial"/>
                <w:b/>
                <w:color w:val="FFFFFF"/>
                <w:sz w:val="17"/>
              </w:rPr>
              <w:t>Substantial Assurance</w:t>
            </w:r>
          </w:p>
        </w:tc>
        <w:tc>
          <w:tcPr>
            <w:tcW w:w="11339" w:type="dxa"/>
            <w:shd w:val="clear" w:color="auto" w:fill="F3F3F3"/>
            <w:vAlign w:val="center"/>
          </w:tcPr>
          <w:p w:rsidR="008A247D" w:rsidRPr="008A247D" w:rsidRDefault="008A247D" w:rsidP="008A247D">
            <w:pPr>
              <w:spacing w:before="60" w:after="60" w:line="271" w:lineRule="auto"/>
              <w:jc w:val="both"/>
              <w:rPr>
                <w:rFonts w:ascii="Arial" w:hAnsi="Arial" w:cs="Arial"/>
                <w:color w:val="000000"/>
                <w:sz w:val="17"/>
              </w:rPr>
            </w:pPr>
            <w:r w:rsidRPr="008A247D">
              <w:rPr>
                <w:rFonts w:ascii="Arial" w:hAnsi="Arial" w:cs="Arial"/>
                <w:color w:val="000000"/>
                <w:sz w:val="17"/>
              </w:rPr>
              <w:t>There is a robust system of internal controls operating effectively to ensure that risks are managed and process objectives achieved.</w:t>
            </w:r>
          </w:p>
        </w:tc>
      </w:tr>
      <w:tr w:rsidR="008A247D" w:rsidTr="008A247D">
        <w:trPr>
          <w:jc w:val="right"/>
        </w:trPr>
        <w:tc>
          <w:tcPr>
            <w:tcW w:w="2948" w:type="dxa"/>
            <w:shd w:val="clear" w:color="auto" w:fill="FFCC00"/>
            <w:vAlign w:val="center"/>
          </w:tcPr>
          <w:p w:rsidR="008A247D" w:rsidRPr="008A247D" w:rsidRDefault="008A247D" w:rsidP="008A247D">
            <w:pPr>
              <w:spacing w:before="60" w:after="60" w:line="271" w:lineRule="auto"/>
              <w:rPr>
                <w:rFonts w:ascii="Arial" w:hAnsi="Arial" w:cs="Arial"/>
                <w:b/>
                <w:color w:val="FFFFFF"/>
                <w:sz w:val="17"/>
              </w:rPr>
            </w:pPr>
            <w:r w:rsidRPr="008A247D">
              <w:rPr>
                <w:rFonts w:ascii="Arial" w:hAnsi="Arial" w:cs="Arial"/>
                <w:b/>
                <w:color w:val="FFFFFF"/>
                <w:sz w:val="17"/>
              </w:rPr>
              <w:t>Reasonable Assurance</w:t>
            </w:r>
          </w:p>
        </w:tc>
        <w:tc>
          <w:tcPr>
            <w:tcW w:w="11339" w:type="dxa"/>
            <w:shd w:val="clear" w:color="auto" w:fill="F3F3F3"/>
            <w:vAlign w:val="center"/>
          </w:tcPr>
          <w:p w:rsidR="008A247D" w:rsidRPr="008A247D" w:rsidRDefault="008A247D" w:rsidP="008A247D">
            <w:pPr>
              <w:spacing w:before="60" w:after="60" w:line="271" w:lineRule="auto"/>
              <w:jc w:val="both"/>
              <w:rPr>
                <w:rFonts w:ascii="Arial" w:hAnsi="Arial" w:cs="Arial"/>
                <w:color w:val="000000"/>
                <w:sz w:val="17"/>
              </w:rPr>
            </w:pPr>
            <w:r w:rsidRPr="008A247D">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8A247D" w:rsidTr="008A247D">
        <w:trPr>
          <w:jc w:val="right"/>
        </w:trPr>
        <w:tc>
          <w:tcPr>
            <w:tcW w:w="2948" w:type="dxa"/>
            <w:shd w:val="clear" w:color="auto" w:fill="E5730F"/>
            <w:vAlign w:val="center"/>
          </w:tcPr>
          <w:p w:rsidR="008A247D" w:rsidRPr="008A247D" w:rsidRDefault="008A247D" w:rsidP="008A247D">
            <w:pPr>
              <w:spacing w:before="60" w:after="60" w:line="271" w:lineRule="auto"/>
              <w:rPr>
                <w:rFonts w:ascii="Arial" w:hAnsi="Arial" w:cs="Arial"/>
                <w:b/>
                <w:color w:val="FFFFFF"/>
                <w:sz w:val="17"/>
              </w:rPr>
            </w:pPr>
            <w:r w:rsidRPr="008A247D">
              <w:rPr>
                <w:rFonts w:ascii="Arial" w:hAnsi="Arial" w:cs="Arial"/>
                <w:b/>
                <w:color w:val="FFFFFF"/>
                <w:sz w:val="17"/>
              </w:rPr>
              <w:t>Limited Assurance</w:t>
            </w:r>
          </w:p>
        </w:tc>
        <w:tc>
          <w:tcPr>
            <w:tcW w:w="11339" w:type="dxa"/>
            <w:shd w:val="clear" w:color="auto" w:fill="F3F3F3"/>
            <w:vAlign w:val="center"/>
          </w:tcPr>
          <w:p w:rsidR="008A247D" w:rsidRPr="008A247D" w:rsidRDefault="008A247D" w:rsidP="008A247D">
            <w:pPr>
              <w:spacing w:before="60" w:after="60" w:line="271" w:lineRule="auto"/>
              <w:jc w:val="both"/>
              <w:rPr>
                <w:rFonts w:ascii="Arial" w:hAnsi="Arial" w:cs="Arial"/>
                <w:color w:val="000000"/>
                <w:sz w:val="17"/>
              </w:rPr>
            </w:pPr>
            <w:r w:rsidRPr="008A247D">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8A247D" w:rsidTr="008A247D">
        <w:trPr>
          <w:jc w:val="right"/>
        </w:trPr>
        <w:tc>
          <w:tcPr>
            <w:tcW w:w="2948" w:type="dxa"/>
            <w:shd w:val="clear" w:color="auto" w:fill="DC0D15"/>
            <w:vAlign w:val="center"/>
          </w:tcPr>
          <w:p w:rsidR="008A247D" w:rsidRPr="008A247D" w:rsidRDefault="008A247D" w:rsidP="008A247D">
            <w:pPr>
              <w:spacing w:before="60" w:after="60" w:line="271" w:lineRule="auto"/>
              <w:rPr>
                <w:rFonts w:ascii="Arial" w:hAnsi="Arial" w:cs="Arial"/>
                <w:b/>
                <w:color w:val="FFFFFF"/>
                <w:sz w:val="17"/>
              </w:rPr>
            </w:pPr>
            <w:r w:rsidRPr="008A247D">
              <w:rPr>
                <w:rFonts w:ascii="Arial" w:hAnsi="Arial" w:cs="Arial"/>
                <w:b/>
                <w:color w:val="FFFFFF"/>
                <w:sz w:val="17"/>
              </w:rPr>
              <w:t>No Assurance</w:t>
            </w:r>
          </w:p>
        </w:tc>
        <w:tc>
          <w:tcPr>
            <w:tcW w:w="11339" w:type="dxa"/>
            <w:shd w:val="clear" w:color="auto" w:fill="F3F3F3"/>
            <w:vAlign w:val="center"/>
          </w:tcPr>
          <w:p w:rsidR="008A247D" w:rsidRPr="008A247D" w:rsidRDefault="008A247D" w:rsidP="008A247D">
            <w:pPr>
              <w:spacing w:before="60" w:after="60" w:line="271" w:lineRule="auto"/>
              <w:jc w:val="both"/>
              <w:rPr>
                <w:rFonts w:ascii="Arial" w:hAnsi="Arial" w:cs="Arial"/>
                <w:color w:val="000000"/>
                <w:sz w:val="17"/>
              </w:rPr>
            </w:pPr>
            <w:r w:rsidRPr="008A247D">
              <w:rPr>
                <w:rFonts w:ascii="Arial" w:hAnsi="Arial" w:cs="Arial"/>
                <w:color w:val="000000"/>
                <w:sz w:val="17"/>
              </w:rPr>
              <w:t>There is a fundamental breakdown or absence of core internal controls requiring immediate action.</w:t>
            </w:r>
          </w:p>
        </w:tc>
      </w:tr>
    </w:tbl>
    <w:p w:rsidR="008A247D" w:rsidRDefault="008A247D" w:rsidP="00664005">
      <w:pPr>
        <w:spacing w:before="120" w:after="120" w:line="271" w:lineRule="auto"/>
        <w:rPr>
          <w:rFonts w:ascii="Arial" w:hAnsi="Arial" w:cs="Arial"/>
          <w:b/>
          <w:color w:val="DC0D15"/>
          <w:sz w:val="20"/>
        </w:rPr>
      </w:pPr>
      <w:r w:rsidRPr="008A247D">
        <w:rPr>
          <w:rFonts w:ascii="Arial" w:hAnsi="Arial" w:cs="Arial"/>
          <w:b/>
          <w:color w:val="DC0D15"/>
          <w:sz w:val="20"/>
        </w:rPr>
        <w:t>ACKNOWLEDGEMENT</w:t>
      </w:r>
    </w:p>
    <w:p w:rsidR="008A247D" w:rsidRDefault="008A247D" w:rsidP="00664005">
      <w:pPr>
        <w:pStyle w:val="ListParagraph"/>
        <w:numPr>
          <w:ilvl w:val="0"/>
          <w:numId w:val="1"/>
        </w:numPr>
        <w:spacing w:before="120" w:after="120" w:line="271" w:lineRule="auto"/>
        <w:jc w:val="both"/>
        <w:rPr>
          <w:rFonts w:ascii="Arial" w:hAnsi="Arial" w:cs="Arial"/>
          <w:color w:val="000000"/>
          <w:sz w:val="20"/>
        </w:rPr>
      </w:pPr>
      <w:r w:rsidRPr="008A247D">
        <w:rPr>
          <w:rFonts w:ascii="Arial" w:hAnsi="Arial" w:cs="Arial"/>
          <w:color w:val="000000"/>
          <w:sz w:val="20"/>
        </w:rPr>
        <w:t>We would like to thank staff for their co-operation and assistance during the course of our work.</w:t>
      </w:r>
    </w:p>
    <w:p w:rsidR="008A247D" w:rsidRDefault="008A247D" w:rsidP="00664005">
      <w:pPr>
        <w:spacing w:before="120" w:after="120" w:line="271" w:lineRule="auto"/>
        <w:jc w:val="both"/>
        <w:rPr>
          <w:rFonts w:ascii="Arial" w:hAnsi="Arial" w:cs="Arial"/>
          <w:b/>
          <w:color w:val="DC0D15"/>
          <w:sz w:val="20"/>
        </w:rPr>
      </w:pPr>
      <w:r w:rsidRPr="008A247D">
        <w:rPr>
          <w:rFonts w:ascii="Arial" w:hAnsi="Arial" w:cs="Arial"/>
          <w:b/>
          <w:color w:val="DC0D15"/>
          <w:sz w:val="20"/>
        </w:rPr>
        <w:t>RELEASE OF REPORT</w:t>
      </w:r>
    </w:p>
    <w:p w:rsidR="008A247D" w:rsidRDefault="008A247D" w:rsidP="00664005">
      <w:pPr>
        <w:pStyle w:val="ListParagraph"/>
        <w:numPr>
          <w:ilvl w:val="0"/>
          <w:numId w:val="1"/>
        </w:numPr>
        <w:spacing w:before="120" w:after="120" w:line="271" w:lineRule="auto"/>
        <w:rPr>
          <w:rFonts w:ascii="Arial" w:hAnsi="Arial" w:cs="Arial"/>
          <w:color w:val="000000"/>
          <w:sz w:val="20"/>
        </w:rPr>
      </w:pPr>
      <w:r w:rsidRPr="008A247D">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8A247D" w:rsidTr="008A247D">
        <w:trPr>
          <w:trHeight w:val="283"/>
          <w:jc w:val="right"/>
        </w:trPr>
        <w:tc>
          <w:tcPr>
            <w:tcW w:w="3515" w:type="dxa"/>
            <w:shd w:val="clear" w:color="auto" w:fill="163D82"/>
          </w:tcPr>
          <w:p w:rsidR="008A247D" w:rsidRPr="008A247D" w:rsidRDefault="008A247D" w:rsidP="008A247D">
            <w:pPr>
              <w:spacing w:before="60" w:after="60" w:line="271" w:lineRule="auto"/>
              <w:rPr>
                <w:rFonts w:ascii="Arial" w:hAnsi="Arial" w:cs="Arial"/>
                <w:b/>
                <w:color w:val="FFFFFF"/>
                <w:sz w:val="18"/>
              </w:rPr>
            </w:pPr>
            <w:r w:rsidRPr="008A247D">
              <w:rPr>
                <w:rFonts w:ascii="Arial" w:hAnsi="Arial" w:cs="Arial"/>
                <w:b/>
                <w:color w:val="FFFFFF"/>
                <w:sz w:val="18"/>
              </w:rPr>
              <w:t>Date draft report issued:</w:t>
            </w:r>
          </w:p>
        </w:tc>
        <w:tc>
          <w:tcPr>
            <w:tcW w:w="3402" w:type="dxa"/>
            <w:shd w:val="clear" w:color="auto" w:fill="F3F3F3"/>
          </w:tcPr>
          <w:p w:rsidR="008A247D" w:rsidRPr="008A247D" w:rsidRDefault="00E640A1" w:rsidP="008A247D">
            <w:pPr>
              <w:spacing w:before="60" w:after="60" w:line="271" w:lineRule="auto"/>
              <w:rPr>
                <w:rFonts w:ascii="Arial" w:hAnsi="Arial" w:cs="Arial"/>
                <w:color w:val="000000"/>
                <w:sz w:val="18"/>
              </w:rPr>
            </w:pPr>
            <w:r>
              <w:rPr>
                <w:rFonts w:ascii="Arial" w:hAnsi="Arial" w:cs="Arial"/>
                <w:color w:val="000000"/>
                <w:sz w:val="18"/>
              </w:rPr>
              <w:t>17</w:t>
            </w:r>
            <w:r w:rsidRPr="00E640A1">
              <w:rPr>
                <w:rFonts w:ascii="Arial" w:hAnsi="Arial" w:cs="Arial"/>
                <w:color w:val="000000"/>
                <w:sz w:val="18"/>
                <w:vertAlign w:val="superscript"/>
              </w:rPr>
              <w:t>th</w:t>
            </w:r>
            <w:r>
              <w:rPr>
                <w:rFonts w:ascii="Arial" w:hAnsi="Arial" w:cs="Arial"/>
                <w:color w:val="000000"/>
                <w:sz w:val="18"/>
              </w:rPr>
              <w:t xml:space="preserve"> October 2017</w:t>
            </w:r>
          </w:p>
        </w:tc>
        <w:tc>
          <w:tcPr>
            <w:tcW w:w="7370" w:type="dxa"/>
          </w:tcPr>
          <w:p w:rsidR="008A247D" w:rsidRDefault="008A247D" w:rsidP="008A247D">
            <w:pPr>
              <w:spacing w:before="60" w:after="60" w:line="271" w:lineRule="auto"/>
              <w:rPr>
                <w:rFonts w:ascii="Arial" w:hAnsi="Arial" w:cs="Arial"/>
                <w:color w:val="000000"/>
                <w:sz w:val="20"/>
              </w:rPr>
            </w:pPr>
          </w:p>
        </w:tc>
      </w:tr>
      <w:tr w:rsidR="008A247D" w:rsidTr="008A247D">
        <w:trPr>
          <w:trHeight w:val="283"/>
          <w:jc w:val="right"/>
        </w:trPr>
        <w:tc>
          <w:tcPr>
            <w:tcW w:w="3515" w:type="dxa"/>
            <w:shd w:val="clear" w:color="auto" w:fill="163D82"/>
          </w:tcPr>
          <w:p w:rsidR="008A247D" w:rsidRPr="008A247D" w:rsidRDefault="008A247D" w:rsidP="008A247D">
            <w:pPr>
              <w:spacing w:before="60" w:after="60" w:line="271" w:lineRule="auto"/>
              <w:rPr>
                <w:rFonts w:ascii="Arial" w:hAnsi="Arial" w:cs="Arial"/>
                <w:b/>
                <w:color w:val="FFFFFF"/>
                <w:sz w:val="18"/>
              </w:rPr>
            </w:pPr>
            <w:r w:rsidRPr="008A247D">
              <w:rPr>
                <w:rFonts w:ascii="Arial" w:hAnsi="Arial" w:cs="Arial"/>
                <w:b/>
                <w:color w:val="FFFFFF"/>
                <w:sz w:val="18"/>
              </w:rPr>
              <w:t>Date management responses received:</w:t>
            </w:r>
          </w:p>
        </w:tc>
        <w:tc>
          <w:tcPr>
            <w:tcW w:w="3402" w:type="dxa"/>
            <w:shd w:val="clear" w:color="auto" w:fill="F3F3F3"/>
          </w:tcPr>
          <w:p w:rsidR="008A247D" w:rsidRPr="008A247D" w:rsidRDefault="00664005" w:rsidP="008A247D">
            <w:pPr>
              <w:spacing w:before="60" w:after="60" w:line="271" w:lineRule="auto"/>
              <w:rPr>
                <w:rFonts w:ascii="Arial" w:hAnsi="Arial" w:cs="Arial"/>
                <w:color w:val="000000"/>
                <w:sz w:val="18"/>
              </w:rPr>
            </w:pPr>
            <w:r>
              <w:rPr>
                <w:rFonts w:ascii="Arial" w:hAnsi="Arial" w:cs="Arial"/>
                <w:color w:val="000000"/>
                <w:sz w:val="18"/>
              </w:rPr>
              <w:t>1</w:t>
            </w:r>
            <w:r w:rsidRPr="00664005">
              <w:rPr>
                <w:rFonts w:ascii="Arial" w:hAnsi="Arial" w:cs="Arial"/>
                <w:color w:val="000000"/>
                <w:sz w:val="18"/>
                <w:vertAlign w:val="superscript"/>
              </w:rPr>
              <w:t>st</w:t>
            </w:r>
            <w:r>
              <w:rPr>
                <w:rFonts w:ascii="Arial" w:hAnsi="Arial" w:cs="Arial"/>
                <w:color w:val="000000"/>
                <w:sz w:val="18"/>
              </w:rPr>
              <w:t xml:space="preserve"> November 2017</w:t>
            </w:r>
          </w:p>
        </w:tc>
        <w:tc>
          <w:tcPr>
            <w:tcW w:w="7370" w:type="dxa"/>
          </w:tcPr>
          <w:p w:rsidR="008A247D" w:rsidRDefault="008A247D" w:rsidP="008A247D">
            <w:pPr>
              <w:spacing w:before="60" w:after="60" w:line="271" w:lineRule="auto"/>
              <w:rPr>
                <w:rFonts w:ascii="Arial" w:hAnsi="Arial" w:cs="Arial"/>
                <w:color w:val="000000"/>
                <w:sz w:val="20"/>
              </w:rPr>
            </w:pPr>
          </w:p>
        </w:tc>
      </w:tr>
      <w:tr w:rsidR="008A247D" w:rsidTr="008A247D">
        <w:trPr>
          <w:trHeight w:val="283"/>
          <w:jc w:val="right"/>
        </w:trPr>
        <w:tc>
          <w:tcPr>
            <w:tcW w:w="3515" w:type="dxa"/>
            <w:shd w:val="clear" w:color="auto" w:fill="163D82"/>
          </w:tcPr>
          <w:p w:rsidR="008A247D" w:rsidRPr="008A247D" w:rsidRDefault="008A247D" w:rsidP="008A247D">
            <w:pPr>
              <w:spacing w:before="60" w:after="60" w:line="271" w:lineRule="auto"/>
              <w:rPr>
                <w:rFonts w:ascii="Arial" w:hAnsi="Arial" w:cs="Arial"/>
                <w:b/>
                <w:color w:val="FFFFFF"/>
                <w:sz w:val="18"/>
              </w:rPr>
            </w:pPr>
            <w:r w:rsidRPr="008A247D">
              <w:rPr>
                <w:rFonts w:ascii="Arial" w:hAnsi="Arial" w:cs="Arial"/>
                <w:b/>
                <w:color w:val="FFFFFF"/>
                <w:sz w:val="18"/>
              </w:rPr>
              <w:t>Date final report issued:</w:t>
            </w:r>
          </w:p>
        </w:tc>
        <w:tc>
          <w:tcPr>
            <w:tcW w:w="3402" w:type="dxa"/>
            <w:shd w:val="clear" w:color="auto" w:fill="F3F3F3"/>
          </w:tcPr>
          <w:p w:rsidR="008A247D" w:rsidRPr="008A247D" w:rsidRDefault="00664005" w:rsidP="008A247D">
            <w:pPr>
              <w:spacing w:before="60" w:after="60" w:line="271" w:lineRule="auto"/>
              <w:rPr>
                <w:rFonts w:ascii="Arial" w:hAnsi="Arial" w:cs="Arial"/>
                <w:color w:val="000000"/>
                <w:sz w:val="18"/>
              </w:rPr>
            </w:pPr>
            <w:r>
              <w:rPr>
                <w:rFonts w:ascii="Arial" w:hAnsi="Arial" w:cs="Arial"/>
                <w:color w:val="000000"/>
                <w:sz w:val="18"/>
              </w:rPr>
              <w:t>6</w:t>
            </w:r>
            <w:r w:rsidRPr="00664005">
              <w:rPr>
                <w:rFonts w:ascii="Arial" w:hAnsi="Arial" w:cs="Arial"/>
                <w:color w:val="000000"/>
                <w:sz w:val="18"/>
                <w:vertAlign w:val="superscript"/>
              </w:rPr>
              <w:t>th</w:t>
            </w:r>
            <w:r>
              <w:rPr>
                <w:rFonts w:ascii="Arial" w:hAnsi="Arial" w:cs="Arial"/>
                <w:color w:val="000000"/>
                <w:sz w:val="18"/>
              </w:rPr>
              <w:t xml:space="preserve"> November 2017</w:t>
            </w:r>
          </w:p>
        </w:tc>
        <w:tc>
          <w:tcPr>
            <w:tcW w:w="7370" w:type="dxa"/>
          </w:tcPr>
          <w:p w:rsidR="008A247D" w:rsidRDefault="008A247D" w:rsidP="008A247D">
            <w:pPr>
              <w:spacing w:before="60" w:after="60" w:line="271" w:lineRule="auto"/>
              <w:rPr>
                <w:rFonts w:ascii="Arial" w:hAnsi="Arial" w:cs="Arial"/>
                <w:color w:val="000000"/>
                <w:sz w:val="20"/>
              </w:rPr>
            </w:pPr>
          </w:p>
        </w:tc>
      </w:tr>
    </w:tbl>
    <w:p w:rsidR="008A247D" w:rsidRDefault="008A247D" w:rsidP="008A247D">
      <w:pPr>
        <w:spacing w:before="120" w:after="120" w:line="271" w:lineRule="auto"/>
        <w:rPr>
          <w:rFonts w:ascii="Arial" w:hAnsi="Arial" w:cs="Arial"/>
          <w:color w:val="000000"/>
          <w:sz w:val="20"/>
        </w:rPr>
      </w:pPr>
    </w:p>
    <w:p w:rsidR="008A247D" w:rsidRDefault="008A247D" w:rsidP="008A247D">
      <w:pPr>
        <w:spacing w:before="120" w:after="120" w:line="271" w:lineRule="auto"/>
        <w:rPr>
          <w:rFonts w:ascii="Arial" w:hAnsi="Arial" w:cs="Arial"/>
          <w:color w:val="000000"/>
          <w:sz w:val="20"/>
        </w:rPr>
        <w:sectPr w:rsidR="008A247D" w:rsidSect="008A247D">
          <w:headerReference w:type="default" r:id="rId20"/>
          <w:footerReference w:type="default" r:id="rId21"/>
          <w:pgSz w:w="16838" w:h="11906" w:orient="landscape"/>
          <w:pgMar w:top="850" w:right="850" w:bottom="850" w:left="850" w:header="708" w:footer="708" w:gutter="0"/>
          <w:cols w:space="708"/>
          <w:docGrid w:linePitch="360"/>
        </w:sectPr>
      </w:pPr>
    </w:p>
    <w:p w:rsidR="008A247D" w:rsidRDefault="008A247D" w:rsidP="008A247D">
      <w:pPr>
        <w:spacing w:before="120" w:after="120" w:line="271" w:lineRule="auto"/>
        <w:rPr>
          <w:rFonts w:ascii="Arial" w:hAnsi="Arial" w:cs="Arial"/>
          <w:color w:val="000000"/>
          <w:sz w:val="20"/>
        </w:rPr>
      </w:pPr>
    </w:p>
    <w:p w:rsidR="008A247D" w:rsidRDefault="008A247D" w:rsidP="008A247D">
      <w:pPr>
        <w:pStyle w:val="ListParagraph"/>
        <w:numPr>
          <w:ilvl w:val="0"/>
          <w:numId w:val="2"/>
        </w:numPr>
        <w:spacing w:before="120" w:after="120" w:line="271" w:lineRule="auto"/>
        <w:jc w:val="both"/>
        <w:rPr>
          <w:rFonts w:ascii="Arial" w:hAnsi="Arial" w:cs="Arial"/>
          <w:color w:val="000000"/>
          <w:sz w:val="20"/>
        </w:rPr>
      </w:pPr>
      <w:r w:rsidRPr="008A247D">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8A247D" w:rsidTr="008A247D">
        <w:trPr>
          <w:jc w:val="right"/>
        </w:trPr>
        <w:tc>
          <w:tcPr>
            <w:tcW w:w="13890" w:type="dxa"/>
            <w:shd w:val="clear" w:color="auto" w:fill="FFFFFF"/>
          </w:tcPr>
          <w:p w:rsidR="008A247D" w:rsidRPr="008A247D" w:rsidRDefault="008A247D" w:rsidP="008A247D">
            <w:pPr>
              <w:spacing w:before="120" w:after="120" w:line="271" w:lineRule="auto"/>
              <w:rPr>
                <w:rFonts w:ascii="Arial" w:hAnsi="Arial" w:cs="Arial"/>
                <w:b/>
                <w:color w:val="163D82"/>
                <w:sz w:val="20"/>
              </w:rPr>
            </w:pPr>
            <w:r>
              <w:rPr>
                <w:rFonts w:ascii="Arial" w:hAnsi="Arial" w:cs="Arial"/>
                <w:b/>
                <w:color w:val="163D82"/>
                <w:sz w:val="20"/>
              </w:rPr>
              <w:t>Directed Risk: Failure to direct the process through approved policy &amp; procedures.</w:t>
            </w:r>
          </w:p>
        </w:tc>
      </w:tr>
    </w:tbl>
    <w:p w:rsidR="008A247D" w:rsidRP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 xml:space="preserve">The Joint Corporate Governance Framework, that was last reviewed and updated in 2016, includes the Financial Regulations and Standing Orders for the Force. Adequate direction for the operation of accounts payable, accounts receivable and treasury management is included, along with any relevant delegated limits. The Financial Regulations make explicit reference to the requirement to have segregation of duties. </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In addition to the Financial Regulations there is a documented Annual Investment Strategy; the most recent review was undertaken in February 2017 for the 2017/18 version. It was noted that the Prudential Indicators for Treasury Management were also reviewed at this time, which affords compliance with the CIPFA Prudential Code of Practice.</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Procedures are documented for the Accounts Payable, Accounts Receivable and cover the following processes within the areas covered by this scope:</w:t>
      </w:r>
    </w:p>
    <w:p w:rsidR="008A247D" w:rsidRDefault="008A247D" w:rsidP="008A247D">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Raising Invoices;</w:t>
      </w:r>
    </w:p>
    <w:p w:rsidR="008A247D" w:rsidRDefault="008A247D" w:rsidP="008A247D">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 xml:space="preserve">Setting up a Supplier; </w:t>
      </w:r>
    </w:p>
    <w:p w:rsidR="008A247D" w:rsidRDefault="008A247D" w:rsidP="008A247D">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 xml:space="preserve">Changing Bank Details on a Supplier; </w:t>
      </w:r>
    </w:p>
    <w:p w:rsidR="008A247D" w:rsidRDefault="008A247D" w:rsidP="008A247D">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 xml:space="preserve">BACS Payment Run; </w:t>
      </w:r>
    </w:p>
    <w:p w:rsidR="008A247D" w:rsidRDefault="008A247D" w:rsidP="008A247D">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 xml:space="preserve">Cheque Payment Run; </w:t>
      </w:r>
    </w:p>
    <w:p w:rsidR="008A247D" w:rsidRDefault="008A247D" w:rsidP="008A247D">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 xml:space="preserve">Setting Up a Customer; and </w:t>
      </w:r>
    </w:p>
    <w:p w:rsidR="008A247D" w:rsidRPr="008A247D" w:rsidRDefault="008A247D" w:rsidP="008A247D">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Producing Debt Reminder Letters.</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In relation to Treasury Management there are documented procedures for Cash Flow Management, Investments and BACS processing.</w:t>
      </w:r>
    </w:p>
    <w:p w:rsidR="008A247D" w:rsidRDefault="006A1762"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Procedures are also documented for the management of the Chart of Accounts and the raising and processing of journals.</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8A247D" w:rsidTr="008A247D">
        <w:trPr>
          <w:jc w:val="right"/>
        </w:trPr>
        <w:tc>
          <w:tcPr>
            <w:tcW w:w="13890" w:type="dxa"/>
            <w:shd w:val="clear" w:color="auto" w:fill="FFFFFF"/>
          </w:tcPr>
          <w:p w:rsidR="008A247D" w:rsidRPr="008A247D" w:rsidRDefault="008A247D" w:rsidP="008A247D">
            <w:pPr>
              <w:spacing w:before="120" w:after="120" w:line="271" w:lineRule="auto"/>
              <w:rPr>
                <w:rFonts w:ascii="Arial" w:hAnsi="Arial" w:cs="Arial"/>
                <w:b/>
                <w:color w:val="163D82"/>
                <w:sz w:val="20"/>
              </w:rPr>
            </w:pPr>
            <w:r>
              <w:rPr>
                <w:rFonts w:ascii="Arial" w:hAnsi="Arial" w:cs="Arial"/>
                <w:b/>
                <w:color w:val="163D82"/>
                <w:sz w:val="20"/>
              </w:rPr>
              <w:t>Compliance Risk: Failure to comply with approved policy and procedure leads to potential losses.</w:t>
            </w:r>
          </w:p>
        </w:tc>
      </w:tr>
    </w:tbl>
    <w:p w:rsidR="008A247D" w:rsidRPr="00E640A1" w:rsidRDefault="00313B37" w:rsidP="00313B37">
      <w:pPr>
        <w:spacing w:before="120" w:after="120" w:line="271" w:lineRule="auto"/>
        <w:rPr>
          <w:rFonts w:ascii="Arial" w:hAnsi="Arial" w:cs="Arial"/>
          <w:color w:val="DC0D15"/>
          <w:sz w:val="20"/>
        </w:rPr>
      </w:pPr>
      <w:r>
        <w:rPr>
          <w:rFonts w:ascii="Arial" w:hAnsi="Arial" w:cs="Arial"/>
          <w:color w:val="000000"/>
          <w:sz w:val="20"/>
        </w:rPr>
        <w:tab/>
      </w:r>
      <w:r w:rsidRPr="00E640A1">
        <w:rPr>
          <w:rFonts w:ascii="Arial" w:hAnsi="Arial" w:cs="Arial"/>
          <w:b/>
          <w:color w:val="DC0D15"/>
          <w:sz w:val="20"/>
        </w:rPr>
        <w:t>Accounts Payable</w:t>
      </w:r>
    </w:p>
    <w:p w:rsidR="00313B37" w:rsidRDefault="00313B37" w:rsidP="00313B37">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 xml:space="preserve">Twenty invoices raised by the Force in the first six months of 2017/18 were selected for review. For each invoice in the sample there was a fully completed and authorised pro-forma along with the relevant budget code. It was also noted that each pro-forma had </w:t>
      </w:r>
      <w:r w:rsidR="00923167" w:rsidRPr="008A247D">
        <w:rPr>
          <w:rFonts w:ascii="Arial" w:hAnsi="Arial" w:cs="Arial"/>
          <w:color w:val="000000"/>
          <w:sz w:val="20"/>
        </w:rPr>
        <w:t>been</w:t>
      </w:r>
      <w:r w:rsidRPr="008A247D">
        <w:rPr>
          <w:rFonts w:ascii="Arial" w:hAnsi="Arial" w:cs="Arial"/>
          <w:color w:val="000000"/>
          <w:sz w:val="20"/>
        </w:rPr>
        <w:t xml:space="preserve"> checked and validated by the Finance Team before processing. </w:t>
      </w:r>
    </w:p>
    <w:p w:rsidR="008A247D" w:rsidRPr="006A1762" w:rsidRDefault="008A247D" w:rsidP="006A1762">
      <w:pPr>
        <w:pStyle w:val="ListParagraph"/>
        <w:numPr>
          <w:ilvl w:val="1"/>
          <w:numId w:val="2"/>
        </w:numPr>
        <w:spacing w:before="120" w:after="120" w:line="271" w:lineRule="auto"/>
        <w:jc w:val="both"/>
        <w:rPr>
          <w:rFonts w:ascii="Arial" w:hAnsi="Arial" w:cs="Arial"/>
          <w:color w:val="000000"/>
          <w:sz w:val="20"/>
        </w:rPr>
      </w:pPr>
      <w:r w:rsidRPr="006A1762">
        <w:rPr>
          <w:rFonts w:ascii="Arial" w:hAnsi="Arial" w:cs="Arial"/>
          <w:color w:val="000000"/>
          <w:sz w:val="20"/>
        </w:rPr>
        <w:t xml:space="preserve">Invoices are then system matched to Purchase Orders and Good Receipted, which allows the invoice to proceed for payment when due. Any invoices where the match cannot </w:t>
      </w:r>
      <w:r w:rsidR="006A1762">
        <w:rPr>
          <w:rFonts w:ascii="Arial" w:hAnsi="Arial" w:cs="Arial"/>
          <w:color w:val="000000"/>
          <w:sz w:val="20"/>
        </w:rPr>
        <w:t>be made are placed o</w:t>
      </w:r>
      <w:r w:rsidRPr="006A1762">
        <w:rPr>
          <w:rFonts w:ascii="Arial" w:hAnsi="Arial" w:cs="Arial"/>
          <w:color w:val="000000"/>
          <w:sz w:val="20"/>
        </w:rPr>
        <w:t xml:space="preserve">n 'hold'. A weekly </w:t>
      </w:r>
      <w:r w:rsidR="006A1762">
        <w:rPr>
          <w:rFonts w:ascii="Arial" w:hAnsi="Arial" w:cs="Arial"/>
          <w:color w:val="000000"/>
          <w:sz w:val="20"/>
        </w:rPr>
        <w:t>‘</w:t>
      </w:r>
      <w:r w:rsidRPr="006A1762">
        <w:rPr>
          <w:rFonts w:ascii="Arial" w:hAnsi="Arial" w:cs="Arial"/>
          <w:color w:val="000000"/>
          <w:sz w:val="20"/>
        </w:rPr>
        <w:t xml:space="preserve">Hold </w:t>
      </w:r>
      <w:r w:rsidR="006A1762">
        <w:rPr>
          <w:rFonts w:ascii="Arial" w:hAnsi="Arial" w:cs="Arial"/>
          <w:color w:val="000000"/>
          <w:sz w:val="20"/>
        </w:rPr>
        <w:t>R</w:t>
      </w:r>
      <w:r w:rsidRPr="006A1762">
        <w:rPr>
          <w:rFonts w:ascii="Arial" w:hAnsi="Arial" w:cs="Arial"/>
          <w:color w:val="000000"/>
          <w:sz w:val="20"/>
        </w:rPr>
        <w:t>eport</w:t>
      </w:r>
      <w:r w:rsidR="006A1762">
        <w:rPr>
          <w:rFonts w:ascii="Arial" w:hAnsi="Arial" w:cs="Arial"/>
          <w:color w:val="000000"/>
          <w:sz w:val="20"/>
        </w:rPr>
        <w:t>’</w:t>
      </w:r>
      <w:r w:rsidRPr="006A1762">
        <w:rPr>
          <w:rFonts w:ascii="Arial" w:hAnsi="Arial" w:cs="Arial"/>
          <w:color w:val="000000"/>
          <w:sz w:val="20"/>
        </w:rPr>
        <w:t xml:space="preserve"> is provided to </w:t>
      </w:r>
      <w:r w:rsidR="006A1762">
        <w:rPr>
          <w:rFonts w:ascii="Arial" w:hAnsi="Arial" w:cs="Arial"/>
          <w:color w:val="000000"/>
          <w:sz w:val="20"/>
        </w:rPr>
        <w:t xml:space="preserve">the relevant </w:t>
      </w:r>
      <w:r w:rsidRPr="006A1762">
        <w:rPr>
          <w:rFonts w:ascii="Arial" w:hAnsi="Arial" w:cs="Arial"/>
          <w:color w:val="000000"/>
          <w:sz w:val="20"/>
        </w:rPr>
        <w:t>requisitioners so that they can review and progress any invoices that are unable to be matched. An overnight validation is automatically run to pull these invoices through to payment stage following review.</w:t>
      </w:r>
    </w:p>
    <w:p w:rsidR="008A247D" w:rsidRPr="006A1762" w:rsidRDefault="008A247D" w:rsidP="006A1762">
      <w:pPr>
        <w:pStyle w:val="ListParagraph"/>
        <w:numPr>
          <w:ilvl w:val="1"/>
          <w:numId w:val="2"/>
        </w:numPr>
        <w:spacing w:before="120" w:after="120" w:line="271" w:lineRule="auto"/>
        <w:jc w:val="both"/>
        <w:rPr>
          <w:rFonts w:ascii="Arial" w:hAnsi="Arial" w:cs="Arial"/>
          <w:color w:val="000000"/>
          <w:sz w:val="20"/>
        </w:rPr>
      </w:pPr>
      <w:r w:rsidRPr="006A1762">
        <w:rPr>
          <w:rFonts w:ascii="Arial" w:hAnsi="Arial" w:cs="Arial"/>
          <w:color w:val="000000"/>
          <w:sz w:val="20"/>
        </w:rPr>
        <w:t>Invoices where there is no purchase order quoted are generally returned to the supplier for further information and resubmission. The exception would be where the invoice relates to a key service or supplier</w:t>
      </w:r>
      <w:r w:rsidR="006A1762">
        <w:rPr>
          <w:rFonts w:ascii="Arial" w:hAnsi="Arial" w:cs="Arial"/>
          <w:color w:val="000000"/>
          <w:sz w:val="20"/>
        </w:rPr>
        <w:t>, for which contact with the supplier would be made to clarify the details</w:t>
      </w:r>
      <w:r w:rsidRPr="006A1762">
        <w:rPr>
          <w:rFonts w:ascii="Arial" w:hAnsi="Arial" w:cs="Arial"/>
          <w:color w:val="000000"/>
          <w:sz w:val="20"/>
        </w:rPr>
        <w:t>.</w:t>
      </w:r>
    </w:p>
    <w:p w:rsidR="008A247D" w:rsidRPr="006A1762" w:rsidRDefault="008A247D" w:rsidP="006A1762">
      <w:pPr>
        <w:pStyle w:val="ListParagraph"/>
        <w:numPr>
          <w:ilvl w:val="1"/>
          <w:numId w:val="2"/>
        </w:numPr>
        <w:spacing w:before="120" w:after="120" w:line="271" w:lineRule="auto"/>
        <w:jc w:val="both"/>
        <w:rPr>
          <w:rFonts w:ascii="Arial" w:hAnsi="Arial" w:cs="Arial"/>
          <w:color w:val="000000"/>
          <w:sz w:val="20"/>
        </w:rPr>
      </w:pPr>
      <w:r w:rsidRPr="006A1762">
        <w:rPr>
          <w:rFonts w:ascii="Arial" w:hAnsi="Arial" w:cs="Arial"/>
          <w:color w:val="000000"/>
          <w:sz w:val="20"/>
        </w:rPr>
        <w:t>It was noted that all Fleet related invoices are passed to the Fleet management team for individual review and coding.</w:t>
      </w:r>
    </w:p>
    <w:p w:rsidR="008A247D" w:rsidRPr="006A1762" w:rsidRDefault="008A247D" w:rsidP="006A1762">
      <w:pPr>
        <w:pStyle w:val="ListParagraph"/>
        <w:numPr>
          <w:ilvl w:val="1"/>
          <w:numId w:val="2"/>
        </w:numPr>
        <w:spacing w:before="120" w:after="120" w:line="271" w:lineRule="auto"/>
        <w:jc w:val="both"/>
        <w:rPr>
          <w:rFonts w:ascii="Arial" w:hAnsi="Arial" w:cs="Arial"/>
          <w:color w:val="000000"/>
          <w:sz w:val="20"/>
        </w:rPr>
      </w:pPr>
      <w:r w:rsidRPr="006A1762">
        <w:rPr>
          <w:rFonts w:ascii="Arial" w:hAnsi="Arial" w:cs="Arial"/>
          <w:color w:val="000000"/>
          <w:sz w:val="20"/>
        </w:rPr>
        <w:t>A sample of 15 invoices paid during the three months from June 2017 was reviewed. The sample contained 11 invoices that were system matched and four that were subject to manual r</w:t>
      </w:r>
      <w:r w:rsidR="006A1762">
        <w:rPr>
          <w:rFonts w:ascii="Arial" w:hAnsi="Arial" w:cs="Arial"/>
          <w:color w:val="000000"/>
          <w:sz w:val="20"/>
        </w:rPr>
        <w:t>eview. In each case the invoice</w:t>
      </w:r>
      <w:r w:rsidRPr="006A1762">
        <w:rPr>
          <w:rFonts w:ascii="Arial" w:hAnsi="Arial" w:cs="Arial"/>
          <w:color w:val="000000"/>
          <w:sz w:val="20"/>
        </w:rPr>
        <w:t xml:space="preserve"> was evidenced and had been matched to the correct purchase order</w:t>
      </w:r>
      <w:r w:rsidR="006A1762">
        <w:rPr>
          <w:rFonts w:ascii="Arial" w:hAnsi="Arial" w:cs="Arial"/>
          <w:color w:val="000000"/>
          <w:sz w:val="20"/>
        </w:rPr>
        <w:t>,</w:t>
      </w:r>
      <w:r w:rsidRPr="006A1762">
        <w:rPr>
          <w:rFonts w:ascii="Arial" w:hAnsi="Arial" w:cs="Arial"/>
          <w:color w:val="000000"/>
          <w:sz w:val="20"/>
        </w:rPr>
        <w:t xml:space="preserve"> or had been subject to review and </w:t>
      </w:r>
      <w:r w:rsidR="006A1762">
        <w:rPr>
          <w:rFonts w:ascii="Arial" w:hAnsi="Arial" w:cs="Arial"/>
          <w:color w:val="000000"/>
          <w:sz w:val="20"/>
        </w:rPr>
        <w:t xml:space="preserve">been </w:t>
      </w:r>
      <w:r w:rsidRPr="006A1762">
        <w:rPr>
          <w:rFonts w:ascii="Arial" w:hAnsi="Arial" w:cs="Arial"/>
          <w:color w:val="000000"/>
          <w:sz w:val="20"/>
        </w:rPr>
        <w:t>duly authorised. Where the invoice had been manually authorised the audit trail was evident and the payments had been authorised in accordance with delegated levels of authority.</w:t>
      </w:r>
    </w:p>
    <w:p w:rsidR="008A247D" w:rsidRDefault="008A247D" w:rsidP="006A1762">
      <w:pPr>
        <w:pStyle w:val="ListParagraph"/>
        <w:numPr>
          <w:ilvl w:val="1"/>
          <w:numId w:val="2"/>
        </w:numPr>
        <w:spacing w:before="120" w:after="120" w:line="271" w:lineRule="auto"/>
        <w:jc w:val="both"/>
        <w:rPr>
          <w:rFonts w:ascii="Arial" w:hAnsi="Arial" w:cs="Arial"/>
          <w:b/>
          <w:color w:val="163D82"/>
          <w:sz w:val="20"/>
        </w:rPr>
      </w:pPr>
      <w:r w:rsidRPr="006A1762">
        <w:rPr>
          <w:rFonts w:ascii="Arial" w:hAnsi="Arial" w:cs="Arial"/>
          <w:color w:val="000000"/>
          <w:sz w:val="20"/>
        </w:rPr>
        <w:t>A signature list for approvers is held by the Finance Team and was last updated in September 2017</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A sample of 10 new suppliers that were set up in the three months from June 2017 was reviewed. This equated to circa 10% of the new accounts in the period selected. For each </w:t>
      </w:r>
      <w:r w:rsidR="006A1762">
        <w:rPr>
          <w:rFonts w:ascii="Arial" w:hAnsi="Arial" w:cs="Arial"/>
          <w:color w:val="000000"/>
          <w:sz w:val="20"/>
        </w:rPr>
        <w:t>supplier a Supplier</w:t>
      </w:r>
      <w:r>
        <w:rPr>
          <w:rFonts w:ascii="Arial" w:hAnsi="Arial" w:cs="Arial"/>
          <w:color w:val="000000"/>
          <w:sz w:val="20"/>
        </w:rPr>
        <w:t xml:space="preserve"> Setup Form was evidenced that had been completed by the originator and subsequently authorised. It was noted that on receipt of the form the Finance Team review the information and carry out additional checks to confirm that the payments details do not already exist on Oracle. </w:t>
      </w:r>
    </w:p>
    <w:p w:rsidR="008A247D" w:rsidRPr="00FD5B4C"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It was advised that the Oracle system does not permit a report to be run to identify when supplier banks details have been changed. A</w:t>
      </w:r>
      <w:r w:rsidR="006A1762">
        <w:rPr>
          <w:rFonts w:ascii="Arial" w:hAnsi="Arial" w:cs="Arial"/>
          <w:color w:val="000000"/>
          <w:sz w:val="20"/>
        </w:rPr>
        <w:t>s</w:t>
      </w:r>
      <w:r>
        <w:rPr>
          <w:rFonts w:ascii="Arial" w:hAnsi="Arial" w:cs="Arial"/>
          <w:color w:val="000000"/>
          <w:sz w:val="20"/>
        </w:rPr>
        <w:t xml:space="preserve"> such a sample of five changes made in July 2017 was selected </w:t>
      </w:r>
      <w:r w:rsidR="006A1762">
        <w:rPr>
          <w:rFonts w:ascii="Arial" w:hAnsi="Arial" w:cs="Arial"/>
          <w:color w:val="000000"/>
          <w:sz w:val="20"/>
        </w:rPr>
        <w:t>through a manual review of documentation held on file.</w:t>
      </w:r>
      <w:r>
        <w:rPr>
          <w:rFonts w:ascii="Arial" w:hAnsi="Arial" w:cs="Arial"/>
          <w:color w:val="000000"/>
          <w:sz w:val="20"/>
        </w:rPr>
        <w:t xml:space="preserve"> For four of the changes reviewed there was evidence to support that a verification was undertaken using existing contact details. It was however, noted in discussions, that this is not a practice</w:t>
      </w:r>
      <w:r w:rsidR="006A1762">
        <w:rPr>
          <w:rFonts w:ascii="Arial" w:hAnsi="Arial" w:cs="Arial"/>
          <w:color w:val="000000"/>
          <w:sz w:val="20"/>
        </w:rPr>
        <w:t xml:space="preserve"> adopted for all change requests.</w:t>
      </w:r>
      <w:r>
        <w:rPr>
          <w:rFonts w:ascii="Arial" w:hAnsi="Arial" w:cs="Arial"/>
          <w:color w:val="000000"/>
          <w:sz w:val="20"/>
        </w:rPr>
        <w:t xml:space="preserve"> This was borne out by the remaining change in the sample, where emails with an attachment had been received by the Force providing the new details</w:t>
      </w:r>
      <w:r w:rsidR="006A1762">
        <w:rPr>
          <w:rFonts w:ascii="Arial" w:hAnsi="Arial" w:cs="Arial"/>
          <w:color w:val="000000"/>
          <w:sz w:val="20"/>
        </w:rPr>
        <w:t>, with no subsequent check evident</w:t>
      </w:r>
      <w:r>
        <w:rPr>
          <w:rFonts w:ascii="Arial" w:hAnsi="Arial" w:cs="Arial"/>
          <w:color w:val="000000"/>
          <w:sz w:val="20"/>
        </w:rPr>
        <w:t>.</w:t>
      </w:r>
      <w:r w:rsidR="00FD5B4C">
        <w:rPr>
          <w:rFonts w:ascii="Arial" w:hAnsi="Arial" w:cs="Arial"/>
          <w:color w:val="000000"/>
          <w:sz w:val="20"/>
        </w:rPr>
        <w:t xml:space="preserve"> </w:t>
      </w:r>
      <w:r w:rsidR="00FD5B4C">
        <w:rPr>
          <w:rFonts w:ascii="Arial" w:hAnsi="Arial" w:cs="Arial"/>
          <w:sz w:val="20"/>
          <w:szCs w:val="20"/>
        </w:rPr>
        <w:t>This should be undertaken for all changes requested, not just those relating to supplier bank account details.</w:t>
      </w:r>
    </w:p>
    <w:p w:rsidR="00FD5B4C" w:rsidRPr="00FD5B4C" w:rsidRDefault="00FD5B4C"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szCs w:val="20"/>
        </w:rPr>
        <w:t>One approach used by fraudsters is to request that contact details are changed on the system (prior to submitting a bank account change request) as these tend not to be subject to the same level of scrutiny by employees.</w:t>
      </w:r>
    </w:p>
    <w:p w:rsidR="00FD5B4C" w:rsidRPr="00FD5B4C" w:rsidRDefault="00FD5B4C"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szCs w:val="20"/>
        </w:rPr>
        <w:t>Another approach is for fraudsters to contact an organisation’s suppliers (pertaining to be the targeted organisation) requesting that they submit copies of all outstanding invoices. If obtained, this gives the fraudster knowledge of the organisation’s point of contact for account payments, contact details (normally email) and outstanding invoices, which can then be doctored to include a new bank account details section. Again, such change requests tend not to be subject to the same level of scrutiny by employees.</w:t>
      </w:r>
    </w:p>
    <w:p w:rsidR="00FD5B4C" w:rsidRPr="00FD5B4C" w:rsidRDefault="00FD5B4C"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szCs w:val="20"/>
        </w:rPr>
        <w:t xml:space="preserve">Fraudsters are clearly becoming more ingenious in their approach requesting such changes and it is important that the </w:t>
      </w:r>
      <w:r w:rsidR="009265C5">
        <w:rPr>
          <w:rFonts w:ascii="Arial" w:hAnsi="Arial" w:cs="Arial"/>
          <w:color w:val="000000"/>
          <w:sz w:val="20"/>
          <w:szCs w:val="20"/>
        </w:rPr>
        <w:t>organisation</w:t>
      </w:r>
      <w:r>
        <w:rPr>
          <w:rFonts w:ascii="Arial" w:hAnsi="Arial" w:cs="Arial"/>
          <w:color w:val="000000"/>
          <w:sz w:val="20"/>
          <w:szCs w:val="20"/>
        </w:rPr>
        <w:t xml:space="preserve"> has processes in place to mitigate against the risk of this occurring. It should therefore be ensured that the same verification process is utilised in order to verify the authenticity of all changes made.</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FD5B4C" w:rsidTr="00582933">
        <w:trPr>
          <w:jc w:val="right"/>
        </w:trPr>
        <w:tc>
          <w:tcPr>
            <w:tcW w:w="10772" w:type="dxa"/>
            <w:shd w:val="clear" w:color="auto" w:fill="163D82"/>
          </w:tcPr>
          <w:p w:rsidR="00FD5B4C" w:rsidRPr="008A247D" w:rsidRDefault="00FD5B4C" w:rsidP="00582933">
            <w:pPr>
              <w:spacing w:before="60" w:after="60" w:line="271" w:lineRule="auto"/>
              <w:rPr>
                <w:rFonts w:ascii="Arial" w:hAnsi="Arial" w:cs="Arial"/>
                <w:b/>
                <w:color w:val="FFFFFF"/>
                <w:sz w:val="20"/>
              </w:rPr>
            </w:pPr>
            <w:r>
              <w:rPr>
                <w:rFonts w:ascii="Arial" w:hAnsi="Arial" w:cs="Arial"/>
                <w:b/>
                <w:color w:val="FFFFFF"/>
                <w:sz w:val="20"/>
              </w:rPr>
              <w:t>Recommendation: 1</w:t>
            </w:r>
          </w:p>
        </w:tc>
        <w:tc>
          <w:tcPr>
            <w:tcW w:w="2948" w:type="dxa"/>
            <w:shd w:val="clear" w:color="auto" w:fill="E5730F"/>
          </w:tcPr>
          <w:p w:rsidR="00FD5B4C" w:rsidRPr="008A247D" w:rsidRDefault="00FD5B4C" w:rsidP="00582933">
            <w:pPr>
              <w:spacing w:before="60" w:after="60" w:line="271" w:lineRule="auto"/>
              <w:rPr>
                <w:rFonts w:ascii="Arial" w:hAnsi="Arial" w:cs="Arial"/>
                <w:b/>
                <w:color w:val="FFFFFF"/>
                <w:sz w:val="20"/>
              </w:rPr>
            </w:pPr>
            <w:r>
              <w:rPr>
                <w:rFonts w:ascii="Arial" w:hAnsi="Arial" w:cs="Arial"/>
                <w:b/>
                <w:color w:val="FFFFFF"/>
                <w:sz w:val="20"/>
              </w:rPr>
              <w:t>Priority: 2</w:t>
            </w:r>
          </w:p>
        </w:tc>
      </w:tr>
      <w:tr w:rsidR="00FD5B4C" w:rsidTr="00582933">
        <w:trPr>
          <w:jc w:val="right"/>
        </w:trPr>
        <w:tc>
          <w:tcPr>
            <w:tcW w:w="13720" w:type="dxa"/>
            <w:gridSpan w:val="2"/>
            <w:shd w:val="clear" w:color="auto" w:fill="F2F2F2"/>
          </w:tcPr>
          <w:p w:rsidR="00FD5B4C" w:rsidRPr="008A247D" w:rsidRDefault="00FD5B4C" w:rsidP="00FD5B4C">
            <w:pPr>
              <w:spacing w:before="60" w:after="60" w:line="271" w:lineRule="auto"/>
              <w:jc w:val="both"/>
              <w:rPr>
                <w:rFonts w:ascii="Arial" w:hAnsi="Arial" w:cs="Arial"/>
                <w:b/>
                <w:color w:val="000000"/>
                <w:sz w:val="20"/>
              </w:rPr>
            </w:pPr>
            <w:r>
              <w:rPr>
                <w:rFonts w:ascii="Arial" w:hAnsi="Arial" w:cs="Arial"/>
                <w:b/>
                <w:color w:val="000000"/>
                <w:sz w:val="20"/>
              </w:rPr>
              <w:t>All supplier account details changes be verified with the supplier using existing contact details before the change is made.</w:t>
            </w:r>
          </w:p>
        </w:tc>
      </w:tr>
    </w:tbl>
    <w:p w:rsidR="00313B37" w:rsidRDefault="00313B37" w:rsidP="00313B37">
      <w:pPr>
        <w:pStyle w:val="ListParagraph"/>
        <w:spacing w:before="120" w:after="120" w:line="271" w:lineRule="auto"/>
        <w:ind w:left="1440"/>
        <w:jc w:val="both"/>
        <w:rPr>
          <w:rFonts w:ascii="Arial" w:hAnsi="Arial" w:cs="Arial"/>
          <w:color w:val="000000"/>
          <w:sz w:val="20"/>
        </w:rPr>
      </w:pP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313B37" w:rsidTr="00582933">
        <w:trPr>
          <w:jc w:val="right"/>
        </w:trPr>
        <w:tc>
          <w:tcPr>
            <w:tcW w:w="10772" w:type="dxa"/>
            <w:shd w:val="clear" w:color="auto" w:fill="163D82"/>
          </w:tcPr>
          <w:p w:rsidR="00313B37" w:rsidRPr="008A247D" w:rsidRDefault="00313B37" w:rsidP="00313B37">
            <w:pPr>
              <w:spacing w:before="60" w:after="60" w:line="271" w:lineRule="auto"/>
              <w:rPr>
                <w:rFonts w:ascii="Arial" w:hAnsi="Arial" w:cs="Arial"/>
                <w:b/>
                <w:color w:val="FFFFFF"/>
                <w:sz w:val="20"/>
              </w:rPr>
            </w:pPr>
            <w:r>
              <w:rPr>
                <w:rFonts w:ascii="Arial" w:hAnsi="Arial" w:cs="Arial"/>
                <w:b/>
                <w:color w:val="FFFFFF"/>
                <w:sz w:val="20"/>
              </w:rPr>
              <w:t>Recommendation: 2</w:t>
            </w:r>
          </w:p>
        </w:tc>
        <w:tc>
          <w:tcPr>
            <w:tcW w:w="2948" w:type="dxa"/>
            <w:shd w:val="clear" w:color="auto" w:fill="E5730F"/>
          </w:tcPr>
          <w:p w:rsidR="00313B37" w:rsidRPr="008A247D" w:rsidRDefault="00313B37" w:rsidP="00582933">
            <w:pPr>
              <w:spacing w:before="60" w:after="60" w:line="271" w:lineRule="auto"/>
              <w:rPr>
                <w:rFonts w:ascii="Arial" w:hAnsi="Arial" w:cs="Arial"/>
                <w:b/>
                <w:color w:val="FFFFFF"/>
                <w:sz w:val="20"/>
              </w:rPr>
            </w:pPr>
            <w:r>
              <w:rPr>
                <w:rFonts w:ascii="Arial" w:hAnsi="Arial" w:cs="Arial"/>
                <w:b/>
                <w:color w:val="FFFFFF"/>
                <w:sz w:val="20"/>
              </w:rPr>
              <w:t>Priority: 2</w:t>
            </w:r>
          </w:p>
        </w:tc>
      </w:tr>
      <w:tr w:rsidR="00313B37" w:rsidTr="00582933">
        <w:trPr>
          <w:jc w:val="right"/>
        </w:trPr>
        <w:tc>
          <w:tcPr>
            <w:tcW w:w="13720" w:type="dxa"/>
            <w:gridSpan w:val="2"/>
            <w:shd w:val="clear" w:color="auto" w:fill="F2F2F2"/>
          </w:tcPr>
          <w:p w:rsidR="00313B37" w:rsidRPr="008A247D" w:rsidRDefault="00313B37" w:rsidP="00582933">
            <w:pPr>
              <w:spacing w:before="60" w:after="60" w:line="271" w:lineRule="auto"/>
              <w:jc w:val="both"/>
              <w:rPr>
                <w:rFonts w:ascii="Arial" w:hAnsi="Arial" w:cs="Arial"/>
                <w:b/>
                <w:color w:val="000000"/>
                <w:sz w:val="20"/>
              </w:rPr>
            </w:pPr>
            <w:r>
              <w:rPr>
                <w:rFonts w:ascii="Arial" w:hAnsi="Arial" w:cs="Arial"/>
                <w:b/>
                <w:color w:val="000000"/>
                <w:sz w:val="20"/>
              </w:rPr>
              <w:t>Investigations be undertaken to identify if the Oracle system ca be utilised to provide a report that identifies supplier detail changes, which would allow a check to be undertaken prior to each payment run.</w:t>
            </w:r>
          </w:p>
        </w:tc>
      </w:tr>
    </w:tbl>
    <w:p w:rsidR="00FD5B4C" w:rsidRPr="00E640A1" w:rsidRDefault="00923167" w:rsidP="00923167">
      <w:pPr>
        <w:spacing w:before="120" w:after="120" w:line="271" w:lineRule="auto"/>
        <w:ind w:firstLine="720"/>
        <w:rPr>
          <w:rFonts w:ascii="Arial" w:hAnsi="Arial" w:cs="Arial"/>
          <w:b/>
          <w:color w:val="DC0D15"/>
          <w:sz w:val="20"/>
        </w:rPr>
      </w:pPr>
      <w:r w:rsidRPr="00E640A1">
        <w:rPr>
          <w:rFonts w:ascii="Arial" w:hAnsi="Arial" w:cs="Arial"/>
          <w:b/>
          <w:color w:val="DC0D15"/>
          <w:sz w:val="20"/>
        </w:rPr>
        <w:t>Accounts Receivable</w:t>
      </w:r>
    </w:p>
    <w:p w:rsidR="00923167" w:rsidRDefault="00923167" w:rsidP="00923167">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 xml:space="preserve">Twenty invoices raised by the Force in the first six months of 2017/18 were selected for review. For each invoice in the sample there was a fully completed and authorised pro-forma along with the relevant budget code. It was also noted that each pro-forma had been checked and validated by the </w:t>
      </w:r>
      <w:r>
        <w:rPr>
          <w:rFonts w:ascii="Arial" w:hAnsi="Arial" w:cs="Arial"/>
          <w:color w:val="000000"/>
          <w:sz w:val="20"/>
        </w:rPr>
        <w:t>Finance Team before processing.</w:t>
      </w:r>
    </w:p>
    <w:p w:rsidR="00FD5B4C" w:rsidRDefault="00313B37"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An aged debtors report was generated during the audit visit which showed that the total amount due was £1.237M, of which £1.144M was recorded as 61+ days overdue. Further analysis identified that there were a number of disputed invoices that amounted to £1.078M, leaving an amount of just under £70k overdue.</w:t>
      </w:r>
    </w:p>
    <w:p w:rsidR="008A247D" w:rsidRDefault="008A247D" w:rsidP="00923167">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 xml:space="preserve">A sample of five accounts </w:t>
      </w:r>
      <w:r w:rsidR="00923167">
        <w:rPr>
          <w:rFonts w:ascii="Arial" w:hAnsi="Arial" w:cs="Arial"/>
          <w:color w:val="000000"/>
          <w:sz w:val="20"/>
        </w:rPr>
        <w:t>was</w:t>
      </w:r>
      <w:r w:rsidRPr="008A247D">
        <w:rPr>
          <w:rFonts w:ascii="Arial" w:hAnsi="Arial" w:cs="Arial"/>
          <w:color w:val="000000"/>
          <w:sz w:val="20"/>
        </w:rPr>
        <w:t xml:space="preserve"> selected for review. For each account there was evidence to support the outstanding balance and the actions taken to recover. These included two accounts where an agreement was in place to recover the monies over a period of time. Evidence was provided to support the debt reminder letters being sent to overdue accounts as well as diary notes to support email and telephone contact.</w:t>
      </w:r>
    </w:p>
    <w:p w:rsidR="00923167" w:rsidRPr="00E640A1" w:rsidRDefault="00923167" w:rsidP="00923167">
      <w:pPr>
        <w:spacing w:before="120" w:after="120" w:line="271" w:lineRule="auto"/>
        <w:ind w:firstLine="720"/>
        <w:rPr>
          <w:rFonts w:ascii="Arial" w:hAnsi="Arial" w:cs="Arial"/>
          <w:b/>
          <w:color w:val="DC0D15"/>
          <w:sz w:val="20"/>
        </w:rPr>
      </w:pPr>
      <w:r w:rsidRPr="00E640A1">
        <w:rPr>
          <w:rFonts w:ascii="Arial" w:hAnsi="Arial" w:cs="Arial"/>
          <w:b/>
          <w:color w:val="DC0D15"/>
          <w:sz w:val="20"/>
        </w:rPr>
        <w:t>Treasury Management</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At the time of the audit assignment visit there were six investments made across four counterparties. Each investment was confirmed to have been made in accordance with the policy.</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An annual cash flow forecast is prepared in advance of the start of each financial year. Expected income and expenditure is collated from across the Force, with the 12 month forecast being prepared by the two Treasury Managers, which is subject to review by the Deputy Finance Manager and the CFO. A checklist has been developed that covers the key areas, to assist in the completeness of the forecast. A comprehensive audit trail of the information used to prepare the 2017-18 forecast was evidenced during the audit visit.</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The forecast is held on Excel and is password protected. As each month progresses the forecast is updated with actual figures and a month end review identifies any difference, which is then investigated to assist with the following years forecasting process.</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A daily cash flow is also maintained, which is reconciled to the bank statements that are downloaded each morning.</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Month end routines include </w:t>
      </w:r>
      <w:r w:rsidR="00923167">
        <w:rPr>
          <w:rFonts w:ascii="Arial" w:hAnsi="Arial" w:cs="Arial"/>
          <w:color w:val="000000"/>
          <w:sz w:val="20"/>
        </w:rPr>
        <w:t>a reconciliation</w:t>
      </w:r>
      <w:r>
        <w:rPr>
          <w:rFonts w:ascii="Arial" w:hAnsi="Arial" w:cs="Arial"/>
          <w:color w:val="000000"/>
          <w:sz w:val="20"/>
        </w:rPr>
        <w:t xml:space="preserve"> of bank accounts. A review or </w:t>
      </w:r>
      <w:r w:rsidR="00923167">
        <w:rPr>
          <w:rFonts w:ascii="Arial" w:hAnsi="Arial" w:cs="Arial"/>
          <w:color w:val="000000"/>
          <w:sz w:val="20"/>
        </w:rPr>
        <w:t>reconciliations</w:t>
      </w:r>
      <w:r>
        <w:rPr>
          <w:rFonts w:ascii="Arial" w:hAnsi="Arial" w:cs="Arial"/>
          <w:color w:val="000000"/>
          <w:sz w:val="20"/>
        </w:rPr>
        <w:t xml:space="preserve"> </w:t>
      </w:r>
      <w:r w:rsidR="00923167">
        <w:rPr>
          <w:rFonts w:ascii="Arial" w:hAnsi="Arial" w:cs="Arial"/>
          <w:color w:val="000000"/>
          <w:sz w:val="20"/>
        </w:rPr>
        <w:t>undertaken</w:t>
      </w:r>
      <w:r>
        <w:rPr>
          <w:rFonts w:ascii="Arial" w:hAnsi="Arial" w:cs="Arial"/>
          <w:color w:val="000000"/>
          <w:sz w:val="20"/>
        </w:rPr>
        <w:t xml:space="preserve"> in July and </w:t>
      </w:r>
      <w:r w:rsidR="00923167">
        <w:rPr>
          <w:rFonts w:ascii="Arial" w:hAnsi="Arial" w:cs="Arial"/>
          <w:color w:val="000000"/>
          <w:sz w:val="20"/>
        </w:rPr>
        <w:t>August</w:t>
      </w:r>
      <w:r>
        <w:rPr>
          <w:rFonts w:ascii="Arial" w:hAnsi="Arial" w:cs="Arial"/>
          <w:color w:val="000000"/>
          <w:sz w:val="20"/>
        </w:rPr>
        <w:t xml:space="preserve"> 2017 was undertaken. The four </w:t>
      </w:r>
      <w:r w:rsidR="00923167">
        <w:rPr>
          <w:rFonts w:ascii="Arial" w:hAnsi="Arial" w:cs="Arial"/>
          <w:color w:val="000000"/>
          <w:sz w:val="20"/>
        </w:rPr>
        <w:t>reconciliations</w:t>
      </w:r>
      <w:r>
        <w:rPr>
          <w:rFonts w:ascii="Arial" w:hAnsi="Arial" w:cs="Arial"/>
          <w:color w:val="000000"/>
          <w:sz w:val="20"/>
        </w:rPr>
        <w:t xml:space="preserve"> required each month were </w:t>
      </w:r>
      <w:r w:rsidR="00923167">
        <w:rPr>
          <w:rFonts w:ascii="Arial" w:hAnsi="Arial" w:cs="Arial"/>
          <w:color w:val="000000"/>
          <w:sz w:val="20"/>
        </w:rPr>
        <w:t>completed</w:t>
      </w:r>
      <w:r>
        <w:rPr>
          <w:rFonts w:ascii="Arial" w:hAnsi="Arial" w:cs="Arial"/>
          <w:color w:val="000000"/>
          <w:sz w:val="20"/>
        </w:rPr>
        <w:t xml:space="preserve"> by 10am on the first working day of the following month for the sample reviewed and were signed as being prepared by the Treasury Manager and checked by the Deputy </w:t>
      </w:r>
      <w:r w:rsidR="00923167">
        <w:rPr>
          <w:rFonts w:ascii="Arial" w:hAnsi="Arial" w:cs="Arial"/>
          <w:color w:val="000000"/>
          <w:sz w:val="20"/>
        </w:rPr>
        <w:t>Finance</w:t>
      </w:r>
      <w:r>
        <w:rPr>
          <w:rFonts w:ascii="Arial" w:hAnsi="Arial" w:cs="Arial"/>
          <w:color w:val="000000"/>
          <w:sz w:val="20"/>
        </w:rPr>
        <w:t xml:space="preserve"> Manager.</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 xml:space="preserve">Month end ledger </w:t>
      </w:r>
      <w:r w:rsidR="00923167" w:rsidRPr="008A247D">
        <w:rPr>
          <w:rFonts w:ascii="Arial" w:hAnsi="Arial" w:cs="Arial"/>
          <w:color w:val="000000"/>
          <w:sz w:val="20"/>
        </w:rPr>
        <w:t>reconciliation</w:t>
      </w:r>
      <w:r w:rsidR="00923167">
        <w:rPr>
          <w:rFonts w:ascii="Arial" w:hAnsi="Arial" w:cs="Arial"/>
          <w:color w:val="000000"/>
          <w:sz w:val="20"/>
        </w:rPr>
        <w:t>s</w:t>
      </w:r>
      <w:r w:rsidRPr="008A247D">
        <w:rPr>
          <w:rFonts w:ascii="Arial" w:hAnsi="Arial" w:cs="Arial"/>
          <w:color w:val="000000"/>
          <w:sz w:val="20"/>
        </w:rPr>
        <w:t xml:space="preserve"> were reviewed for </w:t>
      </w:r>
      <w:r w:rsidR="00923167" w:rsidRPr="008A247D">
        <w:rPr>
          <w:rFonts w:ascii="Arial" w:hAnsi="Arial" w:cs="Arial"/>
          <w:color w:val="000000"/>
          <w:sz w:val="20"/>
        </w:rPr>
        <w:t>July</w:t>
      </w:r>
      <w:r w:rsidRPr="008A247D">
        <w:rPr>
          <w:rFonts w:ascii="Arial" w:hAnsi="Arial" w:cs="Arial"/>
          <w:color w:val="000000"/>
          <w:sz w:val="20"/>
        </w:rPr>
        <w:t xml:space="preserve"> 2017. A full audit trail of hardcopy documents signed by the preparer (Treasury Assistant) and the reviewer (Treasury Manager) were evidenced. A checksheet is used to show sign off by the Deputy Finance Manager, which was dated </w:t>
      </w:r>
      <w:r w:rsidR="00923167" w:rsidRPr="008A247D">
        <w:rPr>
          <w:rFonts w:ascii="Arial" w:hAnsi="Arial" w:cs="Arial"/>
          <w:color w:val="000000"/>
          <w:sz w:val="20"/>
        </w:rPr>
        <w:t>the</w:t>
      </w:r>
      <w:r w:rsidRPr="008A247D">
        <w:rPr>
          <w:rFonts w:ascii="Arial" w:hAnsi="Arial" w:cs="Arial"/>
          <w:color w:val="000000"/>
          <w:sz w:val="20"/>
        </w:rPr>
        <w:t xml:space="preserve"> </w:t>
      </w:r>
      <w:r w:rsidR="00923167">
        <w:rPr>
          <w:rFonts w:ascii="Arial" w:hAnsi="Arial" w:cs="Arial"/>
          <w:color w:val="000000"/>
          <w:sz w:val="20"/>
        </w:rPr>
        <w:t>21</w:t>
      </w:r>
      <w:r w:rsidR="00923167" w:rsidRPr="00923167">
        <w:rPr>
          <w:rFonts w:ascii="Arial" w:hAnsi="Arial" w:cs="Arial"/>
          <w:color w:val="000000"/>
          <w:sz w:val="20"/>
          <w:vertAlign w:val="superscript"/>
        </w:rPr>
        <w:t>st</w:t>
      </w:r>
      <w:r w:rsidR="00923167">
        <w:rPr>
          <w:rFonts w:ascii="Arial" w:hAnsi="Arial" w:cs="Arial"/>
          <w:color w:val="000000"/>
          <w:sz w:val="20"/>
        </w:rPr>
        <w:t xml:space="preserve"> </w:t>
      </w:r>
      <w:r w:rsidRPr="008A247D">
        <w:rPr>
          <w:rFonts w:ascii="Arial" w:hAnsi="Arial" w:cs="Arial"/>
          <w:color w:val="000000"/>
          <w:sz w:val="20"/>
        </w:rPr>
        <w:t xml:space="preserve">of the following month. </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Procedures for the BACS payment run process has been documented and is supported by system screen shots. Weekly payment runs are processed every Thursday with the Treasury Team being provided with an email from the Finance Team at Sopra Steria confirming that the payment run has been scheduled, its reference number and the total value of the payments.</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The Treasury Manager reviews the Cashflow and confirms to the Finance Team that the payment run can proceed. A review of expected payments is also undertaken at this time. </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 BACS payment schedule is then created by the Finance Team, which is then picked up by the Treasury Team through the Albany system.  BACS payments are then released by one of the authorised card holders utilising the card reader and individual passwords. There are five authorised cardholders who can release payments.</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A BACSTEL-IP Submissions Summary report is generated on completion of the authorisation process which confirms that the payments have been accepted by the bank for onward transmission. The report records each individual payment as well as any rejected items, which are then subject to further review with the Finance Team.</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A sample of five BAC</w:t>
      </w:r>
      <w:r w:rsidR="009265C5">
        <w:rPr>
          <w:rFonts w:ascii="Arial" w:hAnsi="Arial" w:cs="Arial"/>
          <w:color w:val="000000"/>
          <w:sz w:val="20"/>
        </w:rPr>
        <w:t>S</w:t>
      </w:r>
      <w:r w:rsidRPr="008A247D">
        <w:rPr>
          <w:rFonts w:ascii="Arial" w:hAnsi="Arial" w:cs="Arial"/>
          <w:color w:val="000000"/>
          <w:sz w:val="20"/>
        </w:rPr>
        <w:t xml:space="preserve"> payments made during the three months from June 2017 was reviewed. Summary reports along with an audit trail to confirm the interaction between the Finance and Treasury Teams were evidenced for each BACS payment run. There were no rejected items in the sample selected.</w:t>
      </w:r>
    </w:p>
    <w:p w:rsidR="00923167" w:rsidRPr="00E640A1" w:rsidRDefault="00923167" w:rsidP="00923167">
      <w:pPr>
        <w:spacing w:before="120" w:after="120" w:line="271" w:lineRule="auto"/>
        <w:ind w:firstLine="720"/>
        <w:rPr>
          <w:rFonts w:ascii="Arial" w:hAnsi="Arial" w:cs="Arial"/>
          <w:b/>
          <w:color w:val="DC0D15"/>
          <w:sz w:val="20"/>
        </w:rPr>
      </w:pPr>
      <w:r w:rsidRPr="00E640A1">
        <w:rPr>
          <w:rFonts w:ascii="Arial" w:hAnsi="Arial" w:cs="Arial"/>
          <w:b/>
          <w:color w:val="DC0D15"/>
          <w:sz w:val="20"/>
        </w:rPr>
        <w:t>General Ledger</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A Chart of Accounts is maintained with any changes requiring a duly completed Oracle Coding Request pro-form\ (A 02-10) being completed, which is subject to review and approval by the Lead Finance Business Partner. Amendments to Components can only be made by the Senior </w:t>
      </w:r>
      <w:r w:rsidR="00923167">
        <w:rPr>
          <w:rFonts w:ascii="Arial" w:hAnsi="Arial" w:cs="Arial"/>
          <w:color w:val="000000"/>
          <w:sz w:val="20"/>
        </w:rPr>
        <w:t>Management</w:t>
      </w:r>
      <w:r>
        <w:rPr>
          <w:rFonts w:ascii="Arial" w:hAnsi="Arial" w:cs="Arial"/>
          <w:color w:val="000000"/>
          <w:sz w:val="20"/>
        </w:rPr>
        <w:t xml:space="preserve"> Accountant and the systems and Account Manager. Combinations within components </w:t>
      </w:r>
      <w:r w:rsidR="00923167">
        <w:rPr>
          <w:rFonts w:ascii="Arial" w:hAnsi="Arial" w:cs="Arial"/>
          <w:color w:val="000000"/>
          <w:sz w:val="20"/>
        </w:rPr>
        <w:t>changes</w:t>
      </w:r>
      <w:r>
        <w:rPr>
          <w:rFonts w:ascii="Arial" w:hAnsi="Arial" w:cs="Arial"/>
          <w:color w:val="000000"/>
          <w:sz w:val="20"/>
        </w:rPr>
        <w:t xml:space="preserve"> can be made by staff within the management accounting team.</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A procedure is documented for the change process.</w:t>
      </w:r>
    </w:p>
    <w:p w:rsidR="00923167"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A sample of five new account code requests was reviewed. For each code a duly completed and authorised Oracle Coding Request was evidenced that accorded with the code on Oracle.</w:t>
      </w:r>
    </w:p>
    <w:p w:rsidR="00664005" w:rsidRDefault="00664005" w:rsidP="00923167">
      <w:pPr>
        <w:spacing w:before="120" w:after="120" w:line="271" w:lineRule="auto"/>
        <w:ind w:firstLine="720"/>
        <w:rPr>
          <w:rFonts w:ascii="Arial" w:hAnsi="Arial" w:cs="Arial"/>
          <w:b/>
          <w:color w:val="DC0D15"/>
          <w:sz w:val="20"/>
        </w:rPr>
      </w:pPr>
    </w:p>
    <w:p w:rsidR="00664005" w:rsidRDefault="00664005" w:rsidP="00923167">
      <w:pPr>
        <w:spacing w:before="120" w:after="120" w:line="271" w:lineRule="auto"/>
        <w:ind w:firstLine="720"/>
        <w:rPr>
          <w:rFonts w:ascii="Arial" w:hAnsi="Arial" w:cs="Arial"/>
          <w:b/>
          <w:color w:val="DC0D15"/>
          <w:sz w:val="20"/>
        </w:rPr>
      </w:pPr>
    </w:p>
    <w:p w:rsidR="008A247D" w:rsidRPr="00E640A1" w:rsidRDefault="00923167" w:rsidP="00923167">
      <w:pPr>
        <w:spacing w:before="120" w:after="120" w:line="271" w:lineRule="auto"/>
        <w:ind w:firstLine="720"/>
        <w:rPr>
          <w:rFonts w:ascii="Arial" w:hAnsi="Arial" w:cs="Arial"/>
          <w:b/>
          <w:color w:val="DC0D15"/>
          <w:sz w:val="20"/>
        </w:rPr>
      </w:pPr>
      <w:r w:rsidRPr="00E640A1">
        <w:rPr>
          <w:rFonts w:ascii="Arial" w:hAnsi="Arial" w:cs="Arial"/>
          <w:b/>
          <w:color w:val="DC0D15"/>
          <w:sz w:val="20"/>
        </w:rPr>
        <w:t>Oracle System</w:t>
      </w:r>
      <w:r w:rsidR="008A247D" w:rsidRPr="00E640A1">
        <w:rPr>
          <w:rFonts w:ascii="Arial" w:hAnsi="Arial" w:cs="Arial"/>
          <w:b/>
          <w:color w:val="DC0D15"/>
          <w:sz w:val="20"/>
        </w:rPr>
        <w:t xml:space="preserve"> </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sidRPr="008A247D">
        <w:rPr>
          <w:rFonts w:ascii="Arial" w:hAnsi="Arial" w:cs="Arial"/>
          <w:color w:val="000000"/>
          <w:sz w:val="20"/>
        </w:rPr>
        <w:t>Access to Oracle for users is controlled through specific user permissions based on the allocated role. Accounts can only be set up on receipt of an auto generated email which follows an account being authorised by HR. A basic account that allows access to the CP Employee Self Service system is initially set up, with any additional permissions for users only being applied on receipt of an authorisation from the relevant Business User Manager.</w:t>
      </w:r>
    </w:p>
    <w:p w:rsidR="008A247D" w:rsidRDefault="008A247D" w:rsidP="008A247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A review of the user accounts on Oracle for Accounts Payable and Accounts Receivable was undertaken. The following was noted: </w:t>
      </w:r>
    </w:p>
    <w:p w:rsidR="00905383" w:rsidRDefault="00905383" w:rsidP="00905383">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For Accounts Payable, there were multiple users who had read only access, which included staff working on the Service Desk.</w:t>
      </w:r>
    </w:p>
    <w:p w:rsidR="00905383" w:rsidRDefault="00905383" w:rsidP="00905383">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Three users had Accounts Payable access, which accorded with the staff involved in the process; and</w:t>
      </w:r>
    </w:p>
    <w:p w:rsidR="00905383" w:rsidRDefault="00905383" w:rsidP="00905383">
      <w:pPr>
        <w:pStyle w:val="ListParagraph"/>
        <w:numPr>
          <w:ilvl w:val="0"/>
          <w:numId w:val="3"/>
        </w:numPr>
        <w:spacing w:before="120" w:after="120" w:line="271" w:lineRule="auto"/>
        <w:jc w:val="both"/>
        <w:rPr>
          <w:rFonts w:ascii="Arial" w:hAnsi="Arial" w:cs="Arial"/>
          <w:color w:val="000000"/>
          <w:sz w:val="20"/>
        </w:rPr>
      </w:pPr>
      <w:r w:rsidRPr="008A247D">
        <w:rPr>
          <w:rFonts w:ascii="Arial" w:hAnsi="Arial" w:cs="Arial"/>
          <w:color w:val="000000"/>
          <w:sz w:val="20"/>
        </w:rPr>
        <w:t xml:space="preserve">There were </w:t>
      </w:r>
      <w:r>
        <w:rPr>
          <w:rFonts w:ascii="Arial" w:hAnsi="Arial" w:cs="Arial"/>
          <w:color w:val="000000"/>
          <w:sz w:val="20"/>
        </w:rPr>
        <w:t>four</w:t>
      </w:r>
      <w:r w:rsidRPr="008A247D">
        <w:rPr>
          <w:rFonts w:ascii="Arial" w:hAnsi="Arial" w:cs="Arial"/>
          <w:color w:val="000000"/>
          <w:sz w:val="20"/>
        </w:rPr>
        <w:t xml:space="preserve"> users plus an Administrator who had Receivables Super User Status, however, it was identified that three of these also had a separate account designated as Receivables User, which appeared to be a duplicate.</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8A247D" w:rsidTr="008A247D">
        <w:trPr>
          <w:jc w:val="right"/>
        </w:trPr>
        <w:tc>
          <w:tcPr>
            <w:tcW w:w="10772" w:type="dxa"/>
            <w:shd w:val="clear" w:color="auto" w:fill="163D82"/>
          </w:tcPr>
          <w:p w:rsidR="008A247D" w:rsidRPr="008A247D" w:rsidRDefault="008A247D" w:rsidP="008A247D">
            <w:pPr>
              <w:spacing w:before="60" w:after="60" w:line="271" w:lineRule="auto"/>
              <w:rPr>
                <w:rFonts w:ascii="Arial" w:hAnsi="Arial" w:cs="Arial"/>
                <w:b/>
                <w:color w:val="FFFFFF"/>
                <w:sz w:val="20"/>
              </w:rPr>
            </w:pPr>
            <w:r>
              <w:rPr>
                <w:rFonts w:ascii="Arial" w:hAnsi="Arial" w:cs="Arial"/>
                <w:b/>
                <w:color w:val="FFFFFF"/>
                <w:sz w:val="20"/>
              </w:rPr>
              <w:t>Recommendation: 2</w:t>
            </w:r>
          </w:p>
        </w:tc>
        <w:tc>
          <w:tcPr>
            <w:tcW w:w="2948" w:type="dxa"/>
            <w:shd w:val="clear" w:color="auto" w:fill="FFCC00"/>
          </w:tcPr>
          <w:p w:rsidR="008A247D" w:rsidRPr="008A247D" w:rsidRDefault="008A247D" w:rsidP="008A247D">
            <w:pPr>
              <w:spacing w:before="60" w:after="60" w:line="271" w:lineRule="auto"/>
              <w:rPr>
                <w:rFonts w:ascii="Arial" w:hAnsi="Arial" w:cs="Arial"/>
                <w:b/>
                <w:color w:val="FFFFFF"/>
                <w:sz w:val="20"/>
              </w:rPr>
            </w:pPr>
            <w:r>
              <w:rPr>
                <w:rFonts w:ascii="Arial" w:hAnsi="Arial" w:cs="Arial"/>
                <w:b/>
                <w:color w:val="FFFFFF"/>
                <w:sz w:val="20"/>
              </w:rPr>
              <w:t>Priority: 3</w:t>
            </w:r>
          </w:p>
        </w:tc>
      </w:tr>
      <w:tr w:rsidR="008A247D" w:rsidTr="008A247D">
        <w:trPr>
          <w:jc w:val="right"/>
        </w:trPr>
        <w:tc>
          <w:tcPr>
            <w:tcW w:w="13720" w:type="dxa"/>
            <w:gridSpan w:val="2"/>
            <w:shd w:val="clear" w:color="auto" w:fill="F2F2F2"/>
          </w:tcPr>
          <w:p w:rsidR="008A247D" w:rsidRPr="008A247D" w:rsidRDefault="008A247D" w:rsidP="008A247D">
            <w:pPr>
              <w:spacing w:before="60" w:after="60" w:line="271" w:lineRule="auto"/>
              <w:jc w:val="both"/>
              <w:rPr>
                <w:rFonts w:ascii="Arial" w:hAnsi="Arial" w:cs="Arial"/>
                <w:b/>
                <w:color w:val="000000"/>
                <w:sz w:val="20"/>
              </w:rPr>
            </w:pPr>
            <w:r>
              <w:rPr>
                <w:rFonts w:ascii="Arial" w:hAnsi="Arial" w:cs="Arial"/>
                <w:b/>
                <w:color w:val="000000"/>
                <w:sz w:val="20"/>
              </w:rPr>
              <w:t>A review of the duplicated accounts with Receivables Super User and Receivable User permissions be undertaken to determine if both accounts are required.</w:t>
            </w:r>
          </w:p>
        </w:tc>
      </w:tr>
    </w:tbl>
    <w:p w:rsidR="008A247D" w:rsidRDefault="008A247D" w:rsidP="008A247D">
      <w:pPr>
        <w:spacing w:before="120" w:after="120" w:line="271" w:lineRule="auto"/>
        <w:jc w:val="both"/>
        <w:rPr>
          <w:rFonts w:ascii="Arial" w:hAnsi="Arial" w:cs="Arial"/>
          <w:color w:val="000000"/>
          <w:sz w:val="20"/>
        </w:rPr>
      </w:pPr>
    </w:p>
    <w:p w:rsidR="008A247D" w:rsidRDefault="008A247D" w:rsidP="008A247D">
      <w:pPr>
        <w:spacing w:before="120" w:after="120" w:line="271" w:lineRule="auto"/>
        <w:jc w:val="center"/>
        <w:rPr>
          <w:rFonts w:ascii="Arial" w:hAnsi="Arial" w:cs="Arial"/>
          <w:color w:val="000000"/>
          <w:sz w:val="20"/>
        </w:rPr>
      </w:pPr>
      <w:r w:rsidRPr="008A247D">
        <w:rPr>
          <w:rFonts w:ascii="Arial" w:hAnsi="Arial" w:cs="Arial"/>
          <w:color w:val="000000"/>
          <w:sz w:val="20"/>
        </w:rPr>
        <w:t>---------------</w:t>
      </w:r>
    </w:p>
    <w:p w:rsidR="008A247D" w:rsidRDefault="008A247D" w:rsidP="008A247D">
      <w:pPr>
        <w:spacing w:before="120" w:after="120" w:line="271" w:lineRule="auto"/>
        <w:jc w:val="center"/>
        <w:rPr>
          <w:rFonts w:ascii="Arial" w:hAnsi="Arial" w:cs="Arial"/>
          <w:color w:val="000000"/>
          <w:sz w:val="20"/>
        </w:rPr>
      </w:pPr>
    </w:p>
    <w:p w:rsidR="008A247D" w:rsidRDefault="008A247D" w:rsidP="008A247D">
      <w:pPr>
        <w:spacing w:before="120" w:after="120" w:line="271" w:lineRule="auto"/>
        <w:jc w:val="center"/>
        <w:rPr>
          <w:rFonts w:ascii="Arial" w:hAnsi="Arial" w:cs="Arial"/>
          <w:color w:val="000000"/>
          <w:sz w:val="20"/>
        </w:rPr>
      </w:pPr>
    </w:p>
    <w:p w:rsidR="008A247D" w:rsidRPr="008A247D" w:rsidRDefault="008A247D" w:rsidP="008A247D">
      <w:pPr>
        <w:spacing w:before="120" w:after="120" w:line="271" w:lineRule="auto"/>
        <w:jc w:val="center"/>
        <w:rPr>
          <w:rFonts w:ascii="Arial" w:hAnsi="Arial" w:cs="Arial"/>
          <w:color w:val="000000"/>
          <w:sz w:val="20"/>
        </w:rPr>
      </w:pPr>
    </w:p>
    <w:sectPr w:rsidR="008A247D" w:rsidRPr="008A247D" w:rsidSect="008A247D">
      <w:pgSz w:w="16838" w:h="11906" w:orient="landscape"/>
      <w:pgMar w:top="850"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2E8" w:rsidRDefault="005822E8" w:rsidP="008A247D">
      <w:pPr>
        <w:spacing w:after="0" w:line="240" w:lineRule="auto"/>
      </w:pPr>
      <w:r>
        <w:separator/>
      </w:r>
    </w:p>
  </w:endnote>
  <w:endnote w:type="continuationSeparator" w:id="0">
    <w:p w:rsidR="005822E8" w:rsidRDefault="005822E8" w:rsidP="008A2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8A247D" w:rsidRPr="008A247D" w:rsidTr="008A247D">
      <w:trPr>
        <w:trHeight w:hRule="exact" w:val="100"/>
      </w:trPr>
      <w:tc>
        <w:tcPr>
          <w:tcW w:w="13351" w:type="dxa"/>
          <w:shd w:val="clear" w:color="auto" w:fill="auto"/>
        </w:tcPr>
        <w:p w:rsidR="008A247D" w:rsidRPr="008A247D" w:rsidRDefault="008A247D" w:rsidP="008A247D">
          <w:pPr>
            <w:pStyle w:val="Footer"/>
            <w:spacing w:after="120"/>
            <w:rPr>
              <w:rFonts w:ascii="Arial" w:hAnsi="Arial" w:cs="Arial"/>
              <w:sz w:val="12"/>
            </w:rPr>
          </w:pPr>
        </w:p>
      </w:tc>
      <w:tc>
        <w:tcPr>
          <w:tcW w:w="1843" w:type="dxa"/>
          <w:shd w:val="clear" w:color="auto" w:fill="auto"/>
        </w:tcPr>
        <w:p w:rsidR="008A247D" w:rsidRPr="008A247D" w:rsidRDefault="008A247D" w:rsidP="008A247D">
          <w:pPr>
            <w:pStyle w:val="Footer"/>
            <w:spacing w:after="120"/>
            <w:rPr>
              <w:rFonts w:ascii="Arial" w:hAnsi="Arial" w:cs="Arial"/>
              <w:sz w:val="12"/>
            </w:rPr>
          </w:pPr>
        </w:p>
      </w:tc>
    </w:tr>
    <w:tr w:rsidR="008A247D" w:rsidRPr="008A247D" w:rsidTr="008A247D">
      <w:trPr>
        <w:trHeight w:hRule="exact" w:val="454"/>
      </w:trPr>
      <w:tc>
        <w:tcPr>
          <w:tcW w:w="13351" w:type="dxa"/>
          <w:shd w:val="clear" w:color="auto" w:fill="BFBFBF"/>
          <w:vAlign w:val="bottom"/>
        </w:tcPr>
        <w:p w:rsidR="008A247D" w:rsidRPr="008A247D" w:rsidRDefault="00DD7181" w:rsidP="008A247D">
          <w:pPr>
            <w:pStyle w:val="Footer"/>
            <w:spacing w:after="120"/>
            <w:rPr>
              <w:rFonts w:ascii="Arial" w:hAnsi="Arial" w:cs="Arial"/>
              <w:b/>
              <w:color w:val="FFFFFF"/>
              <w:sz w:val="24"/>
            </w:rPr>
          </w:pPr>
          <w:r>
            <w:rPr>
              <w:rFonts w:ascii="Arial" w:hAnsi="Arial" w:cs="Arial"/>
              <w:b/>
              <w:color w:val="FFFFFF"/>
              <w:sz w:val="24"/>
            </w:rPr>
            <w:t>November</w:t>
          </w:r>
          <w:r w:rsidR="008A247D" w:rsidRPr="008A247D">
            <w:rPr>
              <w:rFonts w:ascii="Arial" w:hAnsi="Arial" w:cs="Arial"/>
              <w:b/>
              <w:color w:val="FFFFFF"/>
              <w:sz w:val="24"/>
            </w:rPr>
            <w:t xml:space="preserve"> 2017</w:t>
          </w:r>
        </w:p>
      </w:tc>
      <w:tc>
        <w:tcPr>
          <w:tcW w:w="1843" w:type="dxa"/>
          <w:shd w:val="clear" w:color="auto" w:fill="163D82"/>
          <w:vAlign w:val="center"/>
        </w:tcPr>
        <w:p w:rsidR="008A247D" w:rsidRPr="008A247D" w:rsidRDefault="00DD7181" w:rsidP="008A247D">
          <w:pPr>
            <w:pStyle w:val="Footer"/>
            <w:spacing w:after="120"/>
            <w:jc w:val="center"/>
            <w:rPr>
              <w:rFonts w:ascii="Arial" w:hAnsi="Arial" w:cs="Arial"/>
              <w:b/>
              <w:color w:val="FFFFFF"/>
              <w:sz w:val="40"/>
            </w:rPr>
          </w:pPr>
          <w:r>
            <w:rPr>
              <w:rFonts w:ascii="Arial" w:hAnsi="Arial" w:cs="Arial"/>
              <w:b/>
              <w:color w:val="FFFFFF"/>
              <w:sz w:val="40"/>
            </w:rPr>
            <w:t>FINAL</w:t>
          </w:r>
        </w:p>
      </w:tc>
    </w:tr>
  </w:tbl>
  <w:p w:rsidR="008A247D" w:rsidRDefault="008A24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0" w:type="dxa"/>
        <w:right w:w="60" w:type="dxa"/>
      </w:tblCellMar>
      <w:tblLook w:val="0000" w:firstRow="0" w:lastRow="0" w:firstColumn="0" w:lastColumn="0" w:noHBand="0" w:noVBand="0"/>
    </w:tblPr>
    <w:tblGrid>
      <w:gridCol w:w="13720"/>
      <w:gridCol w:w="1191"/>
    </w:tblGrid>
    <w:tr w:rsidR="008A247D" w:rsidRPr="008A247D" w:rsidTr="008A247D">
      <w:trPr>
        <w:trHeight w:hRule="exact" w:val="100"/>
      </w:trPr>
      <w:tc>
        <w:tcPr>
          <w:tcW w:w="13720" w:type="dxa"/>
          <w:shd w:val="clear" w:color="auto" w:fill="auto"/>
        </w:tcPr>
        <w:p w:rsidR="008A247D" w:rsidRPr="008A247D" w:rsidRDefault="008A247D" w:rsidP="008A247D">
          <w:pPr>
            <w:pStyle w:val="Footer"/>
            <w:spacing w:after="120"/>
            <w:rPr>
              <w:sz w:val="12"/>
            </w:rPr>
          </w:pPr>
        </w:p>
      </w:tc>
      <w:tc>
        <w:tcPr>
          <w:tcW w:w="1191" w:type="dxa"/>
          <w:shd w:val="clear" w:color="auto" w:fill="auto"/>
        </w:tcPr>
        <w:p w:rsidR="008A247D" w:rsidRPr="008A247D" w:rsidRDefault="008A247D" w:rsidP="008A247D">
          <w:pPr>
            <w:pStyle w:val="Footer"/>
            <w:spacing w:after="120"/>
            <w:rPr>
              <w:sz w:val="12"/>
            </w:rPr>
          </w:pPr>
        </w:p>
      </w:tc>
    </w:tr>
    <w:tr w:rsidR="008A247D" w:rsidRPr="008A247D" w:rsidTr="008A247D">
      <w:trPr>
        <w:trHeight w:hRule="exact" w:val="397"/>
      </w:trPr>
      <w:tc>
        <w:tcPr>
          <w:tcW w:w="13720" w:type="dxa"/>
          <w:shd w:val="clear" w:color="auto" w:fill="auto"/>
          <w:vAlign w:val="bottom"/>
        </w:tcPr>
        <w:p w:rsidR="008A247D" w:rsidRPr="00664005" w:rsidRDefault="008A247D" w:rsidP="008A247D">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8A247D" w:rsidRPr="008A247D" w:rsidRDefault="008A247D" w:rsidP="008A247D">
          <w:pPr>
            <w:pStyle w:val="Footer"/>
            <w:spacing w:after="120"/>
            <w:jc w:val="center"/>
            <w:rPr>
              <w:rFonts w:ascii="Arial" w:hAnsi="Arial" w:cs="Arial"/>
              <w:b/>
              <w:color w:val="FFFFFF"/>
              <w:sz w:val="20"/>
            </w:rPr>
          </w:pPr>
          <w:r w:rsidRPr="008A247D">
            <w:rPr>
              <w:rFonts w:ascii="Arial" w:hAnsi="Arial" w:cs="Arial"/>
              <w:b/>
              <w:color w:val="FFFFFF"/>
              <w:sz w:val="20"/>
            </w:rPr>
            <w:t xml:space="preserve">Page </w:t>
          </w:r>
          <w:r w:rsidRPr="008A247D">
            <w:rPr>
              <w:rFonts w:ascii="Arial" w:hAnsi="Arial" w:cs="Arial"/>
              <w:b/>
              <w:color w:val="FFFFFF"/>
              <w:sz w:val="20"/>
            </w:rPr>
            <w:fldChar w:fldCharType="begin"/>
          </w:r>
          <w:r w:rsidRPr="008A247D">
            <w:rPr>
              <w:rFonts w:ascii="Arial" w:hAnsi="Arial" w:cs="Arial"/>
              <w:b/>
              <w:color w:val="FFFFFF"/>
              <w:sz w:val="20"/>
            </w:rPr>
            <w:instrText xml:space="preserve"> PAGE  \* MERGEFORMAT </w:instrText>
          </w:r>
          <w:r w:rsidRPr="008A247D">
            <w:rPr>
              <w:rFonts w:ascii="Arial" w:hAnsi="Arial" w:cs="Arial"/>
              <w:b/>
              <w:color w:val="FFFFFF"/>
              <w:sz w:val="20"/>
            </w:rPr>
            <w:fldChar w:fldCharType="separate"/>
          </w:r>
          <w:r w:rsidR="004E2665">
            <w:rPr>
              <w:rFonts w:ascii="Arial" w:hAnsi="Arial" w:cs="Arial"/>
              <w:b/>
              <w:noProof/>
              <w:color w:val="FFFFFF"/>
              <w:sz w:val="20"/>
            </w:rPr>
            <w:t>1</w:t>
          </w:r>
          <w:r w:rsidRPr="008A247D">
            <w:rPr>
              <w:rFonts w:ascii="Arial" w:hAnsi="Arial" w:cs="Arial"/>
              <w:b/>
              <w:color w:val="FFFFFF"/>
              <w:sz w:val="20"/>
            </w:rPr>
            <w:fldChar w:fldCharType="end"/>
          </w:r>
        </w:p>
      </w:tc>
    </w:tr>
  </w:tbl>
  <w:p w:rsidR="008A247D" w:rsidRDefault="008A24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8A247D" w:rsidRPr="008A247D" w:rsidTr="008A247D">
      <w:trPr>
        <w:trHeight w:hRule="exact" w:val="100"/>
      </w:trPr>
      <w:tc>
        <w:tcPr>
          <w:tcW w:w="13351" w:type="dxa"/>
          <w:shd w:val="clear" w:color="auto" w:fill="auto"/>
        </w:tcPr>
        <w:p w:rsidR="008A247D" w:rsidRPr="008A247D" w:rsidRDefault="008A247D" w:rsidP="008A247D">
          <w:pPr>
            <w:pStyle w:val="Footer"/>
            <w:spacing w:after="120"/>
            <w:rPr>
              <w:rFonts w:ascii="Arial" w:hAnsi="Arial" w:cs="Arial"/>
              <w:sz w:val="12"/>
            </w:rPr>
          </w:pPr>
        </w:p>
      </w:tc>
      <w:tc>
        <w:tcPr>
          <w:tcW w:w="1843" w:type="dxa"/>
          <w:shd w:val="clear" w:color="auto" w:fill="auto"/>
        </w:tcPr>
        <w:p w:rsidR="008A247D" w:rsidRPr="008A247D" w:rsidRDefault="008A247D" w:rsidP="008A247D">
          <w:pPr>
            <w:pStyle w:val="Footer"/>
            <w:spacing w:after="120"/>
            <w:rPr>
              <w:rFonts w:ascii="Arial" w:hAnsi="Arial" w:cs="Arial"/>
              <w:sz w:val="12"/>
            </w:rPr>
          </w:pPr>
        </w:p>
      </w:tc>
    </w:tr>
    <w:tr w:rsidR="008A247D" w:rsidRPr="008A247D" w:rsidTr="008A247D">
      <w:trPr>
        <w:trHeight w:hRule="exact" w:val="454"/>
      </w:trPr>
      <w:tc>
        <w:tcPr>
          <w:tcW w:w="13351" w:type="dxa"/>
          <w:shd w:val="clear" w:color="auto" w:fill="BFBFBF"/>
          <w:vAlign w:val="bottom"/>
        </w:tcPr>
        <w:p w:rsidR="008A247D" w:rsidRPr="008A247D" w:rsidRDefault="008A247D" w:rsidP="008A247D">
          <w:pPr>
            <w:pStyle w:val="Footer"/>
            <w:spacing w:after="120"/>
            <w:rPr>
              <w:rFonts w:ascii="Arial" w:hAnsi="Arial" w:cs="Arial"/>
              <w:b/>
              <w:color w:val="FFFFFF"/>
              <w:sz w:val="24"/>
            </w:rPr>
          </w:pPr>
          <w:r w:rsidRPr="008A247D">
            <w:rPr>
              <w:rFonts w:ascii="Arial" w:hAnsi="Arial" w:cs="Arial"/>
              <w:b/>
              <w:color w:val="FFFFFF"/>
              <w:sz w:val="24"/>
            </w:rPr>
            <w:t>**Month** 2017</w:t>
          </w:r>
        </w:p>
      </w:tc>
      <w:tc>
        <w:tcPr>
          <w:tcW w:w="1843" w:type="dxa"/>
          <w:shd w:val="clear" w:color="auto" w:fill="163D82"/>
          <w:vAlign w:val="center"/>
        </w:tcPr>
        <w:p w:rsidR="008A247D" w:rsidRPr="008A247D" w:rsidRDefault="008A247D" w:rsidP="008A247D">
          <w:pPr>
            <w:pStyle w:val="Footer"/>
            <w:spacing w:after="120"/>
            <w:jc w:val="center"/>
            <w:rPr>
              <w:rFonts w:ascii="Arial" w:hAnsi="Arial" w:cs="Arial"/>
              <w:b/>
              <w:color w:val="FFFFFF"/>
              <w:sz w:val="40"/>
            </w:rPr>
          </w:pPr>
          <w:r w:rsidRPr="008A247D">
            <w:rPr>
              <w:rFonts w:ascii="Arial" w:hAnsi="Arial" w:cs="Arial"/>
              <w:b/>
              <w:color w:val="FFFFFF"/>
              <w:sz w:val="40"/>
            </w:rPr>
            <w:t>DRAFT</w:t>
          </w:r>
        </w:p>
      </w:tc>
    </w:tr>
  </w:tbl>
  <w:p w:rsidR="008A247D" w:rsidRDefault="008A24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8A247D" w:rsidRPr="008A247D" w:rsidTr="008A247D">
      <w:trPr>
        <w:trHeight w:hRule="exact" w:val="100"/>
      </w:trPr>
      <w:tc>
        <w:tcPr>
          <w:tcW w:w="567" w:type="dxa"/>
          <w:shd w:val="clear" w:color="auto" w:fill="auto"/>
        </w:tcPr>
        <w:p w:rsidR="008A247D" w:rsidRPr="008A247D" w:rsidRDefault="008A247D" w:rsidP="008A247D">
          <w:pPr>
            <w:pStyle w:val="Footer"/>
            <w:spacing w:after="120"/>
            <w:rPr>
              <w:rFonts w:ascii="Arial" w:hAnsi="Arial" w:cs="Arial"/>
              <w:sz w:val="12"/>
            </w:rPr>
          </w:pPr>
        </w:p>
      </w:tc>
      <w:tc>
        <w:tcPr>
          <w:tcW w:w="1191" w:type="dxa"/>
          <w:shd w:val="clear" w:color="auto" w:fill="auto"/>
        </w:tcPr>
        <w:p w:rsidR="008A247D" w:rsidRPr="008A247D" w:rsidRDefault="008A247D" w:rsidP="008A247D">
          <w:pPr>
            <w:pStyle w:val="Footer"/>
            <w:spacing w:after="120"/>
            <w:rPr>
              <w:rFonts w:ascii="Arial" w:hAnsi="Arial" w:cs="Arial"/>
              <w:sz w:val="12"/>
            </w:rPr>
          </w:pPr>
        </w:p>
      </w:tc>
      <w:tc>
        <w:tcPr>
          <w:tcW w:w="2835" w:type="dxa"/>
          <w:shd w:val="clear" w:color="auto" w:fill="auto"/>
        </w:tcPr>
        <w:p w:rsidR="008A247D" w:rsidRPr="008A247D" w:rsidRDefault="008A247D" w:rsidP="008A247D">
          <w:pPr>
            <w:pStyle w:val="Footer"/>
            <w:spacing w:after="120"/>
            <w:rPr>
              <w:rFonts w:ascii="Arial" w:hAnsi="Arial" w:cs="Arial"/>
              <w:sz w:val="12"/>
            </w:rPr>
          </w:pPr>
        </w:p>
      </w:tc>
      <w:tc>
        <w:tcPr>
          <w:tcW w:w="680" w:type="dxa"/>
          <w:shd w:val="clear" w:color="auto" w:fill="auto"/>
        </w:tcPr>
        <w:p w:rsidR="008A247D" w:rsidRPr="008A247D" w:rsidRDefault="008A247D" w:rsidP="008A247D">
          <w:pPr>
            <w:pStyle w:val="Footer"/>
            <w:spacing w:after="120"/>
            <w:rPr>
              <w:rFonts w:ascii="Arial" w:hAnsi="Arial" w:cs="Arial"/>
              <w:sz w:val="12"/>
            </w:rPr>
          </w:pPr>
        </w:p>
      </w:tc>
      <w:tc>
        <w:tcPr>
          <w:tcW w:w="567" w:type="dxa"/>
          <w:shd w:val="clear" w:color="auto" w:fill="auto"/>
        </w:tcPr>
        <w:p w:rsidR="008A247D" w:rsidRPr="008A247D" w:rsidRDefault="008A247D" w:rsidP="008A247D">
          <w:pPr>
            <w:pStyle w:val="Footer"/>
            <w:spacing w:after="120"/>
            <w:rPr>
              <w:rFonts w:ascii="Arial" w:hAnsi="Arial" w:cs="Arial"/>
              <w:sz w:val="12"/>
            </w:rPr>
          </w:pPr>
        </w:p>
      </w:tc>
      <w:tc>
        <w:tcPr>
          <w:tcW w:w="1191" w:type="dxa"/>
          <w:shd w:val="clear" w:color="auto" w:fill="auto"/>
        </w:tcPr>
        <w:p w:rsidR="008A247D" w:rsidRPr="008A247D" w:rsidRDefault="008A247D" w:rsidP="008A247D">
          <w:pPr>
            <w:pStyle w:val="Footer"/>
            <w:spacing w:after="120"/>
            <w:rPr>
              <w:rFonts w:ascii="Arial" w:hAnsi="Arial" w:cs="Arial"/>
              <w:sz w:val="12"/>
            </w:rPr>
          </w:pPr>
        </w:p>
      </w:tc>
      <w:tc>
        <w:tcPr>
          <w:tcW w:w="2835" w:type="dxa"/>
          <w:shd w:val="clear" w:color="auto" w:fill="auto"/>
        </w:tcPr>
        <w:p w:rsidR="008A247D" w:rsidRPr="008A247D" w:rsidRDefault="008A247D" w:rsidP="008A247D">
          <w:pPr>
            <w:pStyle w:val="Footer"/>
            <w:spacing w:after="120"/>
            <w:rPr>
              <w:rFonts w:ascii="Arial" w:hAnsi="Arial" w:cs="Arial"/>
              <w:sz w:val="12"/>
            </w:rPr>
          </w:pPr>
        </w:p>
      </w:tc>
      <w:tc>
        <w:tcPr>
          <w:tcW w:w="680" w:type="dxa"/>
          <w:shd w:val="clear" w:color="auto" w:fill="auto"/>
        </w:tcPr>
        <w:p w:rsidR="008A247D" w:rsidRPr="008A247D" w:rsidRDefault="008A247D" w:rsidP="008A247D">
          <w:pPr>
            <w:pStyle w:val="Footer"/>
            <w:spacing w:after="120"/>
            <w:rPr>
              <w:rFonts w:ascii="Arial" w:hAnsi="Arial" w:cs="Arial"/>
              <w:sz w:val="12"/>
            </w:rPr>
          </w:pPr>
        </w:p>
      </w:tc>
      <w:tc>
        <w:tcPr>
          <w:tcW w:w="567" w:type="dxa"/>
          <w:shd w:val="clear" w:color="auto" w:fill="auto"/>
        </w:tcPr>
        <w:p w:rsidR="008A247D" w:rsidRPr="008A247D" w:rsidRDefault="008A247D" w:rsidP="008A247D">
          <w:pPr>
            <w:pStyle w:val="Footer"/>
            <w:spacing w:after="120"/>
            <w:rPr>
              <w:rFonts w:ascii="Arial" w:hAnsi="Arial" w:cs="Arial"/>
              <w:sz w:val="12"/>
            </w:rPr>
          </w:pPr>
        </w:p>
      </w:tc>
      <w:tc>
        <w:tcPr>
          <w:tcW w:w="1191" w:type="dxa"/>
          <w:shd w:val="clear" w:color="auto" w:fill="auto"/>
        </w:tcPr>
        <w:p w:rsidR="008A247D" w:rsidRPr="008A247D" w:rsidRDefault="008A247D" w:rsidP="008A247D">
          <w:pPr>
            <w:pStyle w:val="Footer"/>
            <w:spacing w:after="120"/>
            <w:rPr>
              <w:rFonts w:ascii="Arial" w:hAnsi="Arial" w:cs="Arial"/>
              <w:sz w:val="12"/>
            </w:rPr>
          </w:pPr>
        </w:p>
      </w:tc>
      <w:tc>
        <w:tcPr>
          <w:tcW w:w="1701" w:type="dxa"/>
          <w:shd w:val="clear" w:color="auto" w:fill="auto"/>
        </w:tcPr>
        <w:p w:rsidR="008A247D" w:rsidRPr="008A247D" w:rsidRDefault="008A247D" w:rsidP="008A247D">
          <w:pPr>
            <w:pStyle w:val="Footer"/>
            <w:spacing w:after="120"/>
            <w:rPr>
              <w:rFonts w:ascii="Arial" w:hAnsi="Arial" w:cs="Arial"/>
              <w:sz w:val="12"/>
            </w:rPr>
          </w:pPr>
        </w:p>
      </w:tc>
      <w:tc>
        <w:tcPr>
          <w:tcW w:w="1191" w:type="dxa"/>
          <w:shd w:val="clear" w:color="auto" w:fill="auto"/>
        </w:tcPr>
        <w:p w:rsidR="008A247D" w:rsidRPr="008A247D" w:rsidRDefault="008A247D" w:rsidP="008A247D">
          <w:pPr>
            <w:pStyle w:val="Footer"/>
            <w:spacing w:after="120"/>
            <w:rPr>
              <w:rFonts w:ascii="Arial" w:hAnsi="Arial" w:cs="Arial"/>
              <w:sz w:val="12"/>
            </w:rPr>
          </w:pPr>
        </w:p>
      </w:tc>
    </w:tr>
    <w:tr w:rsidR="008A247D" w:rsidRPr="008A247D" w:rsidTr="008A247D">
      <w:tc>
        <w:tcPr>
          <w:tcW w:w="567"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680" w:type="dxa"/>
          <w:shd w:val="clear" w:color="auto" w:fill="auto"/>
        </w:tcPr>
        <w:p w:rsidR="008A247D" w:rsidRPr="008A247D" w:rsidRDefault="008A247D" w:rsidP="008A247D">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r w:rsidRPr="008A247D">
            <w:rPr>
              <w:rFonts w:ascii="Arial" w:hAnsi="Arial" w:cs="Arial"/>
              <w:b/>
              <w:color w:val="163D82"/>
              <w:sz w:val="12"/>
            </w:rPr>
            <w:t>PRIORITY GRADINGS</w:t>
          </w:r>
        </w:p>
      </w:tc>
      <w:tc>
        <w:tcPr>
          <w:tcW w:w="680" w:type="dxa"/>
          <w:shd w:val="clear" w:color="auto" w:fill="auto"/>
        </w:tcPr>
        <w:p w:rsidR="008A247D" w:rsidRPr="008A247D" w:rsidRDefault="008A247D" w:rsidP="008A247D">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8A247D" w:rsidRPr="008A247D" w:rsidRDefault="008A247D" w:rsidP="008A247D">
          <w:pPr>
            <w:pStyle w:val="Footer"/>
            <w:spacing w:after="120"/>
            <w:rPr>
              <w:rFonts w:ascii="Arial" w:hAnsi="Arial" w:cs="Arial"/>
              <w:b/>
              <w:color w:val="163D82"/>
              <w:sz w:val="12"/>
            </w:rPr>
          </w:pPr>
        </w:p>
      </w:tc>
    </w:tr>
    <w:tr w:rsidR="008A247D" w:rsidRPr="008A247D" w:rsidTr="00514EDA">
      <w:tc>
        <w:tcPr>
          <w:tcW w:w="567" w:type="dxa"/>
          <w:shd w:val="clear" w:color="auto" w:fill="DC0D15"/>
          <w:vAlign w:val="center"/>
        </w:tcPr>
        <w:p w:rsidR="008A247D" w:rsidRPr="008A247D" w:rsidRDefault="008A247D" w:rsidP="008A247D">
          <w:pPr>
            <w:pStyle w:val="Footer"/>
            <w:spacing w:after="120"/>
            <w:jc w:val="center"/>
            <w:rPr>
              <w:rFonts w:ascii="Arial" w:hAnsi="Arial" w:cs="Arial"/>
              <w:b/>
              <w:color w:val="FFFFFF"/>
              <w:sz w:val="16"/>
            </w:rPr>
          </w:pPr>
          <w:r w:rsidRPr="008A247D">
            <w:rPr>
              <w:rFonts w:ascii="Arial" w:hAnsi="Arial" w:cs="Arial"/>
              <w:b/>
              <w:color w:val="FFFFFF"/>
              <w:sz w:val="16"/>
            </w:rPr>
            <w:t>1</w:t>
          </w:r>
        </w:p>
      </w:tc>
      <w:tc>
        <w:tcPr>
          <w:tcW w:w="1191" w:type="dxa"/>
          <w:shd w:val="clear" w:color="auto" w:fill="D9D9D9"/>
          <w:vAlign w:val="center"/>
        </w:tcPr>
        <w:p w:rsidR="008A247D" w:rsidRPr="008A247D" w:rsidRDefault="008A247D" w:rsidP="008A247D">
          <w:pPr>
            <w:pStyle w:val="Footer"/>
            <w:spacing w:after="120"/>
            <w:jc w:val="center"/>
            <w:rPr>
              <w:rFonts w:ascii="Arial" w:hAnsi="Arial" w:cs="Arial"/>
              <w:b/>
              <w:color w:val="163D82"/>
              <w:sz w:val="16"/>
            </w:rPr>
          </w:pPr>
          <w:r w:rsidRPr="008A247D">
            <w:rPr>
              <w:rFonts w:ascii="Arial" w:hAnsi="Arial" w:cs="Arial"/>
              <w:b/>
              <w:color w:val="163D82"/>
              <w:sz w:val="16"/>
            </w:rPr>
            <w:t>URGENT</w:t>
          </w:r>
        </w:p>
      </w:tc>
      <w:tc>
        <w:tcPr>
          <w:tcW w:w="2835" w:type="dxa"/>
          <w:shd w:val="clear" w:color="auto" w:fill="D9D9D9"/>
          <w:vAlign w:val="center"/>
        </w:tcPr>
        <w:p w:rsidR="008A247D" w:rsidRPr="008A247D" w:rsidRDefault="008A247D" w:rsidP="008A247D">
          <w:pPr>
            <w:pStyle w:val="Footer"/>
            <w:spacing w:after="120"/>
            <w:jc w:val="both"/>
            <w:rPr>
              <w:rFonts w:ascii="Arial" w:hAnsi="Arial" w:cs="Arial"/>
              <w:color w:val="163D82"/>
              <w:sz w:val="16"/>
            </w:rPr>
          </w:pPr>
          <w:r w:rsidRPr="008A247D">
            <w:rPr>
              <w:rFonts w:ascii="Arial" w:hAnsi="Arial" w:cs="Arial"/>
              <w:color w:val="163D82"/>
              <w:sz w:val="16"/>
            </w:rPr>
            <w:t>Fundamental control issue on which action should be taken immediately.</w:t>
          </w:r>
        </w:p>
      </w:tc>
      <w:tc>
        <w:tcPr>
          <w:tcW w:w="680" w:type="dxa"/>
          <w:shd w:val="clear" w:color="auto" w:fill="auto"/>
          <w:vAlign w:val="center"/>
        </w:tcPr>
        <w:p w:rsidR="008A247D" w:rsidRPr="008A247D" w:rsidRDefault="008A247D" w:rsidP="008A247D">
          <w:pPr>
            <w:pStyle w:val="Footer"/>
            <w:spacing w:after="120"/>
            <w:rPr>
              <w:rFonts w:ascii="Arial" w:hAnsi="Arial" w:cs="Arial"/>
              <w:sz w:val="16"/>
            </w:rPr>
          </w:pPr>
        </w:p>
      </w:tc>
      <w:tc>
        <w:tcPr>
          <w:tcW w:w="567" w:type="dxa"/>
          <w:shd w:val="clear" w:color="auto" w:fill="E5730F"/>
          <w:vAlign w:val="center"/>
        </w:tcPr>
        <w:p w:rsidR="008A247D" w:rsidRPr="008A247D" w:rsidRDefault="008A247D" w:rsidP="008A247D">
          <w:pPr>
            <w:pStyle w:val="Footer"/>
            <w:spacing w:after="120"/>
            <w:jc w:val="center"/>
            <w:rPr>
              <w:rFonts w:ascii="Arial" w:hAnsi="Arial" w:cs="Arial"/>
              <w:b/>
              <w:color w:val="FFFFFF"/>
              <w:sz w:val="16"/>
            </w:rPr>
          </w:pPr>
          <w:r w:rsidRPr="008A247D">
            <w:rPr>
              <w:rFonts w:ascii="Arial" w:hAnsi="Arial" w:cs="Arial"/>
              <w:b/>
              <w:color w:val="FFFFFF"/>
              <w:sz w:val="16"/>
            </w:rPr>
            <w:t>2</w:t>
          </w:r>
        </w:p>
      </w:tc>
      <w:tc>
        <w:tcPr>
          <w:tcW w:w="1191" w:type="dxa"/>
          <w:shd w:val="clear" w:color="auto" w:fill="D9D9D9"/>
          <w:vAlign w:val="center"/>
        </w:tcPr>
        <w:p w:rsidR="008A247D" w:rsidRPr="008A247D" w:rsidRDefault="008A247D" w:rsidP="008A247D">
          <w:pPr>
            <w:pStyle w:val="Footer"/>
            <w:spacing w:after="120"/>
            <w:jc w:val="center"/>
            <w:rPr>
              <w:rFonts w:ascii="Arial" w:hAnsi="Arial" w:cs="Arial"/>
              <w:b/>
              <w:color w:val="163D82"/>
              <w:sz w:val="16"/>
            </w:rPr>
          </w:pPr>
          <w:r w:rsidRPr="008A247D">
            <w:rPr>
              <w:rFonts w:ascii="Arial" w:hAnsi="Arial" w:cs="Arial"/>
              <w:b/>
              <w:color w:val="163D82"/>
              <w:sz w:val="16"/>
            </w:rPr>
            <w:t>IMPORTANT</w:t>
          </w:r>
        </w:p>
      </w:tc>
      <w:tc>
        <w:tcPr>
          <w:tcW w:w="2835" w:type="dxa"/>
          <w:shd w:val="clear" w:color="auto" w:fill="D9D9D9"/>
          <w:vAlign w:val="center"/>
        </w:tcPr>
        <w:p w:rsidR="008A247D" w:rsidRPr="008A247D" w:rsidRDefault="008A247D" w:rsidP="008A247D">
          <w:pPr>
            <w:pStyle w:val="Footer"/>
            <w:spacing w:after="120"/>
            <w:jc w:val="both"/>
            <w:rPr>
              <w:rFonts w:ascii="Arial" w:hAnsi="Arial" w:cs="Arial"/>
              <w:color w:val="163D82"/>
              <w:sz w:val="16"/>
            </w:rPr>
          </w:pPr>
          <w:r w:rsidRPr="008A247D">
            <w:rPr>
              <w:rFonts w:ascii="Arial" w:hAnsi="Arial" w:cs="Arial"/>
              <w:color w:val="163D82"/>
              <w:sz w:val="16"/>
            </w:rPr>
            <w:t>Control issue on which action should be taken at the earliest opportunity.</w:t>
          </w:r>
        </w:p>
      </w:tc>
      <w:tc>
        <w:tcPr>
          <w:tcW w:w="680" w:type="dxa"/>
          <w:shd w:val="clear" w:color="auto" w:fill="auto"/>
          <w:vAlign w:val="center"/>
        </w:tcPr>
        <w:p w:rsidR="008A247D" w:rsidRPr="008A247D" w:rsidRDefault="008A247D" w:rsidP="008A247D">
          <w:pPr>
            <w:pStyle w:val="Footer"/>
            <w:spacing w:after="120"/>
            <w:rPr>
              <w:rFonts w:ascii="Arial" w:hAnsi="Arial" w:cs="Arial"/>
              <w:sz w:val="16"/>
            </w:rPr>
          </w:pPr>
        </w:p>
      </w:tc>
      <w:tc>
        <w:tcPr>
          <w:tcW w:w="567" w:type="dxa"/>
          <w:shd w:val="clear" w:color="auto" w:fill="FFCC00"/>
          <w:vAlign w:val="center"/>
        </w:tcPr>
        <w:p w:rsidR="008A247D" w:rsidRPr="008A247D" w:rsidRDefault="008A247D" w:rsidP="008A247D">
          <w:pPr>
            <w:pStyle w:val="Footer"/>
            <w:spacing w:after="120"/>
            <w:jc w:val="center"/>
            <w:rPr>
              <w:rFonts w:ascii="Arial" w:hAnsi="Arial" w:cs="Arial"/>
              <w:b/>
              <w:color w:val="FFFFFF"/>
              <w:sz w:val="16"/>
            </w:rPr>
          </w:pPr>
          <w:r w:rsidRPr="008A247D">
            <w:rPr>
              <w:rFonts w:ascii="Arial" w:hAnsi="Arial" w:cs="Arial"/>
              <w:b/>
              <w:color w:val="FFFFFF"/>
              <w:sz w:val="16"/>
            </w:rPr>
            <w:t>3</w:t>
          </w:r>
        </w:p>
      </w:tc>
      <w:tc>
        <w:tcPr>
          <w:tcW w:w="1191" w:type="dxa"/>
          <w:shd w:val="clear" w:color="auto" w:fill="D9D9D9"/>
          <w:vAlign w:val="center"/>
        </w:tcPr>
        <w:p w:rsidR="008A247D" w:rsidRPr="008A247D" w:rsidRDefault="008A247D" w:rsidP="008A247D">
          <w:pPr>
            <w:pStyle w:val="Footer"/>
            <w:spacing w:after="120"/>
            <w:jc w:val="center"/>
            <w:rPr>
              <w:rFonts w:ascii="Arial" w:hAnsi="Arial" w:cs="Arial"/>
              <w:b/>
              <w:color w:val="163D82"/>
              <w:sz w:val="16"/>
            </w:rPr>
          </w:pPr>
          <w:r w:rsidRPr="008A247D">
            <w:rPr>
              <w:rFonts w:ascii="Arial" w:hAnsi="Arial" w:cs="Arial"/>
              <w:b/>
              <w:color w:val="163D82"/>
              <w:sz w:val="16"/>
            </w:rPr>
            <w:t>ROUTINE</w:t>
          </w:r>
        </w:p>
      </w:tc>
      <w:tc>
        <w:tcPr>
          <w:tcW w:w="2892" w:type="dxa"/>
          <w:gridSpan w:val="2"/>
          <w:shd w:val="clear" w:color="auto" w:fill="D9D9D9"/>
          <w:vAlign w:val="center"/>
        </w:tcPr>
        <w:p w:rsidR="008A247D" w:rsidRPr="008A247D" w:rsidRDefault="008A247D" w:rsidP="008A247D">
          <w:pPr>
            <w:pStyle w:val="Footer"/>
            <w:spacing w:after="120"/>
            <w:jc w:val="both"/>
            <w:rPr>
              <w:rFonts w:ascii="Arial" w:hAnsi="Arial" w:cs="Arial"/>
              <w:color w:val="163D82"/>
              <w:sz w:val="16"/>
            </w:rPr>
          </w:pPr>
          <w:r w:rsidRPr="008A247D">
            <w:rPr>
              <w:rFonts w:ascii="Arial" w:hAnsi="Arial" w:cs="Arial"/>
              <w:color w:val="163D82"/>
              <w:sz w:val="16"/>
            </w:rPr>
            <w:t>Control issue on which action should be taken.</w:t>
          </w:r>
        </w:p>
      </w:tc>
    </w:tr>
    <w:tr w:rsidR="008A247D" w:rsidRPr="008A247D" w:rsidTr="00BB2CA4">
      <w:trPr>
        <w:trHeight w:hRule="exact" w:val="397"/>
      </w:trPr>
      <w:tc>
        <w:tcPr>
          <w:tcW w:w="1758" w:type="dxa"/>
          <w:gridSpan w:val="2"/>
          <w:shd w:val="clear" w:color="auto" w:fill="auto"/>
          <w:vAlign w:val="bottom"/>
        </w:tcPr>
        <w:p w:rsidR="008A247D" w:rsidRPr="008A247D" w:rsidRDefault="008A247D" w:rsidP="008A247D">
          <w:pPr>
            <w:pStyle w:val="Footer"/>
            <w:spacing w:after="120"/>
            <w:rPr>
              <w:rFonts w:ascii="Arial" w:hAnsi="Arial" w:cs="Arial"/>
            </w:rPr>
          </w:pPr>
        </w:p>
      </w:tc>
      <w:tc>
        <w:tcPr>
          <w:tcW w:w="2835" w:type="dxa"/>
          <w:shd w:val="clear" w:color="auto" w:fill="auto"/>
        </w:tcPr>
        <w:p w:rsidR="008A247D" w:rsidRPr="008A247D" w:rsidRDefault="008A247D" w:rsidP="008A247D">
          <w:pPr>
            <w:pStyle w:val="Footer"/>
            <w:spacing w:after="120"/>
            <w:rPr>
              <w:rFonts w:ascii="Arial" w:hAnsi="Arial" w:cs="Arial"/>
            </w:rPr>
          </w:pPr>
        </w:p>
      </w:tc>
      <w:tc>
        <w:tcPr>
          <w:tcW w:w="680" w:type="dxa"/>
          <w:shd w:val="clear" w:color="auto" w:fill="auto"/>
        </w:tcPr>
        <w:p w:rsidR="008A247D" w:rsidRPr="008A247D" w:rsidRDefault="008A247D" w:rsidP="008A247D">
          <w:pPr>
            <w:pStyle w:val="Footer"/>
            <w:spacing w:after="120"/>
            <w:rPr>
              <w:rFonts w:ascii="Arial" w:hAnsi="Arial" w:cs="Arial"/>
            </w:rPr>
          </w:pPr>
        </w:p>
      </w:tc>
      <w:tc>
        <w:tcPr>
          <w:tcW w:w="567" w:type="dxa"/>
          <w:shd w:val="clear" w:color="auto" w:fill="auto"/>
        </w:tcPr>
        <w:p w:rsidR="008A247D" w:rsidRPr="008A247D" w:rsidRDefault="008A247D" w:rsidP="008A247D">
          <w:pPr>
            <w:pStyle w:val="Footer"/>
            <w:spacing w:after="120"/>
            <w:rPr>
              <w:rFonts w:ascii="Arial" w:hAnsi="Arial" w:cs="Arial"/>
            </w:rPr>
          </w:pPr>
        </w:p>
      </w:tc>
      <w:tc>
        <w:tcPr>
          <w:tcW w:w="1191" w:type="dxa"/>
          <w:shd w:val="clear" w:color="auto" w:fill="auto"/>
        </w:tcPr>
        <w:p w:rsidR="008A247D" w:rsidRPr="008A247D" w:rsidRDefault="008A247D" w:rsidP="008A247D">
          <w:pPr>
            <w:pStyle w:val="Footer"/>
            <w:spacing w:after="120"/>
            <w:rPr>
              <w:rFonts w:ascii="Arial" w:hAnsi="Arial" w:cs="Arial"/>
            </w:rPr>
          </w:pPr>
        </w:p>
      </w:tc>
      <w:tc>
        <w:tcPr>
          <w:tcW w:w="2835" w:type="dxa"/>
          <w:shd w:val="clear" w:color="auto" w:fill="auto"/>
        </w:tcPr>
        <w:p w:rsidR="008A247D" w:rsidRPr="008A247D" w:rsidRDefault="008A247D" w:rsidP="008A247D">
          <w:pPr>
            <w:pStyle w:val="Footer"/>
            <w:spacing w:after="120"/>
            <w:rPr>
              <w:rFonts w:ascii="Arial" w:hAnsi="Arial" w:cs="Arial"/>
            </w:rPr>
          </w:pPr>
        </w:p>
      </w:tc>
      <w:tc>
        <w:tcPr>
          <w:tcW w:w="680" w:type="dxa"/>
          <w:shd w:val="clear" w:color="auto" w:fill="auto"/>
        </w:tcPr>
        <w:p w:rsidR="008A247D" w:rsidRPr="008A247D" w:rsidRDefault="008A247D" w:rsidP="008A247D">
          <w:pPr>
            <w:pStyle w:val="Footer"/>
            <w:spacing w:after="120"/>
            <w:rPr>
              <w:rFonts w:ascii="Arial" w:hAnsi="Arial" w:cs="Arial"/>
            </w:rPr>
          </w:pPr>
        </w:p>
      </w:tc>
      <w:tc>
        <w:tcPr>
          <w:tcW w:w="567" w:type="dxa"/>
          <w:shd w:val="clear" w:color="auto" w:fill="auto"/>
        </w:tcPr>
        <w:p w:rsidR="008A247D" w:rsidRPr="008A247D" w:rsidRDefault="008A247D" w:rsidP="008A247D">
          <w:pPr>
            <w:pStyle w:val="Footer"/>
            <w:spacing w:after="120"/>
            <w:rPr>
              <w:rFonts w:ascii="Arial" w:hAnsi="Arial" w:cs="Arial"/>
            </w:rPr>
          </w:pPr>
        </w:p>
      </w:tc>
      <w:tc>
        <w:tcPr>
          <w:tcW w:w="1191" w:type="dxa"/>
          <w:shd w:val="clear" w:color="auto" w:fill="auto"/>
        </w:tcPr>
        <w:p w:rsidR="008A247D" w:rsidRPr="008A247D" w:rsidRDefault="008A247D" w:rsidP="008A247D">
          <w:pPr>
            <w:pStyle w:val="Footer"/>
            <w:spacing w:after="120"/>
            <w:rPr>
              <w:rFonts w:ascii="Arial" w:hAnsi="Arial" w:cs="Arial"/>
            </w:rPr>
          </w:pPr>
        </w:p>
      </w:tc>
      <w:tc>
        <w:tcPr>
          <w:tcW w:w="1701" w:type="dxa"/>
          <w:shd w:val="clear" w:color="auto" w:fill="auto"/>
        </w:tcPr>
        <w:p w:rsidR="008A247D" w:rsidRPr="008A247D" w:rsidRDefault="008A247D" w:rsidP="008A247D">
          <w:pPr>
            <w:pStyle w:val="Footer"/>
            <w:spacing w:after="120"/>
            <w:rPr>
              <w:rFonts w:ascii="Arial" w:hAnsi="Arial" w:cs="Arial"/>
            </w:rPr>
          </w:pPr>
        </w:p>
      </w:tc>
      <w:tc>
        <w:tcPr>
          <w:tcW w:w="1191" w:type="dxa"/>
          <w:shd w:val="clear" w:color="auto" w:fill="163D82"/>
          <w:vAlign w:val="center"/>
        </w:tcPr>
        <w:p w:rsidR="008A247D" w:rsidRPr="008A247D" w:rsidRDefault="008A247D" w:rsidP="008A247D">
          <w:pPr>
            <w:pStyle w:val="Footer"/>
            <w:spacing w:after="120"/>
            <w:jc w:val="center"/>
            <w:rPr>
              <w:rFonts w:ascii="Arial" w:hAnsi="Arial" w:cs="Arial"/>
              <w:b/>
              <w:color w:val="FFFFFF"/>
              <w:sz w:val="20"/>
            </w:rPr>
          </w:pPr>
          <w:r w:rsidRPr="008A247D">
            <w:rPr>
              <w:rFonts w:ascii="Arial" w:hAnsi="Arial" w:cs="Arial"/>
              <w:b/>
              <w:color w:val="FFFFFF"/>
              <w:sz w:val="20"/>
            </w:rPr>
            <w:t xml:space="preserve">Page </w:t>
          </w:r>
          <w:r w:rsidRPr="008A247D">
            <w:rPr>
              <w:rFonts w:ascii="Arial" w:hAnsi="Arial" w:cs="Arial"/>
              <w:b/>
              <w:color w:val="FFFFFF"/>
              <w:sz w:val="20"/>
            </w:rPr>
            <w:fldChar w:fldCharType="begin"/>
          </w:r>
          <w:r w:rsidRPr="008A247D">
            <w:rPr>
              <w:rFonts w:ascii="Arial" w:hAnsi="Arial" w:cs="Arial"/>
              <w:b/>
              <w:color w:val="FFFFFF"/>
              <w:sz w:val="20"/>
            </w:rPr>
            <w:instrText xml:space="preserve"> PAGE  \* MERGEFORMAT </w:instrText>
          </w:r>
          <w:r w:rsidRPr="008A247D">
            <w:rPr>
              <w:rFonts w:ascii="Arial" w:hAnsi="Arial" w:cs="Arial"/>
              <w:b/>
              <w:color w:val="FFFFFF"/>
              <w:sz w:val="20"/>
            </w:rPr>
            <w:fldChar w:fldCharType="separate"/>
          </w:r>
          <w:r w:rsidR="004E2665">
            <w:rPr>
              <w:rFonts w:ascii="Arial" w:hAnsi="Arial" w:cs="Arial"/>
              <w:b/>
              <w:noProof/>
              <w:color w:val="FFFFFF"/>
              <w:sz w:val="20"/>
            </w:rPr>
            <w:t>3</w:t>
          </w:r>
          <w:r w:rsidRPr="008A247D">
            <w:rPr>
              <w:rFonts w:ascii="Arial" w:hAnsi="Arial" w:cs="Arial"/>
              <w:b/>
              <w:color w:val="FFFFFF"/>
              <w:sz w:val="20"/>
            </w:rPr>
            <w:fldChar w:fldCharType="end"/>
          </w:r>
        </w:p>
      </w:tc>
    </w:tr>
  </w:tbl>
  <w:p w:rsidR="008A247D" w:rsidRDefault="008A247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8A247D" w:rsidRPr="008A247D" w:rsidTr="008A247D">
      <w:trPr>
        <w:trHeight w:hRule="exact" w:val="100"/>
      </w:trPr>
      <w:tc>
        <w:tcPr>
          <w:tcW w:w="2381" w:type="dxa"/>
          <w:shd w:val="clear" w:color="auto" w:fill="auto"/>
        </w:tcPr>
        <w:p w:rsidR="008A247D" w:rsidRPr="008A247D" w:rsidRDefault="008A247D" w:rsidP="008A247D">
          <w:pPr>
            <w:pStyle w:val="Footer"/>
            <w:spacing w:after="120"/>
            <w:rPr>
              <w:rFonts w:ascii="Arial" w:hAnsi="Arial" w:cs="Arial"/>
              <w:sz w:val="12"/>
            </w:rPr>
          </w:pPr>
        </w:p>
      </w:tc>
      <w:tc>
        <w:tcPr>
          <w:tcW w:w="11622" w:type="dxa"/>
          <w:shd w:val="clear" w:color="auto" w:fill="auto"/>
        </w:tcPr>
        <w:p w:rsidR="008A247D" w:rsidRPr="008A247D" w:rsidRDefault="008A247D" w:rsidP="008A247D">
          <w:pPr>
            <w:pStyle w:val="Footer"/>
            <w:spacing w:after="120"/>
            <w:rPr>
              <w:rFonts w:ascii="Arial" w:hAnsi="Arial" w:cs="Arial"/>
              <w:sz w:val="12"/>
            </w:rPr>
          </w:pPr>
        </w:p>
      </w:tc>
      <w:tc>
        <w:tcPr>
          <w:tcW w:w="1191" w:type="dxa"/>
          <w:shd w:val="clear" w:color="auto" w:fill="auto"/>
        </w:tcPr>
        <w:p w:rsidR="008A247D" w:rsidRPr="008A247D" w:rsidRDefault="008A247D" w:rsidP="008A247D">
          <w:pPr>
            <w:pStyle w:val="Footer"/>
            <w:spacing w:after="120"/>
            <w:rPr>
              <w:rFonts w:ascii="Arial" w:hAnsi="Arial" w:cs="Arial"/>
              <w:sz w:val="12"/>
            </w:rPr>
          </w:pPr>
        </w:p>
      </w:tc>
    </w:tr>
    <w:tr w:rsidR="008A247D" w:rsidRPr="008A247D" w:rsidTr="008A247D">
      <w:trPr>
        <w:trHeight w:hRule="exact" w:val="397"/>
      </w:trPr>
      <w:tc>
        <w:tcPr>
          <w:tcW w:w="15194" w:type="dxa"/>
          <w:gridSpan w:val="3"/>
          <w:shd w:val="clear" w:color="auto" w:fill="auto"/>
          <w:vAlign w:val="center"/>
        </w:tcPr>
        <w:p w:rsidR="008A247D" w:rsidRPr="008A247D" w:rsidRDefault="008A247D" w:rsidP="008A247D">
          <w:pPr>
            <w:pStyle w:val="Footer"/>
            <w:spacing w:after="120"/>
            <w:jc w:val="center"/>
            <w:rPr>
              <w:rFonts w:ascii="Arial" w:hAnsi="Arial" w:cs="Arial"/>
              <w:b/>
              <w:color w:val="163D82"/>
              <w:sz w:val="20"/>
            </w:rPr>
          </w:pPr>
          <w:r w:rsidRPr="008A247D">
            <w:rPr>
              <w:rFonts w:ascii="Arial" w:hAnsi="Arial" w:cs="Arial"/>
              <w:color w:val="163D82"/>
              <w:sz w:val="12"/>
            </w:rPr>
            <w:t>ADVISORY NOTE</w:t>
          </w:r>
        </w:p>
      </w:tc>
    </w:tr>
    <w:tr w:rsidR="008A247D" w:rsidRPr="008A247D" w:rsidTr="008A247D">
      <w:trPr>
        <w:trHeight w:hRule="exact" w:val="397"/>
      </w:trPr>
      <w:tc>
        <w:tcPr>
          <w:tcW w:w="15194" w:type="dxa"/>
          <w:gridSpan w:val="3"/>
          <w:shd w:val="clear" w:color="auto" w:fill="D9D9D9"/>
          <w:vAlign w:val="center"/>
        </w:tcPr>
        <w:p w:rsidR="008A247D" w:rsidRPr="008A247D" w:rsidRDefault="008A247D" w:rsidP="008A247D">
          <w:pPr>
            <w:pStyle w:val="Footer"/>
            <w:spacing w:after="120"/>
            <w:jc w:val="center"/>
            <w:rPr>
              <w:rFonts w:ascii="Arial" w:hAnsi="Arial" w:cs="Arial"/>
              <w:color w:val="163D82"/>
            </w:rPr>
          </w:pPr>
          <w:r w:rsidRPr="008A247D">
            <w:rPr>
              <w:rFonts w:ascii="Arial" w:hAnsi="Arial" w:cs="Arial"/>
              <w:color w:val="163D82"/>
              <w:sz w:val="16"/>
            </w:rPr>
            <w:t>Operational Effectiveness Matters need to be considered as part of management review of procedures, rather than on a one-by-one basis</w:t>
          </w:r>
        </w:p>
      </w:tc>
    </w:tr>
    <w:tr w:rsidR="008A247D" w:rsidRPr="008A247D" w:rsidTr="008A247D">
      <w:trPr>
        <w:trHeight w:hRule="exact" w:val="397"/>
      </w:trPr>
      <w:tc>
        <w:tcPr>
          <w:tcW w:w="14003" w:type="dxa"/>
          <w:gridSpan w:val="2"/>
          <w:shd w:val="clear" w:color="auto" w:fill="auto"/>
        </w:tcPr>
        <w:p w:rsidR="008A247D" w:rsidRPr="00664005" w:rsidRDefault="008A247D" w:rsidP="008A247D">
          <w:pPr>
            <w:pStyle w:val="Footer"/>
            <w:spacing w:after="120"/>
            <w:rPr>
              <w:rFonts w:ascii="Arial" w:hAnsi="Arial" w:cs="Arial"/>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tcPr>
        <w:p w:rsidR="008A247D" w:rsidRPr="008A247D" w:rsidRDefault="008A247D" w:rsidP="008A247D">
          <w:pPr>
            <w:pStyle w:val="Footer"/>
            <w:spacing w:after="120"/>
            <w:jc w:val="center"/>
            <w:rPr>
              <w:rFonts w:ascii="Arial" w:hAnsi="Arial" w:cs="Arial"/>
              <w:b/>
              <w:color w:val="FFFFFF"/>
              <w:sz w:val="20"/>
            </w:rPr>
          </w:pPr>
          <w:r w:rsidRPr="008A247D">
            <w:rPr>
              <w:rFonts w:ascii="Arial" w:hAnsi="Arial" w:cs="Arial"/>
              <w:b/>
              <w:color w:val="FFFFFF"/>
              <w:sz w:val="20"/>
            </w:rPr>
            <w:t xml:space="preserve">Page </w:t>
          </w:r>
          <w:r w:rsidRPr="008A247D">
            <w:rPr>
              <w:rFonts w:ascii="Arial" w:hAnsi="Arial" w:cs="Arial"/>
              <w:b/>
              <w:color w:val="FFFFFF"/>
              <w:sz w:val="20"/>
            </w:rPr>
            <w:fldChar w:fldCharType="begin"/>
          </w:r>
          <w:r w:rsidRPr="008A247D">
            <w:rPr>
              <w:rFonts w:ascii="Arial" w:hAnsi="Arial" w:cs="Arial"/>
              <w:b/>
              <w:color w:val="FFFFFF"/>
              <w:sz w:val="20"/>
            </w:rPr>
            <w:instrText xml:space="preserve"> PAGE  \* MERGEFORMAT </w:instrText>
          </w:r>
          <w:r w:rsidRPr="008A247D">
            <w:rPr>
              <w:rFonts w:ascii="Arial" w:hAnsi="Arial" w:cs="Arial"/>
              <w:b/>
              <w:color w:val="FFFFFF"/>
              <w:sz w:val="20"/>
            </w:rPr>
            <w:fldChar w:fldCharType="separate"/>
          </w:r>
          <w:r w:rsidR="004E2665">
            <w:rPr>
              <w:rFonts w:ascii="Arial" w:hAnsi="Arial" w:cs="Arial"/>
              <w:b/>
              <w:noProof/>
              <w:color w:val="FFFFFF"/>
              <w:sz w:val="20"/>
            </w:rPr>
            <w:t>4</w:t>
          </w:r>
          <w:r w:rsidRPr="008A247D">
            <w:rPr>
              <w:rFonts w:ascii="Arial" w:hAnsi="Arial" w:cs="Arial"/>
              <w:b/>
              <w:color w:val="FFFFFF"/>
              <w:sz w:val="20"/>
            </w:rPr>
            <w:fldChar w:fldCharType="end"/>
          </w:r>
        </w:p>
      </w:tc>
    </w:tr>
  </w:tbl>
  <w:p w:rsidR="008A247D" w:rsidRDefault="008A247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003"/>
      <w:gridCol w:w="1191"/>
    </w:tblGrid>
    <w:tr w:rsidR="008A247D" w:rsidRPr="008A247D" w:rsidTr="008A247D">
      <w:trPr>
        <w:trHeight w:hRule="exact" w:val="100"/>
      </w:trPr>
      <w:tc>
        <w:tcPr>
          <w:tcW w:w="14003" w:type="dxa"/>
          <w:shd w:val="clear" w:color="auto" w:fill="auto"/>
        </w:tcPr>
        <w:p w:rsidR="008A247D" w:rsidRPr="008A247D" w:rsidRDefault="008A247D" w:rsidP="008A247D">
          <w:pPr>
            <w:pStyle w:val="Footer"/>
            <w:spacing w:after="120"/>
            <w:rPr>
              <w:sz w:val="12"/>
            </w:rPr>
          </w:pPr>
        </w:p>
      </w:tc>
      <w:tc>
        <w:tcPr>
          <w:tcW w:w="1191" w:type="dxa"/>
          <w:shd w:val="clear" w:color="auto" w:fill="auto"/>
        </w:tcPr>
        <w:p w:rsidR="008A247D" w:rsidRPr="008A247D" w:rsidRDefault="008A247D" w:rsidP="008A247D">
          <w:pPr>
            <w:pStyle w:val="Footer"/>
            <w:spacing w:after="120"/>
            <w:rPr>
              <w:sz w:val="12"/>
            </w:rPr>
          </w:pPr>
        </w:p>
      </w:tc>
    </w:tr>
    <w:tr w:rsidR="008A247D" w:rsidRPr="008A247D" w:rsidTr="008A247D">
      <w:trPr>
        <w:trHeight w:hRule="exact" w:val="397"/>
      </w:trPr>
      <w:tc>
        <w:tcPr>
          <w:tcW w:w="14003" w:type="dxa"/>
          <w:shd w:val="clear" w:color="auto" w:fill="auto"/>
          <w:vAlign w:val="bottom"/>
        </w:tcPr>
        <w:p w:rsidR="008A247D" w:rsidRPr="00664005" w:rsidRDefault="008A247D" w:rsidP="008A247D">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8A247D" w:rsidRPr="008A247D" w:rsidRDefault="008A247D" w:rsidP="008A247D">
          <w:pPr>
            <w:pStyle w:val="Footer"/>
            <w:spacing w:after="120"/>
            <w:jc w:val="center"/>
            <w:rPr>
              <w:rFonts w:ascii="Arial" w:hAnsi="Arial" w:cs="Arial"/>
              <w:b/>
              <w:color w:val="FFFFFF"/>
              <w:sz w:val="20"/>
            </w:rPr>
          </w:pPr>
          <w:r w:rsidRPr="008A247D">
            <w:rPr>
              <w:rFonts w:ascii="Arial" w:hAnsi="Arial" w:cs="Arial"/>
              <w:b/>
              <w:color w:val="FFFFFF"/>
              <w:sz w:val="20"/>
            </w:rPr>
            <w:t xml:space="preserve">Page </w:t>
          </w:r>
          <w:r w:rsidRPr="008A247D">
            <w:rPr>
              <w:rFonts w:ascii="Arial" w:hAnsi="Arial" w:cs="Arial"/>
              <w:b/>
              <w:color w:val="FFFFFF"/>
              <w:sz w:val="20"/>
            </w:rPr>
            <w:fldChar w:fldCharType="begin"/>
          </w:r>
          <w:r w:rsidRPr="008A247D">
            <w:rPr>
              <w:rFonts w:ascii="Arial" w:hAnsi="Arial" w:cs="Arial"/>
              <w:b/>
              <w:color w:val="FFFFFF"/>
              <w:sz w:val="20"/>
            </w:rPr>
            <w:instrText xml:space="preserve"> PAGE  \* MERGEFORMAT </w:instrText>
          </w:r>
          <w:r w:rsidRPr="008A247D">
            <w:rPr>
              <w:rFonts w:ascii="Arial" w:hAnsi="Arial" w:cs="Arial"/>
              <w:b/>
              <w:color w:val="FFFFFF"/>
              <w:sz w:val="20"/>
            </w:rPr>
            <w:fldChar w:fldCharType="separate"/>
          </w:r>
          <w:r w:rsidR="004E2665">
            <w:rPr>
              <w:rFonts w:ascii="Arial" w:hAnsi="Arial" w:cs="Arial"/>
              <w:b/>
              <w:noProof/>
              <w:color w:val="FFFFFF"/>
              <w:sz w:val="20"/>
            </w:rPr>
            <w:t>11</w:t>
          </w:r>
          <w:r w:rsidRPr="008A247D">
            <w:rPr>
              <w:rFonts w:ascii="Arial" w:hAnsi="Arial" w:cs="Arial"/>
              <w:b/>
              <w:color w:val="FFFFFF"/>
              <w:sz w:val="20"/>
            </w:rPr>
            <w:fldChar w:fldCharType="end"/>
          </w:r>
        </w:p>
      </w:tc>
    </w:tr>
  </w:tbl>
  <w:p w:rsidR="008A247D" w:rsidRPr="00E640A1" w:rsidRDefault="008A247D">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2E8" w:rsidRDefault="005822E8" w:rsidP="008A247D">
      <w:pPr>
        <w:spacing w:after="0" w:line="240" w:lineRule="auto"/>
      </w:pPr>
      <w:r>
        <w:separator/>
      </w:r>
    </w:p>
  </w:footnote>
  <w:footnote w:type="continuationSeparator" w:id="0">
    <w:p w:rsidR="005822E8" w:rsidRDefault="005822E8" w:rsidP="008A24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8A247D" w:rsidRPr="008A247D" w:rsidTr="008A247D">
      <w:trPr>
        <w:trHeight w:hRule="exact" w:val="850"/>
      </w:trPr>
      <w:tc>
        <w:tcPr>
          <w:tcW w:w="13323" w:type="dxa"/>
        </w:tcPr>
        <w:p w:rsidR="008A247D" w:rsidRPr="008A247D" w:rsidRDefault="008A247D" w:rsidP="008A247D">
          <w:pPr>
            <w:pStyle w:val="Header"/>
            <w:spacing w:after="120"/>
            <w:rPr>
              <w:rFonts w:ascii="Arial" w:hAnsi="Arial" w:cs="Arial"/>
            </w:rPr>
          </w:pPr>
        </w:p>
      </w:tc>
      <w:tc>
        <w:tcPr>
          <w:tcW w:w="1757" w:type="dxa"/>
          <w:shd w:val="clear" w:color="auto" w:fill="163D82"/>
          <w:vAlign w:val="center"/>
        </w:tcPr>
        <w:p w:rsidR="008A247D" w:rsidRPr="008A247D" w:rsidRDefault="008A247D" w:rsidP="008A247D">
          <w:pPr>
            <w:pStyle w:val="Header"/>
            <w:spacing w:after="120"/>
            <w:jc w:val="center"/>
            <w:rPr>
              <w:rFonts w:ascii="Arial" w:hAnsi="Arial" w:cs="Arial"/>
              <w:b/>
              <w:color w:val="FFFFFF"/>
              <w:sz w:val="24"/>
            </w:rPr>
          </w:pPr>
          <w:r w:rsidRPr="008A247D">
            <w:rPr>
              <w:rFonts w:ascii="Arial" w:hAnsi="Arial" w:cs="Arial"/>
              <w:b/>
              <w:color w:val="FFFFFF"/>
              <w:sz w:val="24"/>
            </w:rPr>
            <w:t>Internal Audit</w:t>
          </w:r>
        </w:p>
      </w:tc>
    </w:tr>
  </w:tbl>
  <w:p w:rsidR="008A247D" w:rsidRDefault="008A24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A247D" w:rsidTr="008A247D">
      <w:tc>
        <w:tcPr>
          <w:tcW w:w="1701" w:type="dxa"/>
          <w:vAlign w:val="bottom"/>
        </w:tcPr>
        <w:p w:rsidR="008A247D" w:rsidRDefault="00197807" w:rsidP="008A247D">
          <w:pPr>
            <w:pStyle w:val="Header"/>
            <w:spacing w:after="120"/>
          </w:pPr>
          <w:r w:rsidRPr="00A033E4">
            <w:rPr>
              <w:rFonts w:ascii="Arial" w:hAnsi="Arial" w:cs="Arial"/>
              <w:b/>
              <w:noProof/>
              <w:color w:val="163D82"/>
              <w:sz w:val="32"/>
              <w:lang w:eastAsia="en-GB"/>
            </w:rPr>
            <w:drawing>
              <wp:inline distT="0" distB="0" distL="0" distR="0" wp14:anchorId="4F857300" wp14:editId="4D99A915">
                <wp:extent cx="723900" cy="333375"/>
                <wp:effectExtent l="0" t="0" r="0" b="9525"/>
                <wp:docPr id="7"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8A247D" w:rsidRPr="008A247D" w:rsidRDefault="008A247D" w:rsidP="008A247D">
          <w:pPr>
            <w:pStyle w:val="Header"/>
            <w:spacing w:after="120"/>
            <w:jc w:val="center"/>
            <w:rPr>
              <w:color w:val="163D82"/>
              <w:sz w:val="18"/>
            </w:rPr>
          </w:pPr>
          <w:r>
            <w:rPr>
              <w:color w:val="163D82"/>
              <w:sz w:val="18"/>
            </w:rPr>
            <w:t>The Police and Crime Commissioner for Cleveland and the Chief Constable Cleveland Police</w:t>
          </w:r>
        </w:p>
        <w:p w:rsidR="008A247D" w:rsidRPr="008A247D" w:rsidRDefault="00E640A1" w:rsidP="00E640A1">
          <w:pPr>
            <w:pStyle w:val="Header"/>
            <w:spacing w:after="120"/>
            <w:jc w:val="center"/>
            <w:rPr>
              <w:color w:val="163D82"/>
              <w:sz w:val="18"/>
            </w:rPr>
          </w:pPr>
          <w:r>
            <w:rPr>
              <w:color w:val="163D82"/>
              <w:sz w:val="18"/>
            </w:rPr>
            <w:t xml:space="preserve">Assurance </w:t>
          </w:r>
          <w:r w:rsidR="008A247D" w:rsidRPr="008A247D">
            <w:rPr>
              <w:color w:val="163D82"/>
              <w:sz w:val="18"/>
            </w:rPr>
            <w:t>Rev</w:t>
          </w:r>
          <w:r>
            <w:rPr>
              <w:color w:val="163D82"/>
              <w:sz w:val="18"/>
            </w:rPr>
            <w:t xml:space="preserve">iew of Key Financial Controls </w:t>
          </w:r>
        </w:p>
      </w:tc>
      <w:tc>
        <w:tcPr>
          <w:tcW w:w="1701" w:type="dxa"/>
          <w:vAlign w:val="bottom"/>
        </w:tcPr>
        <w:p w:rsidR="008A247D" w:rsidRPr="008A247D" w:rsidRDefault="008A247D" w:rsidP="008A247D">
          <w:pPr>
            <w:pStyle w:val="Header"/>
            <w:spacing w:after="120"/>
            <w:jc w:val="right"/>
            <w:rPr>
              <w:b/>
              <w:color w:val="163D82"/>
            </w:rPr>
          </w:pPr>
          <w:r w:rsidRPr="008A247D">
            <w:rPr>
              <w:b/>
              <w:color w:val="163D82"/>
            </w:rPr>
            <w:t>2017/18</w:t>
          </w:r>
        </w:p>
      </w:tc>
    </w:tr>
  </w:tbl>
  <w:p w:rsidR="008A247D" w:rsidRDefault="008A24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8A247D" w:rsidRPr="008A247D" w:rsidTr="008A247D">
      <w:trPr>
        <w:trHeight w:hRule="exact" w:val="850"/>
      </w:trPr>
      <w:tc>
        <w:tcPr>
          <w:tcW w:w="13323" w:type="dxa"/>
        </w:tcPr>
        <w:p w:rsidR="008A247D" w:rsidRPr="008A247D" w:rsidRDefault="008A247D" w:rsidP="008A247D">
          <w:pPr>
            <w:pStyle w:val="Header"/>
            <w:spacing w:after="120"/>
            <w:rPr>
              <w:rFonts w:ascii="Arial" w:hAnsi="Arial" w:cs="Arial"/>
            </w:rPr>
          </w:pPr>
        </w:p>
      </w:tc>
      <w:tc>
        <w:tcPr>
          <w:tcW w:w="1757" w:type="dxa"/>
          <w:shd w:val="clear" w:color="auto" w:fill="163D82"/>
          <w:vAlign w:val="center"/>
        </w:tcPr>
        <w:p w:rsidR="008A247D" w:rsidRPr="008A247D" w:rsidRDefault="008A247D" w:rsidP="008A247D">
          <w:pPr>
            <w:pStyle w:val="Header"/>
            <w:spacing w:after="120"/>
            <w:jc w:val="center"/>
            <w:rPr>
              <w:rFonts w:ascii="Arial" w:hAnsi="Arial" w:cs="Arial"/>
              <w:b/>
              <w:color w:val="FFFFFF"/>
              <w:sz w:val="24"/>
            </w:rPr>
          </w:pPr>
          <w:r w:rsidRPr="008A247D">
            <w:rPr>
              <w:rFonts w:ascii="Arial" w:hAnsi="Arial" w:cs="Arial"/>
              <w:b/>
              <w:color w:val="FFFFFF"/>
              <w:sz w:val="24"/>
            </w:rPr>
            <w:t>Internal Audit</w:t>
          </w:r>
        </w:p>
      </w:tc>
    </w:tr>
  </w:tbl>
  <w:p w:rsidR="008A247D" w:rsidRDefault="008A24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A247D" w:rsidTr="008A247D">
      <w:tc>
        <w:tcPr>
          <w:tcW w:w="1701" w:type="dxa"/>
          <w:vAlign w:val="bottom"/>
        </w:tcPr>
        <w:p w:rsidR="008A247D" w:rsidRDefault="00197807" w:rsidP="008A247D">
          <w:pPr>
            <w:pStyle w:val="Header"/>
            <w:spacing w:after="120"/>
          </w:pPr>
          <w:r w:rsidRPr="00A033E4">
            <w:rPr>
              <w:rFonts w:ascii="Arial" w:hAnsi="Arial" w:cs="Arial"/>
              <w:b/>
              <w:noProof/>
              <w:color w:val="163D82"/>
              <w:sz w:val="32"/>
              <w:lang w:eastAsia="en-GB"/>
            </w:rPr>
            <w:drawing>
              <wp:inline distT="0" distB="0" distL="0" distR="0" wp14:anchorId="6E325161" wp14:editId="1B68E0F0">
                <wp:extent cx="723900" cy="333375"/>
                <wp:effectExtent l="0" t="0" r="0" b="9525"/>
                <wp:docPr id="8"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8A247D" w:rsidRPr="008A247D" w:rsidRDefault="008A247D" w:rsidP="008A247D">
          <w:pPr>
            <w:pStyle w:val="Header"/>
            <w:spacing w:after="120"/>
            <w:jc w:val="center"/>
            <w:rPr>
              <w:color w:val="163D82"/>
              <w:sz w:val="18"/>
            </w:rPr>
          </w:pPr>
          <w:r>
            <w:rPr>
              <w:color w:val="163D82"/>
              <w:sz w:val="18"/>
            </w:rPr>
            <w:t>The Police and Crime Commissioner for Cleveland and the Chief Constable Cleveland Police</w:t>
          </w:r>
        </w:p>
        <w:p w:rsidR="008A247D" w:rsidRPr="008A247D" w:rsidRDefault="00E640A1" w:rsidP="00E640A1">
          <w:pPr>
            <w:pStyle w:val="Header"/>
            <w:spacing w:after="120"/>
            <w:jc w:val="center"/>
            <w:rPr>
              <w:color w:val="163D82"/>
              <w:sz w:val="18"/>
            </w:rPr>
          </w:pPr>
          <w:r>
            <w:rPr>
              <w:color w:val="163D82"/>
              <w:sz w:val="18"/>
            </w:rPr>
            <w:t xml:space="preserve">Assurance </w:t>
          </w:r>
          <w:r w:rsidR="008A247D" w:rsidRPr="008A247D">
            <w:rPr>
              <w:color w:val="163D82"/>
              <w:sz w:val="18"/>
            </w:rPr>
            <w:t xml:space="preserve">Review of Key Financial </w:t>
          </w:r>
          <w:r>
            <w:rPr>
              <w:color w:val="163D82"/>
              <w:sz w:val="18"/>
            </w:rPr>
            <w:t>Controls</w:t>
          </w:r>
        </w:p>
      </w:tc>
      <w:tc>
        <w:tcPr>
          <w:tcW w:w="1701" w:type="dxa"/>
          <w:vAlign w:val="bottom"/>
        </w:tcPr>
        <w:p w:rsidR="008A247D" w:rsidRPr="008A247D" w:rsidRDefault="008A247D" w:rsidP="008A247D">
          <w:pPr>
            <w:pStyle w:val="Header"/>
            <w:spacing w:after="120"/>
            <w:jc w:val="right"/>
            <w:rPr>
              <w:b/>
              <w:color w:val="163D82"/>
            </w:rPr>
          </w:pPr>
          <w:r w:rsidRPr="008A247D">
            <w:rPr>
              <w:b/>
              <w:color w:val="163D82"/>
            </w:rPr>
            <w:t>2017/18</w:t>
          </w:r>
        </w:p>
      </w:tc>
    </w:tr>
  </w:tbl>
  <w:p w:rsidR="008A247D" w:rsidRPr="00197807" w:rsidRDefault="008A247D">
    <w:pPr>
      <w:pStyle w:val="Header"/>
      <w:rPr>
        <w:sz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A247D" w:rsidTr="008A247D">
      <w:tc>
        <w:tcPr>
          <w:tcW w:w="1701" w:type="dxa"/>
          <w:vAlign w:val="bottom"/>
        </w:tcPr>
        <w:p w:rsidR="008A247D" w:rsidRDefault="00197807" w:rsidP="008A247D">
          <w:pPr>
            <w:pStyle w:val="Header"/>
            <w:spacing w:after="120"/>
          </w:pPr>
          <w:r w:rsidRPr="00A033E4">
            <w:rPr>
              <w:rFonts w:ascii="Arial" w:hAnsi="Arial" w:cs="Arial"/>
              <w:b/>
              <w:noProof/>
              <w:color w:val="163D82"/>
              <w:sz w:val="32"/>
              <w:lang w:eastAsia="en-GB"/>
            </w:rPr>
            <w:drawing>
              <wp:inline distT="0" distB="0" distL="0" distR="0" wp14:anchorId="3D1C1D89" wp14:editId="7AA5D6D3">
                <wp:extent cx="723900" cy="333375"/>
                <wp:effectExtent l="0" t="0" r="0" b="9525"/>
                <wp:docPr id="9"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8A247D" w:rsidRPr="008A247D" w:rsidRDefault="008A247D" w:rsidP="008A247D">
          <w:pPr>
            <w:pStyle w:val="Header"/>
            <w:spacing w:after="120"/>
            <w:jc w:val="center"/>
            <w:rPr>
              <w:color w:val="163D82"/>
              <w:sz w:val="18"/>
            </w:rPr>
          </w:pPr>
          <w:r>
            <w:rPr>
              <w:color w:val="163D82"/>
              <w:sz w:val="18"/>
            </w:rPr>
            <w:t>The Police and Crime Commissioner for Cleveland and the Chief Constable Cleveland Police</w:t>
          </w:r>
        </w:p>
        <w:p w:rsidR="008A247D" w:rsidRPr="008A247D" w:rsidRDefault="00197807" w:rsidP="00E640A1">
          <w:pPr>
            <w:pStyle w:val="Header"/>
            <w:spacing w:after="120"/>
            <w:jc w:val="center"/>
            <w:rPr>
              <w:color w:val="163D82"/>
              <w:sz w:val="18"/>
            </w:rPr>
          </w:pPr>
          <w:r>
            <w:rPr>
              <w:color w:val="163D82"/>
              <w:sz w:val="18"/>
            </w:rPr>
            <w:t xml:space="preserve">Assurance </w:t>
          </w:r>
          <w:r w:rsidR="008A247D" w:rsidRPr="008A247D">
            <w:rPr>
              <w:color w:val="163D82"/>
              <w:sz w:val="18"/>
            </w:rPr>
            <w:t>R</w:t>
          </w:r>
          <w:r w:rsidR="00E640A1">
            <w:rPr>
              <w:color w:val="163D82"/>
              <w:sz w:val="18"/>
            </w:rPr>
            <w:t>eview of Key Financial Controls</w:t>
          </w:r>
        </w:p>
      </w:tc>
      <w:tc>
        <w:tcPr>
          <w:tcW w:w="1701" w:type="dxa"/>
          <w:vAlign w:val="bottom"/>
        </w:tcPr>
        <w:p w:rsidR="008A247D" w:rsidRPr="008A247D" w:rsidRDefault="008A247D" w:rsidP="008A247D">
          <w:pPr>
            <w:pStyle w:val="Header"/>
            <w:spacing w:after="120"/>
            <w:jc w:val="right"/>
            <w:rPr>
              <w:b/>
              <w:color w:val="163D82"/>
            </w:rPr>
          </w:pPr>
          <w:r w:rsidRPr="008A247D">
            <w:rPr>
              <w:b/>
              <w:color w:val="163D82"/>
            </w:rPr>
            <w:t>2017/18</w:t>
          </w:r>
        </w:p>
      </w:tc>
    </w:tr>
  </w:tbl>
  <w:p w:rsidR="008A247D" w:rsidRPr="00197807" w:rsidRDefault="008A247D">
    <w:pPr>
      <w:pStyle w:val="Header"/>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8A247D" w:rsidTr="008A247D">
      <w:tc>
        <w:tcPr>
          <w:tcW w:w="1701" w:type="dxa"/>
          <w:vAlign w:val="bottom"/>
        </w:tcPr>
        <w:p w:rsidR="008A247D" w:rsidRDefault="00197807" w:rsidP="008A247D">
          <w:pPr>
            <w:pStyle w:val="Header"/>
            <w:spacing w:after="120"/>
          </w:pPr>
          <w:r w:rsidRPr="00A033E4">
            <w:rPr>
              <w:rFonts w:ascii="Arial" w:hAnsi="Arial" w:cs="Arial"/>
              <w:b/>
              <w:noProof/>
              <w:color w:val="163D82"/>
              <w:sz w:val="32"/>
              <w:lang w:eastAsia="en-GB"/>
            </w:rPr>
            <w:drawing>
              <wp:inline distT="0" distB="0" distL="0" distR="0" wp14:anchorId="30429FB2" wp14:editId="06F546CF">
                <wp:extent cx="723900" cy="333375"/>
                <wp:effectExtent l="0" t="0" r="0" b="9525"/>
                <wp:docPr id="10"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8A247D" w:rsidRPr="008A247D" w:rsidRDefault="008A247D" w:rsidP="008A247D">
          <w:pPr>
            <w:pStyle w:val="Header"/>
            <w:spacing w:after="120"/>
            <w:jc w:val="center"/>
            <w:rPr>
              <w:color w:val="163D82"/>
              <w:sz w:val="18"/>
            </w:rPr>
          </w:pPr>
          <w:r>
            <w:rPr>
              <w:color w:val="163D82"/>
              <w:sz w:val="18"/>
            </w:rPr>
            <w:t>The Police and Crime Commissioner for Cleveland and the Chief Constable Cleveland Police</w:t>
          </w:r>
        </w:p>
        <w:p w:rsidR="008A247D" w:rsidRPr="008A247D" w:rsidRDefault="00197807" w:rsidP="00E640A1">
          <w:pPr>
            <w:pStyle w:val="Header"/>
            <w:spacing w:after="120"/>
            <w:jc w:val="center"/>
            <w:rPr>
              <w:color w:val="163D82"/>
              <w:sz w:val="18"/>
            </w:rPr>
          </w:pPr>
          <w:r>
            <w:rPr>
              <w:color w:val="163D82"/>
              <w:sz w:val="18"/>
            </w:rPr>
            <w:t xml:space="preserve">Assurance </w:t>
          </w:r>
          <w:r w:rsidR="008A247D" w:rsidRPr="008A247D">
            <w:rPr>
              <w:color w:val="163D82"/>
              <w:sz w:val="18"/>
            </w:rPr>
            <w:t>Re</w:t>
          </w:r>
          <w:r w:rsidR="00E640A1">
            <w:rPr>
              <w:color w:val="163D82"/>
              <w:sz w:val="18"/>
            </w:rPr>
            <w:t xml:space="preserve">view of Key Financial Controls </w:t>
          </w:r>
        </w:p>
      </w:tc>
      <w:tc>
        <w:tcPr>
          <w:tcW w:w="1701" w:type="dxa"/>
          <w:vAlign w:val="bottom"/>
        </w:tcPr>
        <w:p w:rsidR="008A247D" w:rsidRPr="008A247D" w:rsidRDefault="008A247D" w:rsidP="008A247D">
          <w:pPr>
            <w:pStyle w:val="Header"/>
            <w:spacing w:after="120"/>
            <w:jc w:val="right"/>
            <w:rPr>
              <w:b/>
              <w:color w:val="163D82"/>
            </w:rPr>
          </w:pPr>
          <w:r w:rsidRPr="008A247D">
            <w:rPr>
              <w:b/>
              <w:color w:val="163D82"/>
            </w:rPr>
            <w:t>2017/18</w:t>
          </w:r>
        </w:p>
      </w:tc>
    </w:tr>
  </w:tbl>
  <w:p w:rsidR="008A247D" w:rsidRPr="00197807" w:rsidRDefault="008A247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70C87"/>
    <w:multiLevelType w:val="hybridMultilevel"/>
    <w:tmpl w:val="657EF472"/>
    <w:lvl w:ilvl="0" w:tplc="459A7BAE">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1A474FF8"/>
    <w:multiLevelType w:val="multilevel"/>
    <w:tmpl w:val="8796E45C"/>
    <w:lvl w:ilvl="0">
      <w:start w:val="1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27BA40A2"/>
    <w:multiLevelType w:val="multilevel"/>
    <w:tmpl w:val="B328922A"/>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55B016B3"/>
    <w:multiLevelType w:val="hybridMultilevel"/>
    <w:tmpl w:val="EDC8B470"/>
    <w:lvl w:ilvl="0" w:tplc="EE642C68">
      <w:start w:val="1"/>
      <w:numFmt w:val="bullet"/>
      <w:lvlText w:val=""/>
      <w:lvlJc w:val="left"/>
      <w:pPr>
        <w:ind w:left="3600" w:hanging="360"/>
      </w:pPr>
      <w:rPr>
        <w:rFonts w:ascii="Symbol" w:hAnsi="Symbol" w:hint="default"/>
        <w:color w:val="C00000"/>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b+e5hAu2Z2zprkWkTGs9dO6vIB1soh0A1L9dApzvEzBQDgthYAeWpg93Xp8+NgHUW3yzjhL1Bv5Nmvhd3DeKw==" w:salt="HJ9vL8xt2TFxviO3146sXA=="/>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8"/>
  </w:docVars>
  <w:rsids>
    <w:rsidRoot w:val="008A247D"/>
    <w:rsid w:val="00002D94"/>
    <w:rsid w:val="00021F84"/>
    <w:rsid w:val="000632C6"/>
    <w:rsid w:val="00197807"/>
    <w:rsid w:val="001D4037"/>
    <w:rsid w:val="00313B37"/>
    <w:rsid w:val="004E2665"/>
    <w:rsid w:val="005822E8"/>
    <w:rsid w:val="00584387"/>
    <w:rsid w:val="0059532D"/>
    <w:rsid w:val="00613F82"/>
    <w:rsid w:val="00664005"/>
    <w:rsid w:val="006A1762"/>
    <w:rsid w:val="006D022D"/>
    <w:rsid w:val="008A247D"/>
    <w:rsid w:val="008A43E2"/>
    <w:rsid w:val="00905383"/>
    <w:rsid w:val="00923167"/>
    <w:rsid w:val="009265C5"/>
    <w:rsid w:val="009D4B90"/>
    <w:rsid w:val="00A1498B"/>
    <w:rsid w:val="00AB3922"/>
    <w:rsid w:val="00B20F2D"/>
    <w:rsid w:val="00DD7181"/>
    <w:rsid w:val="00E640A1"/>
    <w:rsid w:val="00E801D1"/>
    <w:rsid w:val="00FD5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47D"/>
    <w:pPr>
      <w:ind w:left="720"/>
    </w:pPr>
  </w:style>
  <w:style w:type="paragraph" w:styleId="Header">
    <w:name w:val="header"/>
    <w:basedOn w:val="Normal"/>
    <w:link w:val="HeaderChar"/>
    <w:uiPriority w:val="99"/>
    <w:unhideWhenUsed/>
    <w:rsid w:val="008A24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247D"/>
  </w:style>
  <w:style w:type="paragraph" w:styleId="Footer">
    <w:name w:val="footer"/>
    <w:basedOn w:val="Normal"/>
    <w:link w:val="FooterChar"/>
    <w:uiPriority w:val="99"/>
    <w:unhideWhenUsed/>
    <w:rsid w:val="008A24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247D"/>
  </w:style>
  <w:style w:type="character" w:styleId="CommentReference">
    <w:name w:val="annotation reference"/>
    <w:basedOn w:val="DefaultParagraphFont"/>
    <w:uiPriority w:val="99"/>
    <w:semiHidden/>
    <w:unhideWhenUsed/>
    <w:rsid w:val="00A1498B"/>
    <w:rPr>
      <w:sz w:val="16"/>
      <w:szCs w:val="16"/>
    </w:rPr>
  </w:style>
  <w:style w:type="paragraph" w:styleId="CommentText">
    <w:name w:val="annotation text"/>
    <w:basedOn w:val="Normal"/>
    <w:link w:val="CommentTextChar"/>
    <w:uiPriority w:val="99"/>
    <w:semiHidden/>
    <w:unhideWhenUsed/>
    <w:rsid w:val="00A1498B"/>
    <w:pPr>
      <w:spacing w:line="240" w:lineRule="auto"/>
    </w:pPr>
    <w:rPr>
      <w:sz w:val="20"/>
      <w:szCs w:val="20"/>
    </w:rPr>
  </w:style>
  <w:style w:type="character" w:customStyle="1" w:styleId="CommentTextChar">
    <w:name w:val="Comment Text Char"/>
    <w:basedOn w:val="DefaultParagraphFont"/>
    <w:link w:val="CommentText"/>
    <w:uiPriority w:val="99"/>
    <w:semiHidden/>
    <w:rsid w:val="00A1498B"/>
    <w:rPr>
      <w:sz w:val="20"/>
      <w:szCs w:val="20"/>
    </w:rPr>
  </w:style>
  <w:style w:type="paragraph" w:styleId="CommentSubject">
    <w:name w:val="annotation subject"/>
    <w:basedOn w:val="CommentText"/>
    <w:next w:val="CommentText"/>
    <w:link w:val="CommentSubjectChar"/>
    <w:uiPriority w:val="99"/>
    <w:semiHidden/>
    <w:unhideWhenUsed/>
    <w:rsid w:val="00A1498B"/>
    <w:rPr>
      <w:b/>
      <w:bCs/>
    </w:rPr>
  </w:style>
  <w:style w:type="character" w:customStyle="1" w:styleId="CommentSubjectChar">
    <w:name w:val="Comment Subject Char"/>
    <w:basedOn w:val="CommentTextChar"/>
    <w:link w:val="CommentSubject"/>
    <w:uiPriority w:val="99"/>
    <w:semiHidden/>
    <w:rsid w:val="00A1498B"/>
    <w:rPr>
      <w:b/>
      <w:bCs/>
      <w:sz w:val="20"/>
      <w:szCs w:val="20"/>
    </w:rPr>
  </w:style>
  <w:style w:type="paragraph" w:styleId="BalloonText">
    <w:name w:val="Balloon Text"/>
    <w:basedOn w:val="Normal"/>
    <w:link w:val="BalloonTextChar"/>
    <w:uiPriority w:val="99"/>
    <w:semiHidden/>
    <w:unhideWhenUsed/>
    <w:rsid w:val="00A149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98B"/>
    <w:rPr>
      <w:rFonts w:ascii="Segoe UI" w:hAnsi="Segoe UI" w:cs="Segoe UI"/>
      <w:sz w:val="18"/>
      <w:szCs w:val="18"/>
    </w:rPr>
  </w:style>
  <w:style w:type="paragraph" w:styleId="Revision">
    <w:name w:val="Revision"/>
    <w:hidden/>
    <w:uiPriority w:val="99"/>
    <w:semiHidden/>
    <w:rsid w:val="00A149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47D"/>
    <w:pPr>
      <w:ind w:left="720"/>
    </w:pPr>
  </w:style>
  <w:style w:type="paragraph" w:styleId="Header">
    <w:name w:val="header"/>
    <w:basedOn w:val="Normal"/>
    <w:link w:val="HeaderChar"/>
    <w:uiPriority w:val="99"/>
    <w:unhideWhenUsed/>
    <w:rsid w:val="008A24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247D"/>
  </w:style>
  <w:style w:type="paragraph" w:styleId="Footer">
    <w:name w:val="footer"/>
    <w:basedOn w:val="Normal"/>
    <w:link w:val="FooterChar"/>
    <w:uiPriority w:val="99"/>
    <w:unhideWhenUsed/>
    <w:rsid w:val="008A24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247D"/>
  </w:style>
  <w:style w:type="character" w:styleId="CommentReference">
    <w:name w:val="annotation reference"/>
    <w:basedOn w:val="DefaultParagraphFont"/>
    <w:uiPriority w:val="99"/>
    <w:semiHidden/>
    <w:unhideWhenUsed/>
    <w:rsid w:val="00A1498B"/>
    <w:rPr>
      <w:sz w:val="16"/>
      <w:szCs w:val="16"/>
    </w:rPr>
  </w:style>
  <w:style w:type="paragraph" w:styleId="CommentText">
    <w:name w:val="annotation text"/>
    <w:basedOn w:val="Normal"/>
    <w:link w:val="CommentTextChar"/>
    <w:uiPriority w:val="99"/>
    <w:semiHidden/>
    <w:unhideWhenUsed/>
    <w:rsid w:val="00A1498B"/>
    <w:pPr>
      <w:spacing w:line="240" w:lineRule="auto"/>
    </w:pPr>
    <w:rPr>
      <w:sz w:val="20"/>
      <w:szCs w:val="20"/>
    </w:rPr>
  </w:style>
  <w:style w:type="character" w:customStyle="1" w:styleId="CommentTextChar">
    <w:name w:val="Comment Text Char"/>
    <w:basedOn w:val="DefaultParagraphFont"/>
    <w:link w:val="CommentText"/>
    <w:uiPriority w:val="99"/>
    <w:semiHidden/>
    <w:rsid w:val="00A1498B"/>
    <w:rPr>
      <w:sz w:val="20"/>
      <w:szCs w:val="20"/>
    </w:rPr>
  </w:style>
  <w:style w:type="paragraph" w:styleId="CommentSubject">
    <w:name w:val="annotation subject"/>
    <w:basedOn w:val="CommentText"/>
    <w:next w:val="CommentText"/>
    <w:link w:val="CommentSubjectChar"/>
    <w:uiPriority w:val="99"/>
    <w:semiHidden/>
    <w:unhideWhenUsed/>
    <w:rsid w:val="00A1498B"/>
    <w:rPr>
      <w:b/>
      <w:bCs/>
    </w:rPr>
  </w:style>
  <w:style w:type="character" w:customStyle="1" w:styleId="CommentSubjectChar">
    <w:name w:val="Comment Subject Char"/>
    <w:basedOn w:val="CommentTextChar"/>
    <w:link w:val="CommentSubject"/>
    <w:uiPriority w:val="99"/>
    <w:semiHidden/>
    <w:rsid w:val="00A1498B"/>
    <w:rPr>
      <w:b/>
      <w:bCs/>
      <w:sz w:val="20"/>
      <w:szCs w:val="20"/>
    </w:rPr>
  </w:style>
  <w:style w:type="paragraph" w:styleId="BalloonText">
    <w:name w:val="Balloon Text"/>
    <w:basedOn w:val="Normal"/>
    <w:link w:val="BalloonTextChar"/>
    <w:uiPriority w:val="99"/>
    <w:semiHidden/>
    <w:unhideWhenUsed/>
    <w:rsid w:val="00A149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98B"/>
    <w:rPr>
      <w:rFonts w:ascii="Segoe UI" w:hAnsi="Segoe UI" w:cs="Segoe UI"/>
      <w:sz w:val="18"/>
      <w:szCs w:val="18"/>
    </w:rPr>
  </w:style>
  <w:style w:type="paragraph" w:styleId="Revision">
    <w:name w:val="Revision"/>
    <w:hidden/>
    <w:uiPriority w:val="99"/>
    <w:semiHidden/>
    <w:rsid w:val="00A149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95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2972</Words>
  <Characters>16944</Characters>
  <Application>Microsoft Office Word</Application>
  <DocSecurity>8</DocSecurity>
  <Lines>141</Lines>
  <Paragraphs>39</Paragraphs>
  <ScaleCrop>false</ScaleCrop>
  <HeadingPairs>
    <vt:vector size="2" baseType="variant">
      <vt:variant>
        <vt:lpstr>Title</vt:lpstr>
      </vt:variant>
      <vt:variant>
        <vt:i4>1</vt:i4>
      </vt:variant>
    </vt:vector>
  </HeadingPairs>
  <TitlesOfParts>
    <vt:vector size="1" baseType="lpstr">
      <vt:lpstr>Key financial controls</vt:lpstr>
    </vt:vector>
  </TitlesOfParts>
  <Company>TIAA LTD</Company>
  <LinksUpToDate>false</LinksUpToDate>
  <CharactersWithSpaces>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financial controls</dc:title>
  <dc:creator>TIAA</dc:creator>
  <cp:lastModifiedBy>SMITH, Hannah (C8653)</cp:lastModifiedBy>
  <cp:revision>2</cp:revision>
  <dcterms:created xsi:type="dcterms:W3CDTF">2017-12-08T10:58:00Z</dcterms:created>
  <dcterms:modified xsi:type="dcterms:W3CDTF">2017-12-08T10:58:00Z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0e2aca53-62c8-433c-bb48-9978efcc3b0e</vt:lpwstr>
  </property>
  <property fmtid="{D5CDD505-2E9C-101B-9397-08002B2CF9AE}" pid="3" name="Classification">
    <vt:lpwstr>OFFICIAL</vt:lpwstr>
  </property>
</Properties>
</file>