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top w:w="120" w:type="dxa"/>
          <w:left w:w="60" w:type="dxa"/>
          <w:bottom w:w="120" w:type="dxa"/>
          <w:right w:w="60" w:type="dxa"/>
        </w:tblCellMar>
        <w:tblLook w:val="0000" w:firstRow="0" w:lastRow="0" w:firstColumn="0" w:lastColumn="0" w:noHBand="0" w:noVBand="0"/>
      </w:tblPr>
      <w:tblGrid>
        <w:gridCol w:w="7569"/>
        <w:gridCol w:w="7569"/>
      </w:tblGrid>
      <w:tr w:rsidR="007427D5" w:rsidTr="007427D5">
        <w:tc>
          <w:tcPr>
            <w:tcW w:w="7569" w:type="dxa"/>
            <w:vAlign w:val="bottom"/>
          </w:tcPr>
          <w:p w:rsidR="007427D5" w:rsidRDefault="00341C73" w:rsidP="007427D5">
            <w:pPr>
              <w:spacing w:before="60" w:after="60"/>
            </w:pPr>
            <w:bookmarkStart w:id="0" w:name="_GoBack"/>
            <w:bookmarkEnd w:id="0"/>
            <w:r w:rsidRPr="005F2A3C">
              <w:rPr>
                <w:rFonts w:cs="Arial"/>
                <w:noProof/>
                <w:color w:val="365F91"/>
                <w:sz w:val="40"/>
                <w:szCs w:val="40"/>
                <w:lang w:eastAsia="en-GB"/>
              </w:rPr>
              <w:drawing>
                <wp:inline distT="0" distB="0" distL="0" distR="0" wp14:anchorId="3CFDD72B" wp14:editId="713462C9">
                  <wp:extent cx="1619250" cy="742950"/>
                  <wp:effectExtent l="0" t="0" r="0" b="0"/>
                  <wp:docPr id="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9">
                            <a:extLst>
                              <a:ext uri="{28A0092B-C50C-407E-A947-70E740481C1C}">
                                <a14:useLocalDpi xmlns:a14="http://schemas.microsoft.com/office/drawing/2010/main" val="0"/>
                              </a:ext>
                            </a:extLst>
                          </a:blip>
                          <a:srcRect r="23801" b="4935"/>
                          <a:stretch>
                            <a:fillRect/>
                          </a:stretch>
                        </pic:blipFill>
                        <pic:spPr bwMode="auto">
                          <a:xfrm>
                            <a:off x="0" y="0"/>
                            <a:ext cx="1619250" cy="742950"/>
                          </a:xfrm>
                          <a:prstGeom prst="rect">
                            <a:avLst/>
                          </a:prstGeom>
                          <a:noFill/>
                          <a:ln>
                            <a:noFill/>
                          </a:ln>
                        </pic:spPr>
                      </pic:pic>
                    </a:graphicData>
                  </a:graphic>
                </wp:inline>
              </w:drawing>
            </w:r>
          </w:p>
        </w:tc>
        <w:tc>
          <w:tcPr>
            <w:tcW w:w="7569" w:type="dxa"/>
          </w:tcPr>
          <w:p w:rsidR="007427D5" w:rsidRDefault="007427D5" w:rsidP="007427D5">
            <w:pPr>
              <w:spacing w:before="60" w:after="60"/>
            </w:pPr>
          </w:p>
        </w:tc>
      </w:tr>
    </w:tbl>
    <w:p w:rsidR="007427D5" w:rsidRDefault="007427D5" w:rsidP="007427D5">
      <w:pPr>
        <w:spacing w:after="120"/>
      </w:pPr>
    </w:p>
    <w:p w:rsidR="007427D5" w:rsidRDefault="007427D5" w:rsidP="007427D5">
      <w:pPr>
        <w:spacing w:after="120"/>
      </w:pPr>
    </w:p>
    <w:p w:rsidR="007427D5" w:rsidRDefault="007427D5" w:rsidP="007427D5">
      <w:pPr>
        <w:spacing w:after="120"/>
      </w:pPr>
    </w:p>
    <w:tbl>
      <w:tblPr>
        <w:tblW w:w="0" w:type="auto"/>
        <w:tblLayout w:type="fixed"/>
        <w:tblCellMar>
          <w:top w:w="120" w:type="dxa"/>
          <w:left w:w="60" w:type="dxa"/>
          <w:bottom w:w="120" w:type="dxa"/>
          <w:right w:w="60" w:type="dxa"/>
        </w:tblCellMar>
        <w:tblLook w:val="0000" w:firstRow="0" w:lastRow="0" w:firstColumn="0" w:lastColumn="0" w:noHBand="0" w:noVBand="0"/>
      </w:tblPr>
      <w:tblGrid>
        <w:gridCol w:w="14601"/>
      </w:tblGrid>
      <w:tr w:rsidR="007427D5" w:rsidRPr="007427D5" w:rsidTr="00E86491">
        <w:trPr>
          <w:trHeight w:hRule="exact" w:val="1134"/>
        </w:trPr>
        <w:tc>
          <w:tcPr>
            <w:tcW w:w="14601" w:type="dxa"/>
            <w:tcBorders>
              <w:bottom w:val="single" w:sz="48" w:space="0" w:color="DC0D15"/>
            </w:tcBorders>
            <w:shd w:val="clear" w:color="auto" w:fill="auto"/>
            <w:tcMar>
              <w:left w:w="0" w:type="dxa"/>
            </w:tcMar>
          </w:tcPr>
          <w:p w:rsidR="007427D5" w:rsidRPr="007427D5" w:rsidRDefault="00F077E2" w:rsidP="007427D5">
            <w:pPr>
              <w:spacing w:before="60" w:after="60"/>
              <w:rPr>
                <w:rFonts w:ascii="Arial" w:hAnsi="Arial" w:cs="Arial"/>
                <w:b/>
                <w:color w:val="163D82"/>
                <w:sz w:val="40"/>
              </w:rPr>
            </w:pPr>
            <w:r>
              <w:rPr>
                <w:rFonts w:ascii="Arial" w:hAnsi="Arial" w:cs="Arial"/>
                <w:b/>
                <w:color w:val="163D82"/>
                <w:sz w:val="40"/>
                <w:szCs w:val="40"/>
              </w:rPr>
              <w:t>The Police and Crime Commissioner for Cleveland and the Chief Constable Cleveland Police</w:t>
            </w:r>
          </w:p>
        </w:tc>
      </w:tr>
      <w:tr w:rsidR="007427D5" w:rsidRPr="007427D5" w:rsidTr="00E86491">
        <w:trPr>
          <w:trHeight w:hRule="exact" w:val="1734"/>
        </w:trPr>
        <w:tc>
          <w:tcPr>
            <w:tcW w:w="14601" w:type="dxa"/>
            <w:tcBorders>
              <w:top w:val="single" w:sz="48" w:space="0" w:color="DC0D15"/>
            </w:tcBorders>
            <w:shd w:val="clear" w:color="auto" w:fill="auto"/>
            <w:tcMar>
              <w:left w:w="0" w:type="dxa"/>
            </w:tcMar>
          </w:tcPr>
          <w:p w:rsidR="007427D5" w:rsidRPr="007427D5" w:rsidRDefault="007427D5" w:rsidP="007427D5">
            <w:pPr>
              <w:spacing w:before="60" w:after="60"/>
              <w:rPr>
                <w:rFonts w:ascii="Arial" w:hAnsi="Arial" w:cs="Arial"/>
                <w:b/>
                <w:color w:val="163D82"/>
                <w:sz w:val="40"/>
              </w:rPr>
            </w:pPr>
            <w:r w:rsidRPr="007427D5">
              <w:rPr>
                <w:rFonts w:ascii="Arial" w:hAnsi="Arial" w:cs="Arial"/>
                <w:b/>
                <w:color w:val="163D82"/>
                <w:sz w:val="40"/>
              </w:rPr>
              <w:t>Assurance Review of Governance – Strategic Control and Corporate Governance</w:t>
            </w:r>
          </w:p>
        </w:tc>
      </w:tr>
      <w:tr w:rsidR="007427D5" w:rsidRPr="007427D5" w:rsidTr="00E86491">
        <w:trPr>
          <w:trHeight w:hRule="exact" w:val="1134"/>
        </w:trPr>
        <w:tc>
          <w:tcPr>
            <w:tcW w:w="14601" w:type="dxa"/>
            <w:shd w:val="clear" w:color="auto" w:fill="auto"/>
            <w:tcMar>
              <w:left w:w="0" w:type="dxa"/>
            </w:tcMar>
          </w:tcPr>
          <w:p w:rsidR="007427D5" w:rsidRPr="007427D5" w:rsidRDefault="007427D5" w:rsidP="007427D5">
            <w:pPr>
              <w:spacing w:before="60" w:after="60"/>
              <w:rPr>
                <w:rFonts w:ascii="Arial" w:hAnsi="Arial" w:cs="Arial"/>
                <w:b/>
                <w:color w:val="163D82"/>
                <w:sz w:val="40"/>
              </w:rPr>
            </w:pPr>
            <w:r w:rsidRPr="007427D5">
              <w:rPr>
                <w:rFonts w:ascii="Arial" w:hAnsi="Arial" w:cs="Arial"/>
                <w:b/>
                <w:color w:val="163D82"/>
                <w:sz w:val="40"/>
              </w:rPr>
              <w:t>2017/18</w:t>
            </w:r>
          </w:p>
        </w:tc>
      </w:tr>
    </w:tbl>
    <w:p w:rsidR="007427D5" w:rsidRDefault="007427D5" w:rsidP="007427D5">
      <w:pPr>
        <w:spacing w:after="120"/>
      </w:pPr>
    </w:p>
    <w:p w:rsidR="007427D5" w:rsidRDefault="007427D5" w:rsidP="007427D5">
      <w:pPr>
        <w:spacing w:after="120"/>
        <w:sectPr w:rsidR="007427D5" w:rsidSect="00075E48">
          <w:headerReference w:type="first" r:id="rId10"/>
          <w:footerReference w:type="first" r:id="rId11"/>
          <w:pgSz w:w="16838" w:h="11906" w:orient="landscape"/>
          <w:pgMar w:top="850" w:right="850" w:bottom="850" w:left="850" w:header="708" w:footer="527" w:gutter="0"/>
          <w:cols w:space="708"/>
          <w:titlePg/>
          <w:docGrid w:linePitch="360"/>
        </w:sectPr>
      </w:pPr>
    </w:p>
    <w:tbl>
      <w:tblPr>
        <w:tblW w:w="15193" w:type="dxa"/>
        <w:jc w:val="center"/>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7427D5" w:rsidTr="007427D5">
        <w:trPr>
          <w:trHeight w:hRule="exact" w:val="624"/>
          <w:jc w:val="center"/>
        </w:trPr>
        <w:tc>
          <w:tcPr>
            <w:tcW w:w="15194" w:type="dxa"/>
            <w:shd w:val="clear" w:color="auto" w:fill="FFFFFF"/>
            <w:tcMar>
              <w:bottom w:w="20" w:type="dxa"/>
            </w:tcMar>
          </w:tcPr>
          <w:p w:rsidR="007427D5" w:rsidRPr="007427D5" w:rsidRDefault="007427D5" w:rsidP="007427D5">
            <w:pPr>
              <w:spacing w:before="120" w:after="120"/>
              <w:rPr>
                <w:rFonts w:ascii="Arial" w:hAnsi="Arial" w:cs="Arial"/>
                <w:b/>
                <w:color w:val="163D82"/>
                <w:sz w:val="32"/>
              </w:rPr>
            </w:pPr>
            <w:r>
              <w:rPr>
                <w:rFonts w:ascii="Arial" w:hAnsi="Arial" w:cs="Arial"/>
                <w:b/>
                <w:color w:val="163D82"/>
                <w:sz w:val="32"/>
              </w:rPr>
              <w:lastRenderedPageBreak/>
              <w:t>Executive Summary</w:t>
            </w:r>
          </w:p>
        </w:tc>
      </w:tr>
    </w:tbl>
    <w:p w:rsidR="007427D5" w:rsidRDefault="007427D5" w:rsidP="007427D5">
      <w:pPr>
        <w:spacing w:after="120"/>
        <w:jc w:val="center"/>
      </w:pPr>
      <w:bookmarkStart w:id="1" w:name="section2"/>
      <w:bookmarkEnd w:id="1"/>
    </w:p>
    <w:tbl>
      <w:tblPr>
        <w:tblW w:w="15194" w:type="dxa"/>
        <w:jc w:val="center"/>
        <w:tblBorders>
          <w:top w:val="single" w:sz="24" w:space="0" w:color="DC0D15"/>
          <w:left w:val="single" w:sz="24" w:space="0" w:color="DC0D15"/>
          <w:bottom w:val="single" w:sz="24" w:space="0" w:color="DC0D15"/>
          <w:right w:val="single" w:sz="24" w:space="0" w:color="DC0D15"/>
          <w:insideH w:val="single" w:sz="24" w:space="0" w:color="DC0D15"/>
          <w:insideV w:val="single" w:sz="24" w:space="0" w:color="DC0D15"/>
        </w:tblBorders>
        <w:tblLayout w:type="fixed"/>
        <w:tblCellMar>
          <w:left w:w="60" w:type="dxa"/>
          <w:right w:w="60" w:type="dxa"/>
        </w:tblCellMar>
        <w:tblLook w:val="0000" w:firstRow="0" w:lastRow="0" w:firstColumn="0" w:lastColumn="0" w:noHBand="0" w:noVBand="0"/>
      </w:tblPr>
      <w:tblGrid>
        <w:gridCol w:w="7597"/>
        <w:gridCol w:w="7597"/>
      </w:tblGrid>
      <w:tr w:rsidR="007427D5" w:rsidRPr="007427D5" w:rsidTr="007427D5">
        <w:trPr>
          <w:trHeight w:val="397"/>
          <w:jc w:val="center"/>
        </w:trPr>
        <w:tc>
          <w:tcPr>
            <w:tcW w:w="7597" w:type="dxa"/>
            <w:tcBorders>
              <w:bottom w:val="nil"/>
            </w:tcBorders>
            <w:shd w:val="clear" w:color="auto" w:fill="D9D9D9"/>
          </w:tcPr>
          <w:p w:rsidR="007427D5" w:rsidRPr="007427D5" w:rsidRDefault="007427D5" w:rsidP="007427D5">
            <w:pPr>
              <w:spacing w:before="60" w:after="60"/>
              <w:rPr>
                <w:rFonts w:ascii="Arial" w:hAnsi="Arial" w:cs="Arial"/>
                <w:b/>
                <w:color w:val="163D82"/>
                <w:sz w:val="20"/>
              </w:rPr>
            </w:pPr>
            <w:r w:rsidRPr="007427D5">
              <w:rPr>
                <w:rFonts w:ascii="Arial" w:hAnsi="Arial" w:cs="Arial"/>
                <w:b/>
                <w:color w:val="163D82"/>
                <w:sz w:val="20"/>
              </w:rPr>
              <w:t>OVERALL ASSURANCE ASSESSMENT</w:t>
            </w:r>
          </w:p>
        </w:tc>
        <w:tc>
          <w:tcPr>
            <w:tcW w:w="7597" w:type="dxa"/>
            <w:tcBorders>
              <w:bottom w:val="nil"/>
            </w:tcBorders>
            <w:shd w:val="clear" w:color="auto" w:fill="D9D9D9"/>
          </w:tcPr>
          <w:p w:rsidR="007427D5" w:rsidRPr="007427D5" w:rsidRDefault="007427D5" w:rsidP="007427D5">
            <w:pPr>
              <w:spacing w:before="60" w:after="60"/>
              <w:rPr>
                <w:rFonts w:ascii="Arial" w:hAnsi="Arial" w:cs="Arial"/>
                <w:b/>
                <w:color w:val="163D82"/>
                <w:sz w:val="20"/>
              </w:rPr>
            </w:pPr>
            <w:r w:rsidRPr="007427D5">
              <w:rPr>
                <w:rFonts w:ascii="Arial" w:hAnsi="Arial" w:cs="Arial"/>
                <w:b/>
                <w:color w:val="163D82"/>
                <w:sz w:val="20"/>
              </w:rPr>
              <w:t>OVERALL CONCLUSION</w:t>
            </w:r>
          </w:p>
        </w:tc>
      </w:tr>
      <w:tr w:rsidR="007427D5" w:rsidRPr="007427D5" w:rsidTr="007427D5">
        <w:trPr>
          <w:trHeight w:val="3345"/>
          <w:jc w:val="center"/>
        </w:trPr>
        <w:tc>
          <w:tcPr>
            <w:tcW w:w="7597" w:type="dxa"/>
            <w:tcBorders>
              <w:top w:val="nil"/>
              <w:bottom w:val="single" w:sz="24" w:space="0" w:color="DC0D15"/>
            </w:tcBorders>
            <w:shd w:val="clear" w:color="auto" w:fill="auto"/>
            <w:vAlign w:val="center"/>
          </w:tcPr>
          <w:p w:rsidR="007427D5" w:rsidRPr="007427D5" w:rsidRDefault="00DA61E5" w:rsidP="007427D5">
            <w:pPr>
              <w:spacing w:before="60" w:after="60"/>
              <w:jc w:val="center"/>
              <w:rPr>
                <w:rFonts w:ascii="Arial" w:hAnsi="Arial" w:cs="Arial"/>
              </w:rPr>
            </w:pPr>
            <w:r>
              <w:rPr>
                <w:noProof/>
                <w:lang w:eastAsia="en-GB"/>
              </w:rPr>
              <w:drawing>
                <wp:inline distT="0" distB="0" distL="0" distR="0" wp14:anchorId="50EDB378" wp14:editId="4A0AE666">
                  <wp:extent cx="2806335" cy="162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7597" w:type="dxa"/>
            <w:tcBorders>
              <w:top w:val="nil"/>
              <w:bottom w:val="single" w:sz="24" w:space="0" w:color="DC0D15"/>
            </w:tcBorders>
            <w:shd w:val="clear" w:color="auto" w:fill="auto"/>
          </w:tcPr>
          <w:tbl>
            <w:tblPr>
              <w:tblW w:w="0" w:type="auto"/>
              <w:tblLayout w:type="fixed"/>
              <w:tblLook w:val="0000" w:firstRow="0" w:lastRow="0" w:firstColumn="0" w:lastColumn="0" w:noHBand="0" w:noVBand="0"/>
            </w:tblPr>
            <w:tblGrid>
              <w:gridCol w:w="283"/>
              <w:gridCol w:w="6520"/>
            </w:tblGrid>
            <w:tr w:rsidR="007427D5" w:rsidTr="007427D5">
              <w:tc>
                <w:tcPr>
                  <w:tcW w:w="283" w:type="dxa"/>
                </w:tcPr>
                <w:p w:rsidR="007427D5" w:rsidRPr="00DA61E5" w:rsidRDefault="007427D5" w:rsidP="007427D5">
                  <w:pPr>
                    <w:spacing w:before="60" w:after="60"/>
                    <w:rPr>
                      <w:rFonts w:ascii="Wingdings" w:hAnsi="Wingdings" w:cs="Arial"/>
                      <w:b/>
                      <w:color w:val="DC0D15"/>
                      <w:sz w:val="16"/>
                    </w:rPr>
                  </w:pPr>
                </w:p>
              </w:tc>
              <w:tc>
                <w:tcPr>
                  <w:tcW w:w="6520" w:type="dxa"/>
                </w:tcPr>
                <w:p w:rsidR="007427D5" w:rsidRPr="00DA61E5" w:rsidRDefault="001B5A90" w:rsidP="00DA61E5">
                  <w:pPr>
                    <w:pStyle w:val="ListParagraph"/>
                    <w:numPr>
                      <w:ilvl w:val="0"/>
                      <w:numId w:val="5"/>
                    </w:numPr>
                    <w:spacing w:before="60" w:after="60"/>
                    <w:jc w:val="both"/>
                    <w:rPr>
                      <w:rFonts w:ascii="Arial" w:hAnsi="Arial" w:cs="Arial"/>
                      <w:b/>
                      <w:color w:val="DC0D15"/>
                      <w:sz w:val="20"/>
                      <w:szCs w:val="20"/>
                    </w:rPr>
                  </w:pPr>
                  <w:r w:rsidRPr="00DA61E5">
                    <w:rPr>
                      <w:rFonts w:ascii="Arial" w:hAnsi="Arial" w:cs="Arial"/>
                      <w:b/>
                      <w:color w:val="DC0D15"/>
                      <w:sz w:val="20"/>
                      <w:szCs w:val="20"/>
                    </w:rPr>
                    <w:t xml:space="preserve">Generally the Force has adequate policies and procedures in place to facilitate good </w:t>
                  </w:r>
                  <w:r w:rsidR="007427D5" w:rsidRPr="00DA61E5">
                    <w:rPr>
                      <w:rFonts w:ascii="Arial" w:hAnsi="Arial" w:cs="Arial"/>
                      <w:b/>
                      <w:color w:val="DC0D15"/>
                      <w:sz w:val="20"/>
                      <w:szCs w:val="20"/>
                    </w:rPr>
                    <w:t>Corpo</w:t>
                  </w:r>
                  <w:r w:rsidR="006567D7" w:rsidRPr="00DA61E5">
                    <w:rPr>
                      <w:rFonts w:ascii="Arial" w:hAnsi="Arial" w:cs="Arial"/>
                      <w:b/>
                      <w:color w:val="DC0D15"/>
                      <w:sz w:val="20"/>
                      <w:szCs w:val="20"/>
                    </w:rPr>
                    <w:t>r</w:t>
                  </w:r>
                  <w:r w:rsidR="007427D5" w:rsidRPr="00DA61E5">
                    <w:rPr>
                      <w:rFonts w:ascii="Arial" w:hAnsi="Arial" w:cs="Arial"/>
                      <w:b/>
                      <w:color w:val="DC0D15"/>
                      <w:sz w:val="20"/>
                      <w:szCs w:val="20"/>
                    </w:rPr>
                    <w:t xml:space="preserve">ate Governance </w:t>
                  </w:r>
                  <w:r w:rsidRPr="00DA61E5">
                    <w:rPr>
                      <w:rFonts w:ascii="Arial" w:hAnsi="Arial" w:cs="Arial"/>
                      <w:b/>
                      <w:color w:val="DC0D15"/>
                      <w:sz w:val="20"/>
                      <w:szCs w:val="20"/>
                    </w:rPr>
                    <w:t>practices.</w:t>
                  </w:r>
                </w:p>
                <w:p w:rsidR="001B5A90" w:rsidRPr="00DA61E5" w:rsidRDefault="001B5A90" w:rsidP="00DA61E5">
                  <w:pPr>
                    <w:pStyle w:val="ListParagraph"/>
                    <w:numPr>
                      <w:ilvl w:val="0"/>
                      <w:numId w:val="5"/>
                    </w:numPr>
                    <w:spacing w:before="60" w:after="60"/>
                    <w:jc w:val="both"/>
                    <w:rPr>
                      <w:rFonts w:ascii="Arial" w:hAnsi="Arial" w:cs="Arial"/>
                      <w:b/>
                      <w:color w:val="DC0D15"/>
                      <w:sz w:val="20"/>
                      <w:szCs w:val="20"/>
                    </w:rPr>
                  </w:pPr>
                  <w:r w:rsidRPr="00DA61E5">
                    <w:rPr>
                      <w:rFonts w:ascii="Arial" w:hAnsi="Arial" w:cs="Arial"/>
                      <w:b/>
                      <w:color w:val="DC0D15"/>
                      <w:sz w:val="20"/>
                      <w:szCs w:val="20"/>
                    </w:rPr>
                    <w:t xml:space="preserve">The </w:t>
                  </w:r>
                  <w:r w:rsidR="009C7E12">
                    <w:rPr>
                      <w:rFonts w:ascii="Arial" w:hAnsi="Arial" w:cs="Arial"/>
                      <w:b/>
                      <w:color w:val="DC0D15"/>
                      <w:sz w:val="20"/>
                      <w:szCs w:val="20"/>
                    </w:rPr>
                    <w:t xml:space="preserve">Joint </w:t>
                  </w:r>
                  <w:r w:rsidRPr="00DA61E5">
                    <w:rPr>
                      <w:rFonts w:ascii="Arial" w:hAnsi="Arial" w:cs="Arial"/>
                      <w:b/>
                      <w:color w:val="DC0D15"/>
                      <w:sz w:val="20"/>
                      <w:szCs w:val="20"/>
                    </w:rPr>
                    <w:t>Corporate Governance Framework requires updating and to have version control to manage the updating process.</w:t>
                  </w:r>
                </w:p>
              </w:tc>
            </w:tr>
            <w:tr w:rsidR="007427D5" w:rsidTr="007427D5">
              <w:tc>
                <w:tcPr>
                  <w:tcW w:w="283" w:type="dxa"/>
                </w:tcPr>
                <w:p w:rsidR="007427D5" w:rsidRPr="00DA61E5" w:rsidRDefault="007427D5" w:rsidP="007427D5">
                  <w:pPr>
                    <w:spacing w:before="60" w:after="60"/>
                    <w:rPr>
                      <w:rFonts w:ascii="Wingdings" w:hAnsi="Wingdings" w:cs="Arial"/>
                      <w:b/>
                      <w:color w:val="DC0D15"/>
                      <w:sz w:val="16"/>
                    </w:rPr>
                  </w:pPr>
                </w:p>
              </w:tc>
              <w:tc>
                <w:tcPr>
                  <w:tcW w:w="6520" w:type="dxa"/>
                </w:tcPr>
                <w:p w:rsidR="007427D5" w:rsidRPr="00DA61E5" w:rsidRDefault="007427D5" w:rsidP="00DA61E5">
                  <w:pPr>
                    <w:pStyle w:val="ListParagraph"/>
                    <w:numPr>
                      <w:ilvl w:val="0"/>
                      <w:numId w:val="5"/>
                    </w:numPr>
                    <w:spacing w:before="60" w:after="60"/>
                    <w:jc w:val="both"/>
                    <w:rPr>
                      <w:rFonts w:ascii="Arial" w:hAnsi="Arial" w:cs="Arial"/>
                      <w:b/>
                      <w:color w:val="DC0D15"/>
                      <w:sz w:val="20"/>
                      <w:szCs w:val="20"/>
                    </w:rPr>
                  </w:pPr>
                  <w:r w:rsidRPr="00DA61E5">
                    <w:rPr>
                      <w:rFonts w:ascii="Arial" w:hAnsi="Arial" w:cs="Arial"/>
                      <w:b/>
                      <w:color w:val="DC0D15"/>
                      <w:sz w:val="20"/>
                      <w:szCs w:val="20"/>
                    </w:rPr>
                    <w:t>The Force Command Management Responsibilities and teams are under review and are being restructured with appropriate terms of reference</w:t>
                  </w:r>
                  <w:r w:rsidR="001B5A90" w:rsidRPr="00DA61E5">
                    <w:rPr>
                      <w:rFonts w:ascii="Arial" w:hAnsi="Arial" w:cs="Arial"/>
                      <w:b/>
                      <w:color w:val="DC0D15"/>
                      <w:sz w:val="20"/>
                      <w:szCs w:val="20"/>
                    </w:rPr>
                    <w:t>.</w:t>
                  </w:r>
                </w:p>
              </w:tc>
            </w:tr>
            <w:tr w:rsidR="007427D5" w:rsidTr="007427D5">
              <w:tc>
                <w:tcPr>
                  <w:tcW w:w="283" w:type="dxa"/>
                </w:tcPr>
                <w:p w:rsidR="007427D5" w:rsidRPr="00DA61E5" w:rsidRDefault="007427D5" w:rsidP="007427D5">
                  <w:pPr>
                    <w:spacing w:before="60" w:after="60"/>
                    <w:rPr>
                      <w:rFonts w:ascii="Wingdings" w:hAnsi="Wingdings" w:cs="Arial"/>
                      <w:b/>
                      <w:color w:val="DC0D15"/>
                      <w:sz w:val="16"/>
                    </w:rPr>
                  </w:pPr>
                </w:p>
              </w:tc>
              <w:tc>
                <w:tcPr>
                  <w:tcW w:w="6520" w:type="dxa"/>
                </w:tcPr>
                <w:p w:rsidR="007427D5" w:rsidRPr="00DA61E5" w:rsidRDefault="007427D5" w:rsidP="00DA61E5">
                  <w:pPr>
                    <w:pStyle w:val="ListParagraph"/>
                    <w:numPr>
                      <w:ilvl w:val="0"/>
                      <w:numId w:val="5"/>
                    </w:numPr>
                    <w:spacing w:before="60" w:after="60"/>
                    <w:jc w:val="both"/>
                    <w:rPr>
                      <w:rFonts w:ascii="Arial" w:hAnsi="Arial" w:cs="Arial"/>
                      <w:b/>
                      <w:color w:val="DC0D15"/>
                      <w:sz w:val="20"/>
                      <w:szCs w:val="20"/>
                    </w:rPr>
                  </w:pPr>
                  <w:r w:rsidRPr="00DA61E5">
                    <w:rPr>
                      <w:rFonts w:ascii="Arial" w:hAnsi="Arial" w:cs="Arial"/>
                      <w:b/>
                      <w:color w:val="DC0D15"/>
                      <w:sz w:val="20"/>
                      <w:szCs w:val="20"/>
                    </w:rPr>
                    <w:t>A Corporate Plan is in place for the period 2017</w:t>
                  </w:r>
                  <w:r w:rsidR="001B5A90" w:rsidRPr="00DA61E5">
                    <w:rPr>
                      <w:rFonts w:ascii="Arial" w:hAnsi="Arial" w:cs="Arial"/>
                      <w:b/>
                      <w:color w:val="DC0D15"/>
                      <w:sz w:val="20"/>
                      <w:szCs w:val="20"/>
                    </w:rPr>
                    <w:t xml:space="preserve"> –</w:t>
                  </w:r>
                  <w:r w:rsidRPr="00DA61E5">
                    <w:rPr>
                      <w:rFonts w:ascii="Arial" w:hAnsi="Arial" w:cs="Arial"/>
                      <w:b/>
                      <w:color w:val="DC0D15"/>
                      <w:sz w:val="20"/>
                      <w:szCs w:val="20"/>
                    </w:rPr>
                    <w:t xml:space="preserve"> 2020</w:t>
                  </w:r>
                  <w:r w:rsidR="001B5A90" w:rsidRPr="00DA61E5">
                    <w:rPr>
                      <w:rFonts w:ascii="Arial" w:hAnsi="Arial" w:cs="Arial"/>
                      <w:b/>
                      <w:color w:val="DC0D15"/>
                      <w:sz w:val="20"/>
                      <w:szCs w:val="20"/>
                    </w:rPr>
                    <w:t>.</w:t>
                  </w:r>
                </w:p>
              </w:tc>
            </w:tr>
          </w:tbl>
          <w:p w:rsidR="007427D5" w:rsidRPr="007427D5" w:rsidRDefault="007427D5" w:rsidP="007427D5">
            <w:pPr>
              <w:spacing w:before="60" w:after="60"/>
              <w:rPr>
                <w:rFonts w:ascii="Arial" w:hAnsi="Arial" w:cs="Arial"/>
              </w:rPr>
            </w:pPr>
          </w:p>
        </w:tc>
      </w:tr>
      <w:tr w:rsidR="007427D5" w:rsidRPr="007427D5" w:rsidTr="007427D5">
        <w:trPr>
          <w:trHeight w:val="397"/>
          <w:jc w:val="center"/>
        </w:trPr>
        <w:tc>
          <w:tcPr>
            <w:tcW w:w="7597" w:type="dxa"/>
            <w:tcBorders>
              <w:bottom w:val="nil"/>
            </w:tcBorders>
            <w:shd w:val="clear" w:color="auto" w:fill="D9D9D9"/>
          </w:tcPr>
          <w:p w:rsidR="007427D5" w:rsidRPr="007427D5" w:rsidRDefault="007427D5" w:rsidP="007427D5">
            <w:pPr>
              <w:spacing w:before="60" w:after="60"/>
              <w:rPr>
                <w:rFonts w:ascii="Arial" w:hAnsi="Arial" w:cs="Arial"/>
                <w:b/>
                <w:color w:val="163D82"/>
                <w:sz w:val="20"/>
              </w:rPr>
            </w:pPr>
            <w:r w:rsidRPr="007427D5">
              <w:rPr>
                <w:rFonts w:ascii="Arial" w:hAnsi="Arial" w:cs="Arial"/>
                <w:b/>
                <w:color w:val="163D82"/>
                <w:sz w:val="20"/>
              </w:rPr>
              <w:t>RATIONALE AND SCOPE</w:t>
            </w:r>
          </w:p>
        </w:tc>
        <w:tc>
          <w:tcPr>
            <w:tcW w:w="7597" w:type="dxa"/>
            <w:tcBorders>
              <w:bottom w:val="nil"/>
            </w:tcBorders>
            <w:shd w:val="clear" w:color="auto" w:fill="D9D9D9"/>
          </w:tcPr>
          <w:p w:rsidR="007427D5" w:rsidRPr="007427D5" w:rsidRDefault="007427D5" w:rsidP="007427D5">
            <w:pPr>
              <w:spacing w:before="60" w:after="60"/>
              <w:rPr>
                <w:rFonts w:ascii="Arial" w:hAnsi="Arial" w:cs="Arial"/>
                <w:b/>
                <w:color w:val="163D82"/>
                <w:sz w:val="20"/>
              </w:rPr>
            </w:pPr>
            <w:r w:rsidRPr="007427D5">
              <w:rPr>
                <w:rFonts w:ascii="Arial" w:hAnsi="Arial" w:cs="Arial"/>
                <w:b/>
                <w:color w:val="163D82"/>
                <w:sz w:val="20"/>
              </w:rPr>
              <w:t>ACTION POINTS</w:t>
            </w:r>
          </w:p>
        </w:tc>
      </w:tr>
      <w:tr w:rsidR="007427D5" w:rsidRPr="007427D5" w:rsidTr="007427D5">
        <w:trPr>
          <w:trHeight w:val="1701"/>
          <w:jc w:val="center"/>
        </w:trPr>
        <w:tc>
          <w:tcPr>
            <w:tcW w:w="7597" w:type="dxa"/>
            <w:tcBorders>
              <w:top w:val="nil"/>
            </w:tcBorders>
            <w:shd w:val="clear" w:color="auto" w:fill="auto"/>
          </w:tcPr>
          <w:p w:rsidR="007427D5" w:rsidRPr="007427D5" w:rsidRDefault="007427D5" w:rsidP="007427D5">
            <w:pPr>
              <w:spacing w:before="60" w:after="60"/>
              <w:jc w:val="both"/>
              <w:rPr>
                <w:rFonts w:ascii="Arial" w:hAnsi="Arial" w:cs="Arial"/>
                <w:color w:val="000000"/>
                <w:sz w:val="20"/>
              </w:rPr>
            </w:pPr>
            <w:r w:rsidRPr="007427D5">
              <w:rPr>
                <w:rFonts w:ascii="Arial" w:hAnsi="Arial" w:cs="Arial"/>
                <w:color w:val="000000"/>
                <w:sz w:val="20"/>
              </w:rPr>
              <w:t xml:space="preserve">Rationale </w:t>
            </w:r>
          </w:p>
          <w:p w:rsidR="007427D5" w:rsidRPr="007427D5" w:rsidRDefault="007427D5" w:rsidP="007427D5">
            <w:pPr>
              <w:spacing w:before="60" w:after="60"/>
              <w:jc w:val="both"/>
              <w:rPr>
                <w:rFonts w:ascii="Arial" w:hAnsi="Arial" w:cs="Arial"/>
                <w:color w:val="000000"/>
                <w:sz w:val="20"/>
              </w:rPr>
            </w:pPr>
            <w:r w:rsidRPr="007427D5">
              <w:rPr>
                <w:rFonts w:ascii="Arial" w:hAnsi="Arial" w:cs="Arial"/>
                <w:color w:val="000000"/>
                <w:sz w:val="20"/>
              </w:rPr>
              <w:t>This is a key governance audit risk area which underpins the effective governance of the organisation to assist in the delivery of corporate and strategic plans.</w:t>
            </w:r>
          </w:p>
          <w:p w:rsidR="007427D5" w:rsidRPr="007427D5" w:rsidRDefault="007427D5" w:rsidP="007427D5">
            <w:pPr>
              <w:spacing w:before="60" w:after="60"/>
              <w:jc w:val="both"/>
              <w:rPr>
                <w:rFonts w:ascii="Arial" w:hAnsi="Arial" w:cs="Arial"/>
                <w:color w:val="000000"/>
                <w:sz w:val="20"/>
              </w:rPr>
            </w:pPr>
            <w:r w:rsidRPr="007427D5">
              <w:rPr>
                <w:rFonts w:ascii="Arial" w:hAnsi="Arial" w:cs="Arial"/>
                <w:color w:val="000000"/>
                <w:sz w:val="20"/>
              </w:rPr>
              <w:t>Scope</w:t>
            </w:r>
          </w:p>
          <w:p w:rsidR="007427D5" w:rsidRPr="007427D5" w:rsidRDefault="007427D5" w:rsidP="007427D5">
            <w:pPr>
              <w:spacing w:before="60" w:after="60"/>
              <w:jc w:val="both"/>
              <w:rPr>
                <w:rFonts w:ascii="Arial" w:hAnsi="Arial" w:cs="Arial"/>
                <w:color w:val="000000"/>
                <w:sz w:val="20"/>
              </w:rPr>
            </w:pPr>
            <w:r w:rsidRPr="007427D5">
              <w:rPr>
                <w:rFonts w:ascii="Arial" w:hAnsi="Arial" w:cs="Arial"/>
                <w:color w:val="000000"/>
                <w:sz w:val="20"/>
              </w:rPr>
              <w:t xml:space="preserve">The review </w:t>
            </w:r>
            <w:r w:rsidR="003368E2" w:rsidRPr="007427D5">
              <w:rPr>
                <w:rFonts w:ascii="Arial" w:hAnsi="Arial" w:cs="Arial"/>
                <w:color w:val="000000"/>
                <w:sz w:val="20"/>
              </w:rPr>
              <w:t>consider</w:t>
            </w:r>
            <w:r w:rsidR="003368E2">
              <w:rPr>
                <w:rFonts w:ascii="Arial" w:hAnsi="Arial" w:cs="Arial"/>
                <w:color w:val="000000"/>
                <w:sz w:val="20"/>
              </w:rPr>
              <w:t>ed</w:t>
            </w:r>
            <w:r w:rsidR="003368E2" w:rsidRPr="007427D5">
              <w:rPr>
                <w:rFonts w:ascii="Arial" w:hAnsi="Arial" w:cs="Arial"/>
                <w:color w:val="000000"/>
                <w:sz w:val="20"/>
              </w:rPr>
              <w:t xml:space="preserve"> </w:t>
            </w:r>
            <w:r w:rsidRPr="007427D5">
              <w:rPr>
                <w:rFonts w:ascii="Arial" w:hAnsi="Arial" w:cs="Arial"/>
                <w:color w:val="000000"/>
                <w:sz w:val="20"/>
              </w:rPr>
              <w:t xml:space="preserve">the role and operation of the: Key strategic Boards and senior management groups; standing orders and financial regulations; and delegated authorities. The review </w:t>
            </w:r>
            <w:r w:rsidR="003368E2" w:rsidRPr="007427D5">
              <w:rPr>
                <w:rFonts w:ascii="Arial" w:hAnsi="Arial" w:cs="Arial"/>
                <w:color w:val="000000"/>
                <w:sz w:val="20"/>
              </w:rPr>
              <w:t>d</w:t>
            </w:r>
            <w:r w:rsidR="003368E2">
              <w:rPr>
                <w:rFonts w:ascii="Arial" w:hAnsi="Arial" w:cs="Arial"/>
                <w:color w:val="000000"/>
                <w:sz w:val="20"/>
              </w:rPr>
              <w:t>id</w:t>
            </w:r>
            <w:r w:rsidR="003368E2" w:rsidRPr="007427D5">
              <w:rPr>
                <w:rFonts w:ascii="Arial" w:hAnsi="Arial" w:cs="Arial"/>
                <w:color w:val="000000"/>
                <w:sz w:val="20"/>
              </w:rPr>
              <w:t xml:space="preserve"> </w:t>
            </w:r>
            <w:r w:rsidRPr="007427D5">
              <w:rPr>
                <w:rFonts w:ascii="Arial" w:hAnsi="Arial" w:cs="Arial"/>
                <w:color w:val="000000"/>
                <w:sz w:val="20"/>
              </w:rPr>
              <w:t>not include consideration of the extent of compliance and reporting on controls assurance or the arrangements for managing risks or conflicts of interest.</w:t>
            </w:r>
          </w:p>
          <w:p w:rsidR="007427D5" w:rsidRPr="00DA61E5" w:rsidRDefault="007427D5" w:rsidP="007427D5">
            <w:pPr>
              <w:spacing w:before="60" w:after="60"/>
              <w:jc w:val="both"/>
              <w:rPr>
                <w:rFonts w:ascii="Arial" w:hAnsi="Arial" w:cs="Arial"/>
                <w:color w:val="000000"/>
                <w:sz w:val="2"/>
              </w:rPr>
            </w:pPr>
          </w:p>
          <w:p w:rsidR="007427D5" w:rsidRPr="00DA61E5" w:rsidRDefault="007427D5" w:rsidP="007427D5">
            <w:pPr>
              <w:spacing w:before="60" w:after="60"/>
              <w:jc w:val="both"/>
              <w:rPr>
                <w:rFonts w:ascii="Arial" w:hAnsi="Arial" w:cs="Arial"/>
                <w:color w:val="000000"/>
                <w:sz w:val="2"/>
              </w:rPr>
            </w:pPr>
          </w:p>
        </w:tc>
        <w:tc>
          <w:tcPr>
            <w:tcW w:w="7597" w:type="dxa"/>
            <w:tcBorders>
              <w:top w:val="nil"/>
            </w:tcBorders>
            <w:shd w:val="clear" w:color="auto" w:fill="auto"/>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7427D5" w:rsidTr="007427D5">
              <w:trPr>
                <w:trHeight w:val="567"/>
                <w:jc w:val="center"/>
              </w:trPr>
              <w:tc>
                <w:tcPr>
                  <w:tcW w:w="1587" w:type="dxa"/>
                  <w:shd w:val="clear" w:color="auto" w:fill="163D82"/>
                </w:tcPr>
                <w:p w:rsidR="007427D5" w:rsidRPr="007427D5" w:rsidRDefault="007427D5" w:rsidP="007427D5">
                  <w:pPr>
                    <w:spacing w:before="60" w:after="60"/>
                    <w:jc w:val="center"/>
                    <w:rPr>
                      <w:rFonts w:ascii="Arial" w:hAnsi="Arial" w:cs="Arial"/>
                      <w:b/>
                      <w:color w:val="FFFFFF"/>
                      <w:sz w:val="20"/>
                    </w:rPr>
                  </w:pPr>
                  <w:r w:rsidRPr="007427D5">
                    <w:rPr>
                      <w:rFonts w:ascii="Arial" w:hAnsi="Arial" w:cs="Arial"/>
                      <w:b/>
                      <w:color w:val="FFFFFF"/>
                      <w:sz w:val="20"/>
                    </w:rPr>
                    <w:t>Urgent</w:t>
                  </w:r>
                </w:p>
              </w:tc>
              <w:tc>
                <w:tcPr>
                  <w:tcW w:w="1587" w:type="dxa"/>
                  <w:shd w:val="clear" w:color="auto" w:fill="163D82"/>
                </w:tcPr>
                <w:p w:rsidR="007427D5" w:rsidRPr="007427D5" w:rsidRDefault="007427D5" w:rsidP="007427D5">
                  <w:pPr>
                    <w:spacing w:before="60" w:after="60"/>
                    <w:jc w:val="center"/>
                    <w:rPr>
                      <w:rFonts w:ascii="Arial" w:hAnsi="Arial" w:cs="Arial"/>
                      <w:b/>
                      <w:color w:val="FFFFFF"/>
                      <w:sz w:val="20"/>
                    </w:rPr>
                  </w:pPr>
                  <w:r w:rsidRPr="007427D5">
                    <w:rPr>
                      <w:rFonts w:ascii="Arial" w:hAnsi="Arial" w:cs="Arial"/>
                      <w:b/>
                      <w:color w:val="FFFFFF"/>
                      <w:sz w:val="20"/>
                    </w:rPr>
                    <w:t>Important</w:t>
                  </w:r>
                </w:p>
              </w:tc>
              <w:tc>
                <w:tcPr>
                  <w:tcW w:w="1587" w:type="dxa"/>
                  <w:shd w:val="clear" w:color="auto" w:fill="163D82"/>
                </w:tcPr>
                <w:p w:rsidR="007427D5" w:rsidRPr="007427D5" w:rsidRDefault="007427D5" w:rsidP="007427D5">
                  <w:pPr>
                    <w:spacing w:before="60" w:after="60"/>
                    <w:jc w:val="center"/>
                    <w:rPr>
                      <w:rFonts w:ascii="Arial" w:hAnsi="Arial" w:cs="Arial"/>
                      <w:b/>
                      <w:color w:val="FFFFFF"/>
                      <w:sz w:val="20"/>
                    </w:rPr>
                  </w:pPr>
                  <w:r w:rsidRPr="007427D5">
                    <w:rPr>
                      <w:rFonts w:ascii="Arial" w:hAnsi="Arial" w:cs="Arial"/>
                      <w:b/>
                      <w:color w:val="FFFFFF"/>
                      <w:sz w:val="20"/>
                    </w:rPr>
                    <w:t>Routine</w:t>
                  </w:r>
                </w:p>
              </w:tc>
              <w:tc>
                <w:tcPr>
                  <w:tcW w:w="1587" w:type="dxa"/>
                  <w:shd w:val="clear" w:color="auto" w:fill="163D82"/>
                </w:tcPr>
                <w:p w:rsidR="007427D5" w:rsidRPr="007427D5" w:rsidRDefault="007427D5" w:rsidP="007427D5">
                  <w:pPr>
                    <w:spacing w:before="60" w:after="60"/>
                    <w:jc w:val="center"/>
                    <w:rPr>
                      <w:rFonts w:ascii="Arial" w:hAnsi="Arial" w:cs="Arial"/>
                      <w:b/>
                      <w:color w:val="FFFFFF"/>
                      <w:sz w:val="20"/>
                    </w:rPr>
                  </w:pPr>
                  <w:r w:rsidRPr="007427D5">
                    <w:rPr>
                      <w:rFonts w:ascii="Arial" w:hAnsi="Arial" w:cs="Arial"/>
                      <w:b/>
                      <w:color w:val="FFFFFF"/>
                      <w:sz w:val="20"/>
                    </w:rPr>
                    <w:t>Operational</w:t>
                  </w:r>
                </w:p>
              </w:tc>
            </w:tr>
            <w:tr w:rsidR="007427D5" w:rsidTr="007427D5">
              <w:trPr>
                <w:trHeight w:val="567"/>
                <w:jc w:val="center"/>
              </w:trPr>
              <w:tc>
                <w:tcPr>
                  <w:tcW w:w="1587" w:type="dxa"/>
                  <w:shd w:val="clear" w:color="auto" w:fill="F3F3F3"/>
                </w:tcPr>
                <w:p w:rsidR="007427D5" w:rsidRPr="007427D5" w:rsidRDefault="007427D5" w:rsidP="007427D5">
                  <w:pPr>
                    <w:spacing w:before="60" w:after="60"/>
                    <w:jc w:val="center"/>
                    <w:rPr>
                      <w:rFonts w:ascii="Arial" w:hAnsi="Arial" w:cs="Arial"/>
                      <w:b/>
                      <w:color w:val="000000"/>
                      <w:sz w:val="20"/>
                    </w:rPr>
                  </w:pPr>
                  <w:r w:rsidRPr="007427D5">
                    <w:rPr>
                      <w:rFonts w:ascii="Arial" w:hAnsi="Arial" w:cs="Arial"/>
                      <w:b/>
                      <w:color w:val="000000"/>
                      <w:sz w:val="20"/>
                    </w:rPr>
                    <w:t>0</w:t>
                  </w:r>
                </w:p>
              </w:tc>
              <w:tc>
                <w:tcPr>
                  <w:tcW w:w="1587" w:type="dxa"/>
                  <w:shd w:val="clear" w:color="auto" w:fill="F3F3F3"/>
                </w:tcPr>
                <w:p w:rsidR="007427D5" w:rsidRPr="007427D5" w:rsidRDefault="00093322" w:rsidP="007427D5">
                  <w:pPr>
                    <w:spacing w:before="60" w:after="60"/>
                    <w:jc w:val="center"/>
                    <w:rPr>
                      <w:rFonts w:ascii="Arial" w:hAnsi="Arial" w:cs="Arial"/>
                      <w:b/>
                      <w:color w:val="000000"/>
                      <w:sz w:val="20"/>
                    </w:rPr>
                  </w:pPr>
                  <w:r>
                    <w:rPr>
                      <w:rFonts w:ascii="Arial" w:hAnsi="Arial" w:cs="Arial"/>
                      <w:b/>
                      <w:color w:val="000000"/>
                      <w:sz w:val="20"/>
                    </w:rPr>
                    <w:t>2</w:t>
                  </w:r>
                </w:p>
              </w:tc>
              <w:tc>
                <w:tcPr>
                  <w:tcW w:w="1587" w:type="dxa"/>
                  <w:shd w:val="clear" w:color="auto" w:fill="F3F3F3"/>
                </w:tcPr>
                <w:p w:rsidR="007427D5" w:rsidRPr="007427D5" w:rsidRDefault="00093322" w:rsidP="007427D5">
                  <w:pPr>
                    <w:spacing w:before="60" w:after="60"/>
                    <w:jc w:val="center"/>
                    <w:rPr>
                      <w:rFonts w:ascii="Arial" w:hAnsi="Arial" w:cs="Arial"/>
                      <w:b/>
                      <w:color w:val="000000"/>
                      <w:sz w:val="20"/>
                    </w:rPr>
                  </w:pPr>
                  <w:r>
                    <w:rPr>
                      <w:rFonts w:ascii="Arial" w:hAnsi="Arial" w:cs="Arial"/>
                      <w:b/>
                      <w:color w:val="000000"/>
                      <w:sz w:val="20"/>
                    </w:rPr>
                    <w:t>0</w:t>
                  </w:r>
                </w:p>
              </w:tc>
              <w:tc>
                <w:tcPr>
                  <w:tcW w:w="1587" w:type="dxa"/>
                  <w:shd w:val="clear" w:color="auto" w:fill="F3F3F3"/>
                </w:tcPr>
                <w:p w:rsidR="007427D5" w:rsidRPr="007427D5" w:rsidRDefault="007427D5" w:rsidP="007427D5">
                  <w:pPr>
                    <w:spacing w:before="60" w:after="60"/>
                    <w:jc w:val="center"/>
                    <w:rPr>
                      <w:rFonts w:ascii="Arial" w:hAnsi="Arial" w:cs="Arial"/>
                      <w:b/>
                      <w:color w:val="000000"/>
                      <w:sz w:val="20"/>
                    </w:rPr>
                  </w:pPr>
                  <w:r w:rsidRPr="007427D5">
                    <w:rPr>
                      <w:rFonts w:ascii="Arial" w:hAnsi="Arial" w:cs="Arial"/>
                      <w:b/>
                      <w:color w:val="000000"/>
                      <w:sz w:val="20"/>
                    </w:rPr>
                    <w:t>0</w:t>
                  </w:r>
                </w:p>
              </w:tc>
            </w:tr>
          </w:tbl>
          <w:p w:rsidR="007427D5" w:rsidRPr="007427D5" w:rsidRDefault="007427D5" w:rsidP="007427D5">
            <w:pPr>
              <w:spacing w:before="60" w:after="60"/>
              <w:rPr>
                <w:rFonts w:ascii="Arial" w:hAnsi="Arial" w:cs="Arial"/>
              </w:rPr>
            </w:pPr>
          </w:p>
        </w:tc>
      </w:tr>
    </w:tbl>
    <w:p w:rsidR="007427D5" w:rsidRDefault="007427D5" w:rsidP="007427D5">
      <w:pPr>
        <w:spacing w:after="120"/>
        <w:jc w:val="center"/>
        <w:sectPr w:rsidR="007427D5" w:rsidSect="007427D5">
          <w:headerReference w:type="default" r:id="rId13"/>
          <w:footerReference w:type="default" r:id="rId14"/>
          <w:headerReference w:type="first" r:id="rId15"/>
          <w:footerReference w:type="first" r:id="rId16"/>
          <w:pgSz w:w="16838" w:h="11906" w:orient="landscape"/>
          <w:pgMar w:top="850" w:right="850" w:bottom="850" w:left="850" w:header="708" w:footer="708" w:gutter="0"/>
          <w:pgNumType w:start="1"/>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7427D5" w:rsidTr="007427D5">
        <w:trPr>
          <w:trHeight w:hRule="exact" w:val="624"/>
        </w:trPr>
        <w:tc>
          <w:tcPr>
            <w:tcW w:w="15194" w:type="dxa"/>
            <w:shd w:val="clear" w:color="auto" w:fill="FFFFFF"/>
            <w:tcMar>
              <w:bottom w:w="20" w:type="dxa"/>
            </w:tcMar>
          </w:tcPr>
          <w:p w:rsidR="007427D5" w:rsidRPr="007427D5" w:rsidRDefault="007427D5" w:rsidP="007427D5">
            <w:pPr>
              <w:spacing w:before="120" w:after="120"/>
              <w:rPr>
                <w:rFonts w:ascii="Arial" w:hAnsi="Arial" w:cs="Arial"/>
                <w:b/>
                <w:color w:val="163D82"/>
                <w:sz w:val="32"/>
              </w:rPr>
            </w:pPr>
            <w:r>
              <w:rPr>
                <w:rFonts w:ascii="Arial" w:hAnsi="Arial" w:cs="Arial"/>
                <w:b/>
                <w:color w:val="163D82"/>
                <w:sz w:val="32"/>
              </w:rPr>
              <w:lastRenderedPageBreak/>
              <w:t>Management Action Plan - Priority 1, 2 and 3 Recommendations</w:t>
            </w:r>
          </w:p>
        </w:tc>
      </w:tr>
    </w:tbl>
    <w:p w:rsidR="007427D5" w:rsidRPr="00DA61E5" w:rsidRDefault="007427D5" w:rsidP="007427D5">
      <w:pPr>
        <w:spacing w:after="120"/>
        <w:rPr>
          <w:sz w:val="8"/>
          <w:szCs w:val="8"/>
        </w:rPr>
      </w:pPr>
    </w:p>
    <w:tbl>
      <w:tblPr>
        <w:tblW w:w="1508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556"/>
        <w:gridCol w:w="1514"/>
        <w:gridCol w:w="3260"/>
        <w:gridCol w:w="2971"/>
        <w:gridCol w:w="850"/>
        <w:gridCol w:w="2976"/>
        <w:gridCol w:w="1740"/>
        <w:gridCol w:w="1213"/>
      </w:tblGrid>
      <w:tr w:rsidR="007427D5" w:rsidRPr="007427D5" w:rsidTr="007427D5">
        <w:trPr>
          <w:tblHeader/>
          <w:jc w:val="center"/>
        </w:trPr>
        <w:tc>
          <w:tcPr>
            <w:tcW w:w="556" w:type="dxa"/>
            <w:shd w:val="clear" w:color="auto" w:fill="D9D9D9"/>
          </w:tcPr>
          <w:p w:rsidR="007427D5" w:rsidRPr="007427D5" w:rsidRDefault="007427D5" w:rsidP="007427D5">
            <w:pPr>
              <w:spacing w:before="60" w:after="60"/>
              <w:jc w:val="center"/>
              <w:rPr>
                <w:rFonts w:ascii="Arial" w:hAnsi="Arial" w:cs="Arial"/>
                <w:b/>
                <w:color w:val="163D82"/>
                <w:sz w:val="16"/>
              </w:rPr>
            </w:pPr>
            <w:bookmarkStart w:id="2" w:name="section3"/>
            <w:bookmarkEnd w:id="2"/>
            <w:r w:rsidRPr="007427D5">
              <w:rPr>
                <w:rFonts w:ascii="Arial" w:hAnsi="Arial" w:cs="Arial"/>
                <w:b/>
                <w:color w:val="163D82"/>
                <w:sz w:val="16"/>
              </w:rPr>
              <w:t>Rec.</w:t>
            </w:r>
          </w:p>
        </w:tc>
        <w:tc>
          <w:tcPr>
            <w:tcW w:w="1514" w:type="dxa"/>
            <w:shd w:val="clear" w:color="auto" w:fill="D9D9D9"/>
          </w:tcPr>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Risk Area</w:t>
            </w:r>
          </w:p>
        </w:tc>
        <w:tc>
          <w:tcPr>
            <w:tcW w:w="3260" w:type="dxa"/>
            <w:shd w:val="clear" w:color="auto" w:fill="D9D9D9"/>
          </w:tcPr>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Finding</w:t>
            </w:r>
          </w:p>
        </w:tc>
        <w:tc>
          <w:tcPr>
            <w:tcW w:w="2971" w:type="dxa"/>
            <w:shd w:val="clear" w:color="auto" w:fill="D9D9D9"/>
          </w:tcPr>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Recommendation</w:t>
            </w:r>
          </w:p>
        </w:tc>
        <w:tc>
          <w:tcPr>
            <w:tcW w:w="850" w:type="dxa"/>
            <w:shd w:val="clear" w:color="auto" w:fill="D9D9D9"/>
          </w:tcPr>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Priority</w:t>
            </w:r>
          </w:p>
        </w:tc>
        <w:tc>
          <w:tcPr>
            <w:tcW w:w="2976" w:type="dxa"/>
            <w:shd w:val="clear" w:color="auto" w:fill="D9D9D9"/>
          </w:tcPr>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Management</w:t>
            </w:r>
          </w:p>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Comments</w:t>
            </w:r>
          </w:p>
        </w:tc>
        <w:tc>
          <w:tcPr>
            <w:tcW w:w="1740" w:type="dxa"/>
            <w:shd w:val="clear" w:color="auto" w:fill="D9D9D9"/>
          </w:tcPr>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Implementation</w:t>
            </w:r>
          </w:p>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Timetable</w:t>
            </w:r>
          </w:p>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(dd/mm/yy)</w:t>
            </w:r>
          </w:p>
        </w:tc>
        <w:tc>
          <w:tcPr>
            <w:tcW w:w="1213" w:type="dxa"/>
            <w:shd w:val="clear" w:color="auto" w:fill="D9D9D9"/>
          </w:tcPr>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Responsible</w:t>
            </w:r>
          </w:p>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Officer</w:t>
            </w:r>
          </w:p>
          <w:p w:rsidR="007427D5" w:rsidRPr="007427D5" w:rsidRDefault="007427D5" w:rsidP="007427D5">
            <w:pPr>
              <w:spacing w:before="60" w:after="60"/>
              <w:jc w:val="center"/>
              <w:rPr>
                <w:rFonts w:ascii="Arial" w:hAnsi="Arial" w:cs="Arial"/>
                <w:b/>
                <w:color w:val="163D82"/>
                <w:sz w:val="16"/>
              </w:rPr>
            </w:pPr>
            <w:r w:rsidRPr="007427D5">
              <w:rPr>
                <w:rFonts w:ascii="Arial" w:hAnsi="Arial" w:cs="Arial"/>
                <w:b/>
                <w:color w:val="163D82"/>
                <w:sz w:val="16"/>
              </w:rPr>
              <w:t>(Job Title)</w:t>
            </w:r>
          </w:p>
        </w:tc>
      </w:tr>
      <w:tr w:rsidR="006B6863" w:rsidRPr="006710B3" w:rsidTr="006B6863">
        <w:tblPrEx>
          <w:shd w:val="clear" w:color="auto" w:fill="auto"/>
        </w:tblPrEx>
        <w:trPr>
          <w:jc w:val="center"/>
        </w:trPr>
        <w:tc>
          <w:tcPr>
            <w:tcW w:w="556" w:type="dxa"/>
          </w:tcPr>
          <w:p w:rsidR="006B6863" w:rsidRPr="006710B3" w:rsidRDefault="006B6863" w:rsidP="00E86491">
            <w:pPr>
              <w:spacing w:before="60" w:after="60" w:line="271" w:lineRule="auto"/>
              <w:jc w:val="center"/>
              <w:rPr>
                <w:rFonts w:ascii="Arial" w:hAnsi="Arial" w:cs="Arial"/>
                <w:color w:val="000000"/>
                <w:sz w:val="18"/>
              </w:rPr>
            </w:pPr>
            <w:r w:rsidRPr="006710B3">
              <w:rPr>
                <w:rFonts w:ascii="Arial" w:hAnsi="Arial" w:cs="Arial"/>
                <w:color w:val="000000"/>
                <w:sz w:val="18"/>
              </w:rPr>
              <w:t>1</w:t>
            </w:r>
          </w:p>
        </w:tc>
        <w:tc>
          <w:tcPr>
            <w:tcW w:w="1514" w:type="dxa"/>
          </w:tcPr>
          <w:p w:rsidR="006B6863" w:rsidRPr="006710B3" w:rsidRDefault="006B6863" w:rsidP="00E86491">
            <w:pPr>
              <w:spacing w:before="60" w:after="60" w:line="271" w:lineRule="auto"/>
              <w:jc w:val="center"/>
              <w:rPr>
                <w:rFonts w:ascii="Arial" w:hAnsi="Arial" w:cs="Arial"/>
                <w:color w:val="000000"/>
                <w:sz w:val="18"/>
              </w:rPr>
            </w:pPr>
            <w:r w:rsidRPr="006710B3">
              <w:rPr>
                <w:rFonts w:ascii="Arial" w:hAnsi="Arial" w:cs="Arial"/>
                <w:color w:val="000000"/>
                <w:sz w:val="18"/>
              </w:rPr>
              <w:t>Directed</w:t>
            </w:r>
          </w:p>
        </w:tc>
        <w:tc>
          <w:tcPr>
            <w:tcW w:w="3260" w:type="dxa"/>
          </w:tcPr>
          <w:p w:rsidR="006B6863" w:rsidRPr="006B6863" w:rsidRDefault="006B6863" w:rsidP="00E86491">
            <w:pPr>
              <w:spacing w:before="60" w:after="60" w:line="271" w:lineRule="auto"/>
              <w:jc w:val="both"/>
              <w:rPr>
                <w:rFonts w:ascii="Arial" w:hAnsi="Arial" w:cs="Arial"/>
                <w:color w:val="000000"/>
                <w:sz w:val="18"/>
                <w:szCs w:val="18"/>
              </w:rPr>
            </w:pPr>
            <w:r w:rsidRPr="006B6863">
              <w:rPr>
                <w:rFonts w:ascii="Arial" w:hAnsi="Arial" w:cs="Arial"/>
                <w:color w:val="000000"/>
                <w:sz w:val="18"/>
                <w:szCs w:val="18"/>
              </w:rPr>
              <w:t xml:space="preserve">While the </w:t>
            </w:r>
            <w:r w:rsidR="009C7E12">
              <w:rPr>
                <w:rFonts w:ascii="Arial" w:hAnsi="Arial" w:cs="Arial"/>
                <w:color w:val="000000"/>
                <w:sz w:val="18"/>
                <w:szCs w:val="18"/>
              </w:rPr>
              <w:t xml:space="preserve">Joint </w:t>
            </w:r>
            <w:r w:rsidRPr="006B6863">
              <w:rPr>
                <w:rFonts w:ascii="Arial" w:hAnsi="Arial" w:cs="Arial"/>
                <w:color w:val="000000"/>
                <w:sz w:val="18"/>
                <w:szCs w:val="18"/>
              </w:rPr>
              <w:t xml:space="preserve">Corporate Governance Framework is a comprehensive document it does require at least an annual review to confirm all sections are relevant and have current data within.  </w:t>
            </w:r>
            <w:r w:rsidR="00CC1547" w:rsidRPr="006B6863">
              <w:rPr>
                <w:rFonts w:ascii="Arial" w:hAnsi="Arial" w:cs="Arial"/>
                <w:color w:val="000000"/>
                <w:sz w:val="18"/>
                <w:szCs w:val="18"/>
              </w:rPr>
              <w:t>There</w:t>
            </w:r>
            <w:r w:rsidRPr="006B6863">
              <w:rPr>
                <w:rFonts w:ascii="Arial" w:hAnsi="Arial" w:cs="Arial"/>
                <w:color w:val="000000"/>
                <w:sz w:val="18"/>
                <w:szCs w:val="18"/>
              </w:rPr>
              <w:t xml:space="preserve"> are </w:t>
            </w:r>
            <w:r w:rsidR="00CC1547">
              <w:rPr>
                <w:rFonts w:ascii="Arial" w:hAnsi="Arial" w:cs="Arial"/>
                <w:color w:val="000000"/>
                <w:sz w:val="18"/>
                <w:szCs w:val="18"/>
              </w:rPr>
              <w:t>several</w:t>
            </w:r>
            <w:r w:rsidR="00CC1547" w:rsidRPr="006B6863">
              <w:rPr>
                <w:rFonts w:ascii="Arial" w:hAnsi="Arial" w:cs="Arial"/>
                <w:color w:val="000000"/>
                <w:sz w:val="18"/>
                <w:szCs w:val="18"/>
              </w:rPr>
              <w:t xml:space="preserve"> </w:t>
            </w:r>
            <w:r w:rsidRPr="006B6863">
              <w:rPr>
                <w:rFonts w:ascii="Arial" w:hAnsi="Arial" w:cs="Arial"/>
                <w:color w:val="000000"/>
                <w:sz w:val="18"/>
                <w:szCs w:val="18"/>
              </w:rPr>
              <w:t xml:space="preserve">sections of the </w:t>
            </w:r>
            <w:r w:rsidR="009C7E12">
              <w:rPr>
                <w:rFonts w:ascii="Arial" w:hAnsi="Arial" w:cs="Arial"/>
                <w:color w:val="000000"/>
                <w:sz w:val="18"/>
                <w:szCs w:val="18"/>
              </w:rPr>
              <w:t xml:space="preserve">Joint </w:t>
            </w:r>
            <w:r w:rsidRPr="006B6863">
              <w:rPr>
                <w:rFonts w:ascii="Arial" w:hAnsi="Arial" w:cs="Arial"/>
                <w:color w:val="000000"/>
                <w:sz w:val="18"/>
                <w:szCs w:val="18"/>
              </w:rPr>
              <w:t>Corporate Governance Framework that are out of date and need updating/reviewing.  This should be done at an early time and reported to the Management Board and then to the Audit Committee.</w:t>
            </w:r>
            <w:r w:rsidR="00F077E2">
              <w:rPr>
                <w:rFonts w:ascii="Arial" w:hAnsi="Arial" w:cs="Arial"/>
                <w:color w:val="000000"/>
                <w:sz w:val="18"/>
                <w:szCs w:val="18"/>
              </w:rPr>
              <w:t xml:space="preserve"> In addition, version control needs to be incorporated within the document.</w:t>
            </w:r>
          </w:p>
        </w:tc>
        <w:tc>
          <w:tcPr>
            <w:tcW w:w="2971" w:type="dxa"/>
          </w:tcPr>
          <w:p w:rsidR="006B6863" w:rsidRPr="006710B3" w:rsidRDefault="005568B6" w:rsidP="00E86491">
            <w:pPr>
              <w:spacing w:before="60" w:after="60" w:line="271" w:lineRule="auto"/>
              <w:jc w:val="both"/>
              <w:rPr>
                <w:rFonts w:ascii="Arial" w:hAnsi="Arial" w:cs="Arial"/>
                <w:color w:val="000000"/>
                <w:sz w:val="18"/>
              </w:rPr>
            </w:pPr>
            <w:r w:rsidRPr="00093322">
              <w:rPr>
                <w:rFonts w:ascii="Arial" w:hAnsi="Arial" w:cs="Arial"/>
                <w:color w:val="000000"/>
                <w:sz w:val="18"/>
              </w:rPr>
              <w:t xml:space="preserve">The </w:t>
            </w:r>
            <w:r w:rsidR="009C7E12">
              <w:rPr>
                <w:rFonts w:ascii="Arial" w:hAnsi="Arial" w:cs="Arial"/>
                <w:color w:val="000000"/>
                <w:sz w:val="18"/>
              </w:rPr>
              <w:t>Joint Corporate Governance Framework</w:t>
            </w:r>
            <w:r w:rsidRPr="00093322">
              <w:rPr>
                <w:rFonts w:ascii="Arial" w:hAnsi="Arial" w:cs="Arial"/>
                <w:color w:val="000000"/>
                <w:sz w:val="18"/>
              </w:rPr>
              <w:t xml:space="preserve"> be updated to reflect current practices and changes to the Framework and to incorporate version control within the document.</w:t>
            </w:r>
          </w:p>
        </w:tc>
        <w:tc>
          <w:tcPr>
            <w:tcW w:w="850" w:type="dxa"/>
            <w:shd w:val="clear" w:color="auto" w:fill="E5730F"/>
          </w:tcPr>
          <w:p w:rsidR="006B6863" w:rsidRPr="00DA61E5" w:rsidRDefault="006B6863" w:rsidP="00E86491">
            <w:pPr>
              <w:spacing w:before="60" w:after="60" w:line="271" w:lineRule="auto"/>
              <w:jc w:val="center"/>
              <w:rPr>
                <w:rFonts w:ascii="Arial" w:hAnsi="Arial" w:cs="Arial"/>
                <w:b/>
                <w:color w:val="FFFFFF" w:themeColor="background1"/>
                <w:sz w:val="18"/>
              </w:rPr>
            </w:pPr>
            <w:r w:rsidRPr="00DA61E5">
              <w:rPr>
                <w:rFonts w:ascii="Arial" w:hAnsi="Arial" w:cs="Arial"/>
                <w:b/>
                <w:color w:val="FFFFFF" w:themeColor="background1"/>
                <w:sz w:val="18"/>
              </w:rPr>
              <w:t>2</w:t>
            </w:r>
          </w:p>
        </w:tc>
        <w:tc>
          <w:tcPr>
            <w:tcW w:w="2976" w:type="dxa"/>
          </w:tcPr>
          <w:p w:rsidR="00935C31" w:rsidRPr="00075E48" w:rsidRDefault="00935C31" w:rsidP="00075E48">
            <w:pPr>
              <w:jc w:val="both"/>
              <w:rPr>
                <w:rFonts w:ascii="Arial" w:hAnsi="Arial" w:cs="Arial"/>
                <w:color w:val="000000" w:themeColor="text1"/>
                <w:sz w:val="18"/>
                <w:szCs w:val="18"/>
              </w:rPr>
            </w:pPr>
            <w:r w:rsidRPr="00075E48">
              <w:rPr>
                <w:rFonts w:ascii="Arial" w:hAnsi="Arial" w:cs="Arial"/>
                <w:color w:val="000000" w:themeColor="text1"/>
                <w:sz w:val="18"/>
                <w:szCs w:val="18"/>
              </w:rPr>
              <w:t>The Corporate Governance Framework will continue to be reviewed on an annual basis and reported to the Audit Committee at either their March or June meeting.</w:t>
            </w:r>
          </w:p>
          <w:p w:rsidR="006B6863" w:rsidRPr="00075E48" w:rsidRDefault="006B6863" w:rsidP="00075E48">
            <w:pPr>
              <w:spacing w:before="60" w:after="60" w:line="271" w:lineRule="auto"/>
              <w:jc w:val="both"/>
              <w:rPr>
                <w:rFonts w:ascii="Arial" w:hAnsi="Arial" w:cs="Arial"/>
                <w:color w:val="000000" w:themeColor="text1"/>
                <w:sz w:val="18"/>
              </w:rPr>
            </w:pPr>
          </w:p>
        </w:tc>
        <w:tc>
          <w:tcPr>
            <w:tcW w:w="1740" w:type="dxa"/>
          </w:tcPr>
          <w:p w:rsidR="006B6863" w:rsidRPr="006710B3" w:rsidRDefault="00935C31" w:rsidP="00E86491">
            <w:pPr>
              <w:spacing w:before="60" w:after="60" w:line="271" w:lineRule="auto"/>
              <w:jc w:val="center"/>
              <w:rPr>
                <w:rFonts w:ascii="Arial" w:hAnsi="Arial" w:cs="Arial"/>
                <w:i/>
                <w:color w:val="000000"/>
                <w:sz w:val="18"/>
              </w:rPr>
            </w:pPr>
            <w:r>
              <w:rPr>
                <w:rFonts w:ascii="Arial" w:hAnsi="Arial" w:cs="Arial"/>
                <w:i/>
                <w:color w:val="000000"/>
                <w:sz w:val="18"/>
              </w:rPr>
              <w:t>June 2018</w:t>
            </w:r>
          </w:p>
        </w:tc>
        <w:tc>
          <w:tcPr>
            <w:tcW w:w="1213" w:type="dxa"/>
          </w:tcPr>
          <w:p w:rsidR="006B6863" w:rsidRPr="006710B3" w:rsidRDefault="00935C31" w:rsidP="00E86491">
            <w:pPr>
              <w:spacing w:before="60" w:after="60" w:line="271" w:lineRule="auto"/>
              <w:jc w:val="both"/>
              <w:rPr>
                <w:rFonts w:ascii="Arial" w:hAnsi="Arial" w:cs="Arial"/>
                <w:i/>
                <w:color w:val="000000"/>
                <w:sz w:val="18"/>
              </w:rPr>
            </w:pPr>
            <w:r>
              <w:rPr>
                <w:rFonts w:ascii="Arial" w:hAnsi="Arial" w:cs="Arial"/>
                <w:i/>
                <w:color w:val="000000"/>
                <w:sz w:val="18"/>
              </w:rPr>
              <w:t>CFO - PCC</w:t>
            </w:r>
          </w:p>
        </w:tc>
      </w:tr>
      <w:tr w:rsidR="006B6863" w:rsidRPr="006710B3" w:rsidTr="00DA61E5">
        <w:tblPrEx>
          <w:shd w:val="clear" w:color="auto" w:fill="auto"/>
        </w:tblPrEx>
        <w:trPr>
          <w:cantSplit/>
          <w:jc w:val="center"/>
        </w:trPr>
        <w:tc>
          <w:tcPr>
            <w:tcW w:w="556" w:type="dxa"/>
          </w:tcPr>
          <w:p w:rsidR="006B6863" w:rsidRPr="006710B3" w:rsidRDefault="006B6863" w:rsidP="00E86491">
            <w:pPr>
              <w:spacing w:before="60" w:after="60" w:line="271" w:lineRule="auto"/>
              <w:jc w:val="center"/>
              <w:rPr>
                <w:rFonts w:ascii="Arial" w:hAnsi="Arial" w:cs="Arial"/>
                <w:color w:val="000000"/>
                <w:sz w:val="18"/>
              </w:rPr>
            </w:pPr>
            <w:r>
              <w:rPr>
                <w:rFonts w:ascii="Arial" w:hAnsi="Arial" w:cs="Arial"/>
                <w:color w:val="000000"/>
                <w:sz w:val="18"/>
              </w:rPr>
              <w:t>2</w:t>
            </w:r>
          </w:p>
        </w:tc>
        <w:tc>
          <w:tcPr>
            <w:tcW w:w="1514" w:type="dxa"/>
          </w:tcPr>
          <w:p w:rsidR="006B6863" w:rsidRPr="006710B3" w:rsidRDefault="006B6863" w:rsidP="00E86491">
            <w:pPr>
              <w:spacing w:before="60" w:after="60" w:line="271" w:lineRule="auto"/>
              <w:jc w:val="center"/>
              <w:rPr>
                <w:rFonts w:ascii="Arial" w:hAnsi="Arial" w:cs="Arial"/>
                <w:color w:val="000000"/>
                <w:sz w:val="18"/>
              </w:rPr>
            </w:pPr>
            <w:r>
              <w:rPr>
                <w:rFonts w:ascii="Arial" w:hAnsi="Arial" w:cs="Arial"/>
                <w:color w:val="000000"/>
                <w:sz w:val="18"/>
              </w:rPr>
              <w:t>Directed</w:t>
            </w:r>
          </w:p>
        </w:tc>
        <w:tc>
          <w:tcPr>
            <w:tcW w:w="3260" w:type="dxa"/>
          </w:tcPr>
          <w:p w:rsidR="006B6863" w:rsidRPr="006710B3" w:rsidRDefault="00DA61E5" w:rsidP="00E86491">
            <w:pPr>
              <w:spacing w:before="60" w:after="60" w:line="271" w:lineRule="auto"/>
              <w:jc w:val="both"/>
              <w:rPr>
                <w:rFonts w:ascii="Arial" w:hAnsi="Arial" w:cs="Arial"/>
                <w:color w:val="000000"/>
                <w:sz w:val="18"/>
              </w:rPr>
            </w:pPr>
            <w:r w:rsidRPr="006B6863">
              <w:rPr>
                <w:rFonts w:ascii="Arial" w:hAnsi="Arial" w:cs="Arial"/>
                <w:color w:val="000000"/>
                <w:sz w:val="18"/>
                <w:szCs w:val="18"/>
              </w:rPr>
              <w:t xml:space="preserve">While the </w:t>
            </w:r>
            <w:r w:rsidR="009C7E12">
              <w:rPr>
                <w:rFonts w:ascii="Arial" w:hAnsi="Arial" w:cs="Arial"/>
                <w:color w:val="000000"/>
                <w:sz w:val="18"/>
                <w:szCs w:val="18"/>
              </w:rPr>
              <w:t xml:space="preserve">Joint </w:t>
            </w:r>
            <w:r w:rsidRPr="006B6863">
              <w:rPr>
                <w:rFonts w:ascii="Arial" w:hAnsi="Arial" w:cs="Arial"/>
                <w:color w:val="000000"/>
                <w:sz w:val="18"/>
                <w:szCs w:val="18"/>
              </w:rPr>
              <w:t xml:space="preserve">Corporate Governance Framework is a comprehensive document it does require at least an annual review to confirm all sections are relevant and have current data within.  There are </w:t>
            </w:r>
            <w:r>
              <w:rPr>
                <w:rFonts w:ascii="Arial" w:hAnsi="Arial" w:cs="Arial"/>
                <w:color w:val="000000"/>
                <w:sz w:val="18"/>
                <w:szCs w:val="18"/>
              </w:rPr>
              <w:t>several</w:t>
            </w:r>
            <w:r w:rsidRPr="006B6863">
              <w:rPr>
                <w:rFonts w:ascii="Arial" w:hAnsi="Arial" w:cs="Arial"/>
                <w:color w:val="000000"/>
                <w:sz w:val="18"/>
                <w:szCs w:val="18"/>
              </w:rPr>
              <w:t xml:space="preserve"> sections of the </w:t>
            </w:r>
            <w:r w:rsidR="009C7E12">
              <w:rPr>
                <w:rFonts w:ascii="Arial" w:hAnsi="Arial" w:cs="Arial"/>
                <w:color w:val="000000"/>
                <w:sz w:val="18"/>
                <w:szCs w:val="18"/>
              </w:rPr>
              <w:t xml:space="preserve">Joint </w:t>
            </w:r>
            <w:r w:rsidRPr="006B6863">
              <w:rPr>
                <w:rFonts w:ascii="Arial" w:hAnsi="Arial" w:cs="Arial"/>
                <w:color w:val="000000"/>
                <w:sz w:val="18"/>
                <w:szCs w:val="18"/>
              </w:rPr>
              <w:t>Corporate Governance Framework that are out of date and need updating/reviewing.  This should be done at an early time and reported to the Management Board and then to the Audit Committee.</w:t>
            </w:r>
            <w:r>
              <w:rPr>
                <w:rFonts w:ascii="Arial" w:hAnsi="Arial" w:cs="Arial"/>
                <w:color w:val="000000"/>
                <w:sz w:val="18"/>
                <w:szCs w:val="18"/>
              </w:rPr>
              <w:t xml:space="preserve"> In addition, version control needs to be incorporated within the document.</w:t>
            </w:r>
          </w:p>
        </w:tc>
        <w:tc>
          <w:tcPr>
            <w:tcW w:w="2971" w:type="dxa"/>
          </w:tcPr>
          <w:p w:rsidR="006B6863" w:rsidRPr="006710B3" w:rsidRDefault="005568B6" w:rsidP="00E86491">
            <w:pPr>
              <w:spacing w:before="60" w:after="60" w:line="271" w:lineRule="auto"/>
              <w:jc w:val="both"/>
              <w:rPr>
                <w:rFonts w:ascii="Arial" w:hAnsi="Arial" w:cs="Arial"/>
                <w:color w:val="000000"/>
                <w:sz w:val="18"/>
              </w:rPr>
            </w:pPr>
            <w:r w:rsidRPr="00093322">
              <w:rPr>
                <w:rFonts w:ascii="Arial" w:hAnsi="Arial" w:cs="Arial"/>
                <w:color w:val="000000"/>
                <w:sz w:val="18"/>
              </w:rPr>
              <w:t xml:space="preserve">The </w:t>
            </w:r>
            <w:r w:rsidR="009C7E12">
              <w:rPr>
                <w:rFonts w:ascii="Arial" w:hAnsi="Arial" w:cs="Arial"/>
                <w:color w:val="000000"/>
                <w:sz w:val="18"/>
              </w:rPr>
              <w:t xml:space="preserve">Joint </w:t>
            </w:r>
            <w:r w:rsidRPr="00093322">
              <w:rPr>
                <w:rFonts w:ascii="Arial" w:hAnsi="Arial" w:cs="Arial"/>
                <w:color w:val="000000"/>
                <w:sz w:val="18"/>
              </w:rPr>
              <w:t>Corporate Governance Framework be reviewed annually and be reported to the Management Board and Audit Committee accordingly.</w:t>
            </w:r>
          </w:p>
        </w:tc>
        <w:tc>
          <w:tcPr>
            <w:tcW w:w="850" w:type="dxa"/>
            <w:tcBorders>
              <w:bottom w:val="single" w:sz="12" w:space="0" w:color="BFBFBF"/>
            </w:tcBorders>
            <w:shd w:val="clear" w:color="auto" w:fill="E5730F"/>
          </w:tcPr>
          <w:p w:rsidR="006B6863" w:rsidRPr="00DA61E5" w:rsidRDefault="00093322" w:rsidP="00E86491">
            <w:pPr>
              <w:spacing w:before="60" w:after="60" w:line="271" w:lineRule="auto"/>
              <w:jc w:val="center"/>
              <w:rPr>
                <w:rFonts w:ascii="Arial" w:hAnsi="Arial" w:cs="Arial"/>
                <w:b/>
                <w:color w:val="FFFFFF" w:themeColor="background1"/>
                <w:sz w:val="18"/>
                <w:highlight w:val="yellow"/>
              </w:rPr>
            </w:pPr>
            <w:r w:rsidRPr="00DA61E5">
              <w:rPr>
                <w:rFonts w:ascii="Arial" w:hAnsi="Arial" w:cs="Arial"/>
                <w:b/>
                <w:color w:val="FFFFFF" w:themeColor="background1"/>
                <w:sz w:val="18"/>
              </w:rPr>
              <w:t>2</w:t>
            </w:r>
          </w:p>
        </w:tc>
        <w:tc>
          <w:tcPr>
            <w:tcW w:w="2976" w:type="dxa"/>
          </w:tcPr>
          <w:p w:rsidR="006B6863" w:rsidRPr="00075E48" w:rsidRDefault="00935C31" w:rsidP="00075E48">
            <w:pPr>
              <w:spacing w:before="60" w:after="60" w:line="271" w:lineRule="auto"/>
              <w:jc w:val="both"/>
              <w:rPr>
                <w:rFonts w:ascii="Arial" w:hAnsi="Arial" w:cs="Arial"/>
                <w:color w:val="000000"/>
                <w:sz w:val="18"/>
              </w:rPr>
            </w:pPr>
            <w:r>
              <w:rPr>
                <w:rFonts w:ascii="Arial" w:hAnsi="Arial" w:cs="Arial"/>
                <w:color w:val="000000"/>
                <w:sz w:val="18"/>
              </w:rPr>
              <w:t>The Joint Corporate Governance Framework will be reviewed annually and will be reported to the Management Board and Audit Committee on an annual basis.</w:t>
            </w:r>
          </w:p>
        </w:tc>
        <w:tc>
          <w:tcPr>
            <w:tcW w:w="1740" w:type="dxa"/>
          </w:tcPr>
          <w:p w:rsidR="006B6863" w:rsidRPr="00075E48" w:rsidRDefault="00935C31" w:rsidP="00E86491">
            <w:pPr>
              <w:spacing w:before="60" w:after="60" w:line="271" w:lineRule="auto"/>
              <w:jc w:val="center"/>
              <w:rPr>
                <w:rFonts w:ascii="Arial" w:hAnsi="Arial" w:cs="Arial"/>
                <w:color w:val="000000"/>
                <w:sz w:val="18"/>
              </w:rPr>
            </w:pPr>
            <w:r>
              <w:rPr>
                <w:rFonts w:ascii="Arial" w:hAnsi="Arial" w:cs="Arial"/>
                <w:color w:val="000000"/>
                <w:sz w:val="18"/>
              </w:rPr>
              <w:t>June 2018</w:t>
            </w:r>
          </w:p>
        </w:tc>
        <w:tc>
          <w:tcPr>
            <w:tcW w:w="1213" w:type="dxa"/>
          </w:tcPr>
          <w:p w:rsidR="006B6863" w:rsidRPr="00075E48" w:rsidRDefault="00935C31" w:rsidP="00E86491">
            <w:pPr>
              <w:spacing w:before="60" w:after="60" w:line="271" w:lineRule="auto"/>
              <w:jc w:val="both"/>
              <w:rPr>
                <w:rFonts w:ascii="Arial" w:hAnsi="Arial" w:cs="Arial"/>
                <w:color w:val="000000"/>
                <w:sz w:val="18"/>
              </w:rPr>
            </w:pPr>
            <w:r>
              <w:rPr>
                <w:rFonts w:ascii="Arial" w:hAnsi="Arial" w:cs="Arial"/>
                <w:color w:val="000000"/>
                <w:sz w:val="18"/>
              </w:rPr>
              <w:t>CFO - CC</w:t>
            </w:r>
          </w:p>
        </w:tc>
      </w:tr>
    </w:tbl>
    <w:p w:rsidR="007427D5" w:rsidRDefault="007427D5" w:rsidP="007427D5">
      <w:pPr>
        <w:spacing w:after="200"/>
        <w:rPr>
          <w:b/>
        </w:rPr>
        <w:sectPr w:rsidR="007427D5" w:rsidSect="007427D5">
          <w:headerReference w:type="default" r:id="rId17"/>
          <w:footerReference w:type="default" r:id="rId18"/>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7427D5" w:rsidTr="007427D5">
        <w:trPr>
          <w:trHeight w:hRule="exact" w:val="624"/>
        </w:trPr>
        <w:tc>
          <w:tcPr>
            <w:tcW w:w="15194" w:type="dxa"/>
            <w:shd w:val="clear" w:color="auto" w:fill="FFFFFF"/>
            <w:tcMar>
              <w:bottom w:w="20" w:type="dxa"/>
            </w:tcMar>
          </w:tcPr>
          <w:p w:rsidR="007427D5" w:rsidRPr="007427D5" w:rsidRDefault="007427D5" w:rsidP="007427D5">
            <w:pPr>
              <w:spacing w:before="120" w:after="120"/>
              <w:rPr>
                <w:rFonts w:ascii="Arial" w:hAnsi="Arial" w:cs="Arial"/>
                <w:b/>
                <w:color w:val="163D82"/>
                <w:sz w:val="32"/>
              </w:rPr>
            </w:pPr>
            <w:r>
              <w:rPr>
                <w:rFonts w:ascii="Arial" w:hAnsi="Arial" w:cs="Arial"/>
                <w:b/>
                <w:color w:val="163D82"/>
                <w:sz w:val="32"/>
              </w:rPr>
              <w:t>Operational Effectiveness Matters</w:t>
            </w:r>
          </w:p>
        </w:tc>
      </w:tr>
    </w:tbl>
    <w:p w:rsidR="007427D5" w:rsidRPr="00DA61E5" w:rsidRDefault="007427D5" w:rsidP="007427D5">
      <w:pPr>
        <w:spacing w:after="200"/>
        <w:rPr>
          <w:b/>
          <w:sz w:val="8"/>
          <w:szCs w:val="8"/>
        </w:rPr>
      </w:pPr>
    </w:p>
    <w:tbl>
      <w:tblPr>
        <w:tblW w:w="15195"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964"/>
        <w:gridCol w:w="1531"/>
        <w:gridCol w:w="6350"/>
        <w:gridCol w:w="6350"/>
      </w:tblGrid>
      <w:tr w:rsidR="007427D5" w:rsidRPr="00E86491" w:rsidTr="007427D5">
        <w:trPr>
          <w:cantSplit/>
          <w:tblHeader/>
          <w:jc w:val="center"/>
        </w:trPr>
        <w:tc>
          <w:tcPr>
            <w:tcW w:w="964" w:type="dxa"/>
            <w:shd w:val="clear" w:color="auto" w:fill="D9D9D9"/>
          </w:tcPr>
          <w:p w:rsidR="007427D5" w:rsidRPr="00E86491" w:rsidRDefault="007427D5" w:rsidP="007427D5">
            <w:pPr>
              <w:spacing w:before="60" w:after="60"/>
              <w:jc w:val="center"/>
              <w:rPr>
                <w:rFonts w:ascii="Arial" w:hAnsi="Arial" w:cs="Arial"/>
                <w:b/>
                <w:color w:val="163D82"/>
                <w:sz w:val="16"/>
              </w:rPr>
            </w:pPr>
            <w:bookmarkStart w:id="3" w:name="section4"/>
            <w:bookmarkEnd w:id="3"/>
            <w:r w:rsidRPr="00E86491">
              <w:rPr>
                <w:rFonts w:ascii="Arial" w:hAnsi="Arial" w:cs="Arial"/>
                <w:b/>
                <w:color w:val="163D82"/>
                <w:sz w:val="16"/>
              </w:rPr>
              <w:t>Ref</w:t>
            </w:r>
          </w:p>
        </w:tc>
        <w:tc>
          <w:tcPr>
            <w:tcW w:w="1531" w:type="dxa"/>
            <w:shd w:val="clear" w:color="auto" w:fill="D9D9D9"/>
          </w:tcPr>
          <w:p w:rsidR="007427D5" w:rsidRPr="00E86491" w:rsidRDefault="007427D5" w:rsidP="007427D5">
            <w:pPr>
              <w:spacing w:before="60" w:after="60"/>
              <w:jc w:val="center"/>
              <w:rPr>
                <w:rFonts w:ascii="Arial" w:hAnsi="Arial" w:cs="Arial"/>
                <w:b/>
                <w:color w:val="163D82"/>
                <w:sz w:val="16"/>
              </w:rPr>
            </w:pPr>
            <w:r w:rsidRPr="00E86491">
              <w:rPr>
                <w:rFonts w:ascii="Arial" w:hAnsi="Arial" w:cs="Arial"/>
                <w:b/>
                <w:color w:val="163D82"/>
                <w:sz w:val="16"/>
              </w:rPr>
              <w:t>Risk Area</w:t>
            </w:r>
          </w:p>
        </w:tc>
        <w:tc>
          <w:tcPr>
            <w:tcW w:w="6350" w:type="dxa"/>
            <w:shd w:val="clear" w:color="auto" w:fill="D9D9D9"/>
          </w:tcPr>
          <w:p w:rsidR="007427D5" w:rsidRPr="00E86491" w:rsidRDefault="007427D5" w:rsidP="007427D5">
            <w:pPr>
              <w:spacing w:before="60" w:after="60"/>
              <w:jc w:val="center"/>
              <w:rPr>
                <w:rFonts w:ascii="Arial" w:hAnsi="Arial" w:cs="Arial"/>
                <w:b/>
                <w:color w:val="163D82"/>
                <w:sz w:val="16"/>
              </w:rPr>
            </w:pPr>
            <w:r w:rsidRPr="00E86491">
              <w:rPr>
                <w:rFonts w:ascii="Arial" w:hAnsi="Arial" w:cs="Arial"/>
                <w:b/>
                <w:color w:val="163D82"/>
                <w:sz w:val="16"/>
              </w:rPr>
              <w:t>Item</w:t>
            </w:r>
          </w:p>
        </w:tc>
        <w:tc>
          <w:tcPr>
            <w:tcW w:w="6350" w:type="dxa"/>
            <w:shd w:val="clear" w:color="auto" w:fill="D9D9D9"/>
          </w:tcPr>
          <w:p w:rsidR="007427D5" w:rsidRPr="00E86491" w:rsidRDefault="007427D5" w:rsidP="007427D5">
            <w:pPr>
              <w:spacing w:before="60" w:after="60"/>
              <w:jc w:val="center"/>
              <w:rPr>
                <w:rFonts w:ascii="Arial" w:hAnsi="Arial" w:cs="Arial"/>
                <w:b/>
                <w:color w:val="163D82"/>
                <w:sz w:val="16"/>
              </w:rPr>
            </w:pPr>
            <w:r w:rsidRPr="00E86491">
              <w:rPr>
                <w:rFonts w:ascii="Arial" w:hAnsi="Arial" w:cs="Arial"/>
                <w:b/>
                <w:color w:val="163D82"/>
                <w:sz w:val="16"/>
              </w:rPr>
              <w:t>Management</w:t>
            </w:r>
          </w:p>
          <w:p w:rsidR="007427D5" w:rsidRPr="00E86491" w:rsidRDefault="007427D5" w:rsidP="007427D5">
            <w:pPr>
              <w:spacing w:before="60" w:after="60"/>
              <w:jc w:val="center"/>
              <w:rPr>
                <w:rFonts w:ascii="Arial" w:hAnsi="Arial" w:cs="Arial"/>
                <w:b/>
                <w:color w:val="163D82"/>
                <w:sz w:val="16"/>
              </w:rPr>
            </w:pPr>
            <w:r w:rsidRPr="00E86491">
              <w:rPr>
                <w:rFonts w:ascii="Arial" w:hAnsi="Arial" w:cs="Arial"/>
                <w:b/>
                <w:color w:val="163D82"/>
                <w:sz w:val="16"/>
              </w:rPr>
              <w:t>Comments</w:t>
            </w:r>
          </w:p>
        </w:tc>
      </w:tr>
      <w:tr w:rsidR="00DA61E5" w:rsidRPr="007427D5" w:rsidTr="002C2C5C">
        <w:trPr>
          <w:cantSplit/>
          <w:tblHeader/>
          <w:jc w:val="center"/>
        </w:trPr>
        <w:tc>
          <w:tcPr>
            <w:tcW w:w="15195" w:type="dxa"/>
            <w:gridSpan w:val="4"/>
            <w:shd w:val="clear" w:color="auto" w:fill="auto"/>
          </w:tcPr>
          <w:p w:rsidR="00DA61E5" w:rsidRPr="00E86491" w:rsidRDefault="00E86491" w:rsidP="00E86491">
            <w:pPr>
              <w:spacing w:before="60" w:after="60" w:line="271" w:lineRule="auto"/>
              <w:jc w:val="both"/>
              <w:rPr>
                <w:rFonts w:ascii="Arial" w:hAnsi="Arial" w:cs="Arial"/>
                <w:color w:val="163D82"/>
                <w:sz w:val="18"/>
              </w:rPr>
            </w:pPr>
            <w:r w:rsidRPr="00E86491">
              <w:rPr>
                <w:rFonts w:ascii="Arial" w:hAnsi="Arial" w:cs="Arial"/>
                <w:color w:val="000000"/>
                <w:sz w:val="18"/>
              </w:rPr>
              <w:t>No O</w:t>
            </w:r>
            <w:r w:rsidR="00DA61E5" w:rsidRPr="00E86491">
              <w:rPr>
                <w:rFonts w:ascii="Arial" w:hAnsi="Arial" w:cs="Arial"/>
                <w:color w:val="000000"/>
                <w:sz w:val="18"/>
              </w:rPr>
              <w:t xml:space="preserve">perational </w:t>
            </w:r>
            <w:r w:rsidRPr="00E86491">
              <w:rPr>
                <w:rFonts w:ascii="Arial" w:hAnsi="Arial" w:cs="Arial"/>
                <w:color w:val="000000"/>
                <w:sz w:val="18"/>
              </w:rPr>
              <w:t>E</w:t>
            </w:r>
            <w:r w:rsidR="00DA61E5" w:rsidRPr="00E86491">
              <w:rPr>
                <w:rFonts w:ascii="Arial" w:hAnsi="Arial" w:cs="Arial"/>
                <w:color w:val="000000"/>
                <w:sz w:val="18"/>
              </w:rPr>
              <w:t xml:space="preserve">ffectiveness </w:t>
            </w:r>
            <w:r w:rsidRPr="00E86491">
              <w:rPr>
                <w:rFonts w:ascii="Arial" w:hAnsi="Arial" w:cs="Arial"/>
                <w:color w:val="000000"/>
                <w:sz w:val="18"/>
              </w:rPr>
              <w:t>M</w:t>
            </w:r>
            <w:r w:rsidR="00DA61E5" w:rsidRPr="00E86491">
              <w:rPr>
                <w:rFonts w:ascii="Arial" w:hAnsi="Arial" w:cs="Arial"/>
                <w:color w:val="000000"/>
                <w:sz w:val="18"/>
              </w:rPr>
              <w:t>atters</w:t>
            </w:r>
            <w:r w:rsidRPr="00E86491">
              <w:rPr>
                <w:rFonts w:ascii="Arial" w:hAnsi="Arial" w:cs="Arial"/>
                <w:color w:val="000000"/>
                <w:sz w:val="18"/>
              </w:rPr>
              <w:t xml:space="preserve"> were</w:t>
            </w:r>
            <w:r w:rsidR="00DA61E5" w:rsidRPr="00E86491">
              <w:rPr>
                <w:rFonts w:ascii="Arial" w:hAnsi="Arial" w:cs="Arial"/>
                <w:color w:val="000000"/>
                <w:sz w:val="18"/>
              </w:rPr>
              <w:t xml:space="preserve"> identified.</w:t>
            </w:r>
          </w:p>
        </w:tc>
      </w:tr>
    </w:tbl>
    <w:p w:rsidR="007427D5" w:rsidRDefault="007427D5" w:rsidP="007427D5">
      <w:pPr>
        <w:spacing w:after="200"/>
        <w:rPr>
          <w:b/>
        </w:rPr>
      </w:pPr>
    </w:p>
    <w:p w:rsidR="007427D5" w:rsidRPr="006B6863" w:rsidRDefault="007427D5" w:rsidP="007427D5">
      <w:pPr>
        <w:spacing w:after="200"/>
        <w:sectPr w:rsidR="007427D5" w:rsidRPr="006B6863" w:rsidSect="007427D5">
          <w:headerReference w:type="default" r:id="rId19"/>
          <w:footerReference w:type="default" r:id="rId20"/>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7427D5" w:rsidTr="007427D5">
        <w:trPr>
          <w:trHeight w:hRule="exact" w:val="624"/>
        </w:trPr>
        <w:tc>
          <w:tcPr>
            <w:tcW w:w="15194" w:type="dxa"/>
            <w:shd w:val="clear" w:color="auto" w:fill="FFFFFF"/>
            <w:tcMar>
              <w:bottom w:w="20" w:type="dxa"/>
            </w:tcMar>
          </w:tcPr>
          <w:p w:rsidR="007427D5" w:rsidRPr="007427D5" w:rsidRDefault="007427D5" w:rsidP="007427D5">
            <w:pPr>
              <w:spacing w:before="120" w:after="120"/>
              <w:rPr>
                <w:rFonts w:ascii="Arial" w:hAnsi="Arial" w:cs="Arial"/>
                <w:b/>
                <w:color w:val="163D82"/>
                <w:sz w:val="32"/>
              </w:rPr>
            </w:pPr>
            <w:r>
              <w:rPr>
                <w:rFonts w:ascii="Arial" w:hAnsi="Arial" w:cs="Arial"/>
                <w:b/>
                <w:color w:val="163D82"/>
                <w:sz w:val="32"/>
              </w:rPr>
              <w:t>Detailed Findings</w:t>
            </w:r>
          </w:p>
        </w:tc>
      </w:tr>
    </w:tbl>
    <w:p w:rsidR="00E86491" w:rsidRPr="00E86491" w:rsidRDefault="00E86491" w:rsidP="00E86491">
      <w:pPr>
        <w:spacing w:before="120" w:after="120" w:line="271" w:lineRule="auto"/>
        <w:rPr>
          <w:rFonts w:ascii="Arial" w:hAnsi="Arial" w:cs="Arial"/>
          <w:b/>
          <w:color w:val="DC0D15"/>
          <w:sz w:val="12"/>
          <w:szCs w:val="12"/>
        </w:rPr>
      </w:pPr>
      <w:bookmarkStart w:id="4" w:name="section5"/>
      <w:bookmarkEnd w:id="4"/>
    </w:p>
    <w:p w:rsidR="007427D5" w:rsidRDefault="007427D5" w:rsidP="00E86491">
      <w:pPr>
        <w:spacing w:before="120" w:after="120" w:line="271" w:lineRule="auto"/>
        <w:rPr>
          <w:rFonts w:ascii="Arial" w:hAnsi="Arial" w:cs="Arial"/>
          <w:b/>
          <w:color w:val="DC0D15"/>
          <w:sz w:val="20"/>
        </w:rPr>
      </w:pPr>
      <w:r w:rsidRPr="007427D5">
        <w:rPr>
          <w:rFonts w:ascii="Arial" w:hAnsi="Arial" w:cs="Arial"/>
          <w:b/>
          <w:color w:val="DC0D15"/>
          <w:sz w:val="20"/>
        </w:rPr>
        <w:t>INTRODUCTION</w:t>
      </w:r>
    </w:p>
    <w:p w:rsidR="007427D5" w:rsidRDefault="007427D5" w:rsidP="00E86491">
      <w:pPr>
        <w:pStyle w:val="ListParagraph"/>
        <w:numPr>
          <w:ilvl w:val="0"/>
          <w:numId w:val="1"/>
        </w:numPr>
        <w:spacing w:before="120" w:after="120" w:line="271" w:lineRule="auto"/>
        <w:contextualSpacing w:val="0"/>
        <w:jc w:val="both"/>
        <w:rPr>
          <w:rFonts w:ascii="Arial" w:hAnsi="Arial" w:cs="Arial"/>
          <w:color w:val="000000"/>
          <w:sz w:val="20"/>
        </w:rPr>
      </w:pPr>
      <w:r w:rsidRPr="007427D5">
        <w:rPr>
          <w:rFonts w:ascii="Arial" w:hAnsi="Arial" w:cs="Arial"/>
          <w:color w:val="000000"/>
          <w:sz w:val="20"/>
        </w:rPr>
        <w:t>This review was carried out in September 2017 as part of the planned internal audit work for 2017/18. Based on the work carried out an overall assessment of the overall adequacy of the arrangements to mitigate the key control risk areas is provided in the Executive Summary.</w:t>
      </w:r>
    </w:p>
    <w:p w:rsidR="007427D5" w:rsidRDefault="007427D5" w:rsidP="00E86491">
      <w:pPr>
        <w:spacing w:before="120" w:after="120" w:line="271" w:lineRule="auto"/>
        <w:rPr>
          <w:rFonts w:ascii="Arial" w:hAnsi="Arial" w:cs="Arial"/>
          <w:b/>
          <w:color w:val="DC0D15"/>
          <w:sz w:val="20"/>
        </w:rPr>
      </w:pPr>
      <w:r w:rsidRPr="007427D5">
        <w:rPr>
          <w:rFonts w:ascii="Arial" w:hAnsi="Arial" w:cs="Arial"/>
          <w:b/>
          <w:color w:val="DC0D15"/>
          <w:sz w:val="20"/>
        </w:rPr>
        <w:t>BACKGROUND</w:t>
      </w:r>
    </w:p>
    <w:p w:rsidR="005929EB" w:rsidRPr="005929EB" w:rsidRDefault="005929EB" w:rsidP="00E86491">
      <w:pPr>
        <w:pStyle w:val="ListParagraph"/>
        <w:numPr>
          <w:ilvl w:val="0"/>
          <w:numId w:val="1"/>
        </w:numPr>
        <w:spacing w:before="120" w:after="120" w:line="271" w:lineRule="auto"/>
        <w:contextualSpacing w:val="0"/>
        <w:jc w:val="both"/>
        <w:rPr>
          <w:rFonts w:ascii="Arial" w:hAnsi="Arial" w:cs="Arial"/>
          <w:color w:val="000000"/>
          <w:sz w:val="20"/>
        </w:rPr>
      </w:pPr>
      <w:r w:rsidRPr="005929EB">
        <w:rPr>
          <w:rFonts w:ascii="Arial" w:hAnsi="Arial" w:cs="Arial"/>
          <w:color w:val="000000"/>
          <w:sz w:val="20"/>
        </w:rPr>
        <w:t>The Police and Crime Commissioner and Chief Constable recognise that they are responsible for ensuring that business is conducted in accordance with the law and proper standards, and that public money is safeguarded, properly accounted for, and used economically, efficiently and effectively. In discharging this accountability staff will be responsible for putting in place proper arrangements for the governance of the Police and Crime Commissioner’s and Chief Constable’s affairs and the stewardship of the resources.</w:t>
      </w:r>
    </w:p>
    <w:p w:rsidR="007427D5" w:rsidRDefault="005929EB" w:rsidP="00E86491">
      <w:pPr>
        <w:pStyle w:val="ListParagraph"/>
        <w:numPr>
          <w:ilvl w:val="0"/>
          <w:numId w:val="1"/>
        </w:numPr>
        <w:spacing w:before="120" w:after="120" w:line="271" w:lineRule="auto"/>
        <w:contextualSpacing w:val="0"/>
        <w:jc w:val="both"/>
        <w:rPr>
          <w:rFonts w:ascii="Arial" w:hAnsi="Arial" w:cs="Arial"/>
          <w:color w:val="000000"/>
          <w:sz w:val="20"/>
        </w:rPr>
      </w:pPr>
      <w:r w:rsidRPr="005929EB">
        <w:rPr>
          <w:rFonts w:ascii="Arial" w:hAnsi="Arial" w:cs="Arial"/>
          <w:color w:val="000000"/>
          <w:sz w:val="20"/>
        </w:rPr>
        <w:t>The Police and Crime Commissioner and Chief Constable for Cleveland have therefore produced a Joint Corporate Governance Framework which brings together all the key governance documents/arrangements for the Force.</w:t>
      </w:r>
    </w:p>
    <w:p w:rsidR="007427D5" w:rsidRDefault="007427D5" w:rsidP="00E86491">
      <w:pPr>
        <w:spacing w:before="120" w:after="120" w:line="271" w:lineRule="auto"/>
        <w:rPr>
          <w:rFonts w:ascii="Arial" w:hAnsi="Arial" w:cs="Arial"/>
          <w:b/>
          <w:color w:val="DC0D15"/>
          <w:sz w:val="20"/>
        </w:rPr>
      </w:pPr>
      <w:r w:rsidRPr="007427D5">
        <w:rPr>
          <w:rFonts w:ascii="Arial" w:hAnsi="Arial" w:cs="Arial"/>
          <w:b/>
          <w:color w:val="DC0D15"/>
          <w:sz w:val="20"/>
        </w:rPr>
        <w:t>MATERIALITY</w:t>
      </w:r>
    </w:p>
    <w:p w:rsidR="007427D5" w:rsidRDefault="005049C3" w:rsidP="00E86491">
      <w:pPr>
        <w:pStyle w:val="ListParagraph"/>
        <w:numPr>
          <w:ilvl w:val="0"/>
          <w:numId w:val="1"/>
        </w:numPr>
        <w:spacing w:before="120" w:after="120" w:line="271" w:lineRule="auto"/>
        <w:contextualSpacing w:val="0"/>
        <w:jc w:val="both"/>
        <w:rPr>
          <w:rFonts w:ascii="Arial" w:hAnsi="Arial" w:cs="Arial"/>
          <w:color w:val="000000"/>
          <w:sz w:val="20"/>
        </w:rPr>
      </w:pPr>
      <w:r>
        <w:rPr>
          <w:rFonts w:ascii="Arial" w:hAnsi="Arial" w:cs="Arial"/>
          <w:color w:val="000000"/>
          <w:sz w:val="20"/>
        </w:rPr>
        <w:t>Strategic Control</w:t>
      </w:r>
      <w:r w:rsidR="007427D5" w:rsidRPr="007427D5">
        <w:rPr>
          <w:rFonts w:ascii="Arial" w:hAnsi="Arial" w:cs="Arial"/>
          <w:color w:val="000000"/>
          <w:sz w:val="20"/>
        </w:rPr>
        <w:t xml:space="preserve"> and Corporate Governance are the foundation by which Cleveland Police conduct their affairs in an accountable, efficient and effective and transparent manner.</w:t>
      </w:r>
      <w:r w:rsidR="005929EB">
        <w:rPr>
          <w:rFonts w:ascii="Arial" w:hAnsi="Arial" w:cs="Arial"/>
          <w:color w:val="000000"/>
          <w:sz w:val="20"/>
        </w:rPr>
        <w:t xml:space="preserve">  The annual budget for </w:t>
      </w:r>
      <w:r w:rsidR="009C7E12">
        <w:rPr>
          <w:rFonts w:ascii="Arial" w:hAnsi="Arial" w:cs="Arial"/>
          <w:color w:val="000000"/>
          <w:sz w:val="20"/>
        </w:rPr>
        <w:t>t</w:t>
      </w:r>
      <w:r w:rsidR="009C7E12" w:rsidRPr="009C7E12">
        <w:rPr>
          <w:rFonts w:ascii="Arial" w:hAnsi="Arial" w:cs="Arial"/>
          <w:color w:val="000000"/>
          <w:sz w:val="20"/>
        </w:rPr>
        <w:t>he Police and Crime Commissioner for Cleveland and the Chief Constable Cleveland Police</w:t>
      </w:r>
      <w:r w:rsidR="005929EB">
        <w:rPr>
          <w:rFonts w:ascii="Arial" w:hAnsi="Arial" w:cs="Arial"/>
          <w:color w:val="000000"/>
          <w:sz w:val="20"/>
        </w:rPr>
        <w:t xml:space="preserve"> is some £120m. </w:t>
      </w:r>
    </w:p>
    <w:p w:rsidR="007427D5" w:rsidRDefault="007427D5" w:rsidP="00E86491">
      <w:pPr>
        <w:spacing w:before="120" w:after="120" w:line="271" w:lineRule="auto"/>
        <w:rPr>
          <w:rFonts w:ascii="Arial" w:hAnsi="Arial" w:cs="Arial"/>
          <w:b/>
          <w:color w:val="DC0D15"/>
          <w:sz w:val="20"/>
        </w:rPr>
      </w:pPr>
      <w:r w:rsidRPr="007427D5">
        <w:rPr>
          <w:rFonts w:ascii="Arial" w:hAnsi="Arial" w:cs="Arial"/>
          <w:b/>
          <w:color w:val="DC0D15"/>
          <w:sz w:val="20"/>
        </w:rPr>
        <w:t>KEY FINDINGS &amp; ACTION POINTS</w:t>
      </w:r>
    </w:p>
    <w:p w:rsidR="007427D5" w:rsidRDefault="007427D5" w:rsidP="00E86491">
      <w:pPr>
        <w:pStyle w:val="ListParagraph"/>
        <w:numPr>
          <w:ilvl w:val="0"/>
          <w:numId w:val="1"/>
        </w:numPr>
        <w:spacing w:before="120" w:after="120" w:line="271" w:lineRule="auto"/>
        <w:contextualSpacing w:val="0"/>
        <w:jc w:val="both"/>
        <w:rPr>
          <w:rFonts w:ascii="Arial" w:hAnsi="Arial" w:cs="Arial"/>
          <w:color w:val="000000"/>
          <w:sz w:val="20"/>
        </w:rPr>
      </w:pPr>
      <w:r w:rsidRPr="007427D5">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rsidR="007427D5" w:rsidRDefault="007427D5" w:rsidP="00E86491">
      <w:pPr>
        <w:spacing w:before="120" w:after="120" w:line="271" w:lineRule="auto"/>
        <w:rPr>
          <w:rFonts w:ascii="Arial" w:hAnsi="Arial" w:cs="Arial"/>
          <w:b/>
          <w:color w:val="DC0D15"/>
          <w:sz w:val="20"/>
        </w:rPr>
      </w:pPr>
      <w:r w:rsidRPr="007427D5">
        <w:rPr>
          <w:rFonts w:ascii="Arial" w:hAnsi="Arial" w:cs="Arial"/>
          <w:b/>
          <w:color w:val="DC0D15"/>
          <w:sz w:val="20"/>
        </w:rPr>
        <w:t>SCOPE AND LIMITATIONS OF THE REVIEW</w:t>
      </w:r>
    </w:p>
    <w:p w:rsidR="005929EB" w:rsidRPr="005929EB" w:rsidRDefault="005929EB" w:rsidP="00E86491">
      <w:pPr>
        <w:pStyle w:val="ListParagraph"/>
        <w:numPr>
          <w:ilvl w:val="0"/>
          <w:numId w:val="1"/>
        </w:numPr>
        <w:spacing w:before="120" w:after="120" w:line="271" w:lineRule="auto"/>
        <w:contextualSpacing w:val="0"/>
        <w:jc w:val="both"/>
        <w:rPr>
          <w:rFonts w:ascii="Arial" w:hAnsi="Arial" w:cs="Arial"/>
          <w:color w:val="000000"/>
          <w:sz w:val="20"/>
        </w:rPr>
      </w:pPr>
      <w:r w:rsidRPr="005929EB">
        <w:rPr>
          <w:rFonts w:ascii="Arial" w:hAnsi="Arial" w:cs="Arial"/>
          <w:color w:val="000000"/>
          <w:sz w:val="20"/>
        </w:rPr>
        <w:t>This is a key governance audit risk area which underpins the effective governance of the organisation to assist in the delivery of corporate and strategic plans.</w:t>
      </w:r>
    </w:p>
    <w:p w:rsidR="007427D5" w:rsidRDefault="005929EB" w:rsidP="00E86491">
      <w:pPr>
        <w:pStyle w:val="ListParagraph"/>
        <w:numPr>
          <w:ilvl w:val="0"/>
          <w:numId w:val="1"/>
        </w:numPr>
        <w:spacing w:before="120" w:after="120" w:line="271" w:lineRule="auto"/>
        <w:contextualSpacing w:val="0"/>
        <w:jc w:val="both"/>
        <w:rPr>
          <w:rFonts w:ascii="Arial" w:hAnsi="Arial" w:cs="Arial"/>
          <w:color w:val="000000"/>
          <w:sz w:val="20"/>
        </w:rPr>
      </w:pPr>
      <w:r w:rsidRPr="005929EB">
        <w:rPr>
          <w:rFonts w:ascii="Arial" w:hAnsi="Arial" w:cs="Arial"/>
          <w:color w:val="000000"/>
          <w:sz w:val="20"/>
        </w:rPr>
        <w:t xml:space="preserve">The review </w:t>
      </w:r>
      <w:r w:rsidR="005568B6" w:rsidRPr="005929EB">
        <w:rPr>
          <w:rFonts w:ascii="Arial" w:hAnsi="Arial" w:cs="Arial"/>
          <w:color w:val="000000"/>
          <w:sz w:val="20"/>
        </w:rPr>
        <w:t>consider</w:t>
      </w:r>
      <w:r w:rsidR="005568B6">
        <w:rPr>
          <w:rFonts w:ascii="Arial" w:hAnsi="Arial" w:cs="Arial"/>
          <w:color w:val="000000"/>
          <w:sz w:val="20"/>
        </w:rPr>
        <w:t>ed</w:t>
      </w:r>
      <w:r w:rsidR="005568B6" w:rsidRPr="005929EB">
        <w:rPr>
          <w:rFonts w:ascii="Arial" w:hAnsi="Arial" w:cs="Arial"/>
          <w:color w:val="000000"/>
          <w:sz w:val="20"/>
        </w:rPr>
        <w:t xml:space="preserve"> </w:t>
      </w:r>
      <w:r w:rsidRPr="005929EB">
        <w:rPr>
          <w:rFonts w:ascii="Arial" w:hAnsi="Arial" w:cs="Arial"/>
          <w:color w:val="000000"/>
          <w:sz w:val="20"/>
        </w:rPr>
        <w:t xml:space="preserve">the </w:t>
      </w:r>
      <w:r w:rsidR="005049C3">
        <w:rPr>
          <w:rFonts w:ascii="Arial" w:hAnsi="Arial" w:cs="Arial"/>
          <w:color w:val="000000"/>
          <w:sz w:val="20"/>
        </w:rPr>
        <w:t>role and operation of the: Key strategic b</w:t>
      </w:r>
      <w:r w:rsidRPr="005929EB">
        <w:rPr>
          <w:rFonts w:ascii="Arial" w:hAnsi="Arial" w:cs="Arial"/>
          <w:color w:val="000000"/>
          <w:sz w:val="20"/>
        </w:rPr>
        <w:t xml:space="preserve">oards and senior management groups; standing orders and financial regulations; and delegated authorities. The review </w:t>
      </w:r>
      <w:r w:rsidR="005568B6" w:rsidRPr="005929EB">
        <w:rPr>
          <w:rFonts w:ascii="Arial" w:hAnsi="Arial" w:cs="Arial"/>
          <w:color w:val="000000"/>
          <w:sz w:val="20"/>
        </w:rPr>
        <w:t>d</w:t>
      </w:r>
      <w:r w:rsidR="005568B6">
        <w:rPr>
          <w:rFonts w:ascii="Arial" w:hAnsi="Arial" w:cs="Arial"/>
          <w:color w:val="000000"/>
          <w:sz w:val="20"/>
        </w:rPr>
        <w:t>id</w:t>
      </w:r>
      <w:r w:rsidR="005568B6" w:rsidRPr="005929EB">
        <w:rPr>
          <w:rFonts w:ascii="Arial" w:hAnsi="Arial" w:cs="Arial"/>
          <w:color w:val="000000"/>
          <w:sz w:val="20"/>
        </w:rPr>
        <w:t xml:space="preserve"> </w:t>
      </w:r>
      <w:r w:rsidRPr="005929EB">
        <w:rPr>
          <w:rFonts w:ascii="Arial" w:hAnsi="Arial" w:cs="Arial"/>
          <w:color w:val="000000"/>
          <w:sz w:val="20"/>
        </w:rPr>
        <w:t>not include consideration of the extent of compliance and reporting on controls assurance or the arrangements for managing risks or conflicts of interest.</w:t>
      </w:r>
    </w:p>
    <w:p w:rsidR="007427D5" w:rsidRDefault="007427D5" w:rsidP="00E86491">
      <w:pPr>
        <w:pStyle w:val="ListParagraph"/>
        <w:numPr>
          <w:ilvl w:val="0"/>
          <w:numId w:val="1"/>
        </w:numPr>
        <w:spacing w:before="120" w:after="120" w:line="271" w:lineRule="auto"/>
        <w:contextualSpacing w:val="0"/>
        <w:jc w:val="both"/>
        <w:rPr>
          <w:rFonts w:ascii="Arial" w:hAnsi="Arial" w:cs="Arial"/>
          <w:color w:val="000000"/>
          <w:sz w:val="20"/>
        </w:rPr>
      </w:pPr>
      <w:r w:rsidRPr="007427D5">
        <w:rPr>
          <w:rFonts w:ascii="Arial" w:hAnsi="Arial" w:cs="Arial"/>
          <w:color w:val="000000"/>
          <w:sz w:val="20"/>
        </w:rPr>
        <w:t>The definition of the type of review, the limitations and the responsibilities of management in regard to this review are set out in the Annual Plan.</w:t>
      </w:r>
    </w:p>
    <w:p w:rsidR="00E86491" w:rsidRDefault="00E86491">
      <w:pPr>
        <w:rPr>
          <w:rFonts w:ascii="Arial" w:hAnsi="Arial" w:cs="Arial"/>
          <w:b/>
          <w:color w:val="DC0D15"/>
          <w:sz w:val="20"/>
        </w:rPr>
      </w:pPr>
      <w:r>
        <w:rPr>
          <w:rFonts w:ascii="Arial" w:hAnsi="Arial" w:cs="Arial"/>
          <w:b/>
          <w:color w:val="DC0D15"/>
          <w:sz w:val="20"/>
        </w:rPr>
        <w:br w:type="page"/>
      </w:r>
    </w:p>
    <w:p w:rsidR="007427D5" w:rsidRDefault="007427D5" w:rsidP="00E86491">
      <w:pPr>
        <w:spacing w:before="120" w:after="120" w:line="271" w:lineRule="auto"/>
        <w:rPr>
          <w:rFonts w:ascii="Arial" w:hAnsi="Arial" w:cs="Arial"/>
          <w:b/>
          <w:color w:val="DC0D15"/>
          <w:sz w:val="20"/>
        </w:rPr>
      </w:pPr>
      <w:r w:rsidRPr="007427D5">
        <w:rPr>
          <w:rFonts w:ascii="Arial" w:hAnsi="Arial" w:cs="Arial"/>
          <w:b/>
          <w:color w:val="DC0D15"/>
          <w:sz w:val="20"/>
        </w:rPr>
        <w:t>DISCLAIMER</w:t>
      </w:r>
    </w:p>
    <w:p w:rsidR="007427D5" w:rsidRDefault="007427D5" w:rsidP="00E86491">
      <w:pPr>
        <w:pStyle w:val="ListParagraph"/>
        <w:numPr>
          <w:ilvl w:val="0"/>
          <w:numId w:val="1"/>
        </w:numPr>
        <w:spacing w:before="120" w:after="120" w:line="271" w:lineRule="auto"/>
        <w:contextualSpacing w:val="0"/>
        <w:jc w:val="both"/>
        <w:rPr>
          <w:rFonts w:ascii="Arial" w:hAnsi="Arial" w:cs="Arial"/>
          <w:color w:val="000000"/>
          <w:sz w:val="20"/>
        </w:rPr>
      </w:pPr>
      <w:r w:rsidRPr="007427D5">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7427D5" w:rsidRDefault="007427D5" w:rsidP="00E86491">
      <w:pPr>
        <w:spacing w:before="120" w:after="120" w:line="271" w:lineRule="auto"/>
        <w:rPr>
          <w:rFonts w:ascii="Arial" w:hAnsi="Arial" w:cs="Arial"/>
          <w:b/>
          <w:color w:val="DC0D15"/>
          <w:sz w:val="20"/>
        </w:rPr>
      </w:pPr>
      <w:r w:rsidRPr="007427D5">
        <w:rPr>
          <w:rFonts w:ascii="Arial" w:hAnsi="Arial" w:cs="Arial"/>
          <w:b/>
          <w:color w:val="DC0D15"/>
          <w:sz w:val="20"/>
        </w:rPr>
        <w:t>RISK AREA ASSURANCE ASSESSMENTS</w:t>
      </w:r>
    </w:p>
    <w:p w:rsidR="007427D5" w:rsidRDefault="007427D5" w:rsidP="00E86491">
      <w:pPr>
        <w:pStyle w:val="ListParagraph"/>
        <w:numPr>
          <w:ilvl w:val="0"/>
          <w:numId w:val="1"/>
        </w:numPr>
        <w:spacing w:before="120" w:after="120" w:line="271" w:lineRule="auto"/>
        <w:contextualSpacing w:val="0"/>
        <w:jc w:val="both"/>
        <w:rPr>
          <w:rFonts w:ascii="Arial" w:hAnsi="Arial" w:cs="Arial"/>
          <w:color w:val="000000"/>
          <w:sz w:val="20"/>
        </w:rPr>
      </w:pPr>
      <w:r w:rsidRPr="007427D5">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7427D5" w:rsidTr="007427D5">
        <w:trPr>
          <w:jc w:val="right"/>
        </w:trPr>
        <w:tc>
          <w:tcPr>
            <w:tcW w:w="2948" w:type="dxa"/>
            <w:shd w:val="clear" w:color="auto" w:fill="92D01E"/>
            <w:vAlign w:val="center"/>
          </w:tcPr>
          <w:p w:rsidR="007427D5" w:rsidRPr="007427D5" w:rsidRDefault="007427D5" w:rsidP="007427D5">
            <w:pPr>
              <w:spacing w:before="60" w:after="60" w:line="271" w:lineRule="auto"/>
              <w:rPr>
                <w:rFonts w:ascii="Arial" w:hAnsi="Arial" w:cs="Arial"/>
                <w:b/>
                <w:color w:val="FFFFFF"/>
                <w:sz w:val="17"/>
              </w:rPr>
            </w:pPr>
            <w:r w:rsidRPr="007427D5">
              <w:rPr>
                <w:rFonts w:ascii="Arial" w:hAnsi="Arial" w:cs="Arial"/>
                <w:b/>
                <w:color w:val="FFFFFF"/>
                <w:sz w:val="17"/>
              </w:rPr>
              <w:t>Substantial Assurance</w:t>
            </w:r>
          </w:p>
        </w:tc>
        <w:tc>
          <w:tcPr>
            <w:tcW w:w="11339" w:type="dxa"/>
            <w:shd w:val="clear" w:color="auto" w:fill="F3F3F3"/>
            <w:vAlign w:val="center"/>
          </w:tcPr>
          <w:p w:rsidR="007427D5" w:rsidRPr="007427D5" w:rsidRDefault="007427D5" w:rsidP="007427D5">
            <w:pPr>
              <w:spacing w:before="60" w:after="60" w:line="271" w:lineRule="auto"/>
              <w:jc w:val="both"/>
              <w:rPr>
                <w:rFonts w:ascii="Arial" w:hAnsi="Arial" w:cs="Arial"/>
                <w:color w:val="000000"/>
                <w:sz w:val="17"/>
              </w:rPr>
            </w:pPr>
            <w:r w:rsidRPr="007427D5">
              <w:rPr>
                <w:rFonts w:ascii="Arial" w:hAnsi="Arial" w:cs="Arial"/>
                <w:color w:val="000000"/>
                <w:sz w:val="17"/>
              </w:rPr>
              <w:t>There is a robust system of internal controls operating effectively to ensure that risks are managed and process objectives achieved.</w:t>
            </w:r>
          </w:p>
        </w:tc>
      </w:tr>
      <w:tr w:rsidR="007427D5" w:rsidTr="007427D5">
        <w:trPr>
          <w:jc w:val="right"/>
        </w:trPr>
        <w:tc>
          <w:tcPr>
            <w:tcW w:w="2948" w:type="dxa"/>
            <w:shd w:val="clear" w:color="auto" w:fill="FFCC00"/>
            <w:vAlign w:val="center"/>
          </w:tcPr>
          <w:p w:rsidR="007427D5" w:rsidRPr="007427D5" w:rsidRDefault="007427D5" w:rsidP="007427D5">
            <w:pPr>
              <w:spacing w:before="60" w:after="60" w:line="271" w:lineRule="auto"/>
              <w:rPr>
                <w:rFonts w:ascii="Arial" w:hAnsi="Arial" w:cs="Arial"/>
                <w:b/>
                <w:color w:val="FFFFFF"/>
                <w:sz w:val="17"/>
              </w:rPr>
            </w:pPr>
            <w:r w:rsidRPr="007427D5">
              <w:rPr>
                <w:rFonts w:ascii="Arial" w:hAnsi="Arial" w:cs="Arial"/>
                <w:b/>
                <w:color w:val="FFFFFF"/>
                <w:sz w:val="17"/>
              </w:rPr>
              <w:t>Reasonable Assurance</w:t>
            </w:r>
          </w:p>
        </w:tc>
        <w:tc>
          <w:tcPr>
            <w:tcW w:w="11339" w:type="dxa"/>
            <w:shd w:val="clear" w:color="auto" w:fill="F3F3F3"/>
            <w:vAlign w:val="center"/>
          </w:tcPr>
          <w:p w:rsidR="007427D5" w:rsidRPr="007427D5" w:rsidRDefault="007427D5" w:rsidP="007427D5">
            <w:pPr>
              <w:spacing w:before="60" w:after="60" w:line="271" w:lineRule="auto"/>
              <w:jc w:val="both"/>
              <w:rPr>
                <w:rFonts w:ascii="Arial" w:hAnsi="Arial" w:cs="Arial"/>
                <w:color w:val="000000"/>
                <w:sz w:val="17"/>
              </w:rPr>
            </w:pPr>
            <w:r w:rsidRPr="007427D5">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7427D5" w:rsidTr="007427D5">
        <w:trPr>
          <w:jc w:val="right"/>
        </w:trPr>
        <w:tc>
          <w:tcPr>
            <w:tcW w:w="2948" w:type="dxa"/>
            <w:shd w:val="clear" w:color="auto" w:fill="E5730F"/>
            <w:vAlign w:val="center"/>
          </w:tcPr>
          <w:p w:rsidR="007427D5" w:rsidRPr="007427D5" w:rsidRDefault="007427D5" w:rsidP="007427D5">
            <w:pPr>
              <w:spacing w:before="60" w:after="60" w:line="271" w:lineRule="auto"/>
              <w:rPr>
                <w:rFonts w:ascii="Arial" w:hAnsi="Arial" w:cs="Arial"/>
                <w:b/>
                <w:color w:val="FFFFFF"/>
                <w:sz w:val="17"/>
              </w:rPr>
            </w:pPr>
            <w:r w:rsidRPr="007427D5">
              <w:rPr>
                <w:rFonts w:ascii="Arial" w:hAnsi="Arial" w:cs="Arial"/>
                <w:b/>
                <w:color w:val="FFFFFF"/>
                <w:sz w:val="17"/>
              </w:rPr>
              <w:t>Limited Assurance</w:t>
            </w:r>
          </w:p>
        </w:tc>
        <w:tc>
          <w:tcPr>
            <w:tcW w:w="11339" w:type="dxa"/>
            <w:shd w:val="clear" w:color="auto" w:fill="F3F3F3"/>
            <w:vAlign w:val="center"/>
          </w:tcPr>
          <w:p w:rsidR="007427D5" w:rsidRPr="007427D5" w:rsidRDefault="007427D5" w:rsidP="007427D5">
            <w:pPr>
              <w:spacing w:before="60" w:after="60" w:line="271" w:lineRule="auto"/>
              <w:jc w:val="both"/>
              <w:rPr>
                <w:rFonts w:ascii="Arial" w:hAnsi="Arial" w:cs="Arial"/>
                <w:color w:val="000000"/>
                <w:sz w:val="17"/>
              </w:rPr>
            </w:pPr>
            <w:r w:rsidRPr="007427D5">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7427D5" w:rsidTr="007427D5">
        <w:trPr>
          <w:jc w:val="right"/>
        </w:trPr>
        <w:tc>
          <w:tcPr>
            <w:tcW w:w="2948" w:type="dxa"/>
            <w:shd w:val="clear" w:color="auto" w:fill="DC0D15"/>
            <w:vAlign w:val="center"/>
          </w:tcPr>
          <w:p w:rsidR="007427D5" w:rsidRPr="007427D5" w:rsidRDefault="007427D5" w:rsidP="007427D5">
            <w:pPr>
              <w:spacing w:before="60" w:after="60" w:line="271" w:lineRule="auto"/>
              <w:rPr>
                <w:rFonts w:ascii="Arial" w:hAnsi="Arial" w:cs="Arial"/>
                <w:b/>
                <w:color w:val="FFFFFF"/>
                <w:sz w:val="17"/>
              </w:rPr>
            </w:pPr>
            <w:r w:rsidRPr="007427D5">
              <w:rPr>
                <w:rFonts w:ascii="Arial" w:hAnsi="Arial" w:cs="Arial"/>
                <w:b/>
                <w:color w:val="FFFFFF"/>
                <w:sz w:val="17"/>
              </w:rPr>
              <w:t>No Assurance</w:t>
            </w:r>
          </w:p>
        </w:tc>
        <w:tc>
          <w:tcPr>
            <w:tcW w:w="11339" w:type="dxa"/>
            <w:shd w:val="clear" w:color="auto" w:fill="F3F3F3"/>
            <w:vAlign w:val="center"/>
          </w:tcPr>
          <w:p w:rsidR="007427D5" w:rsidRPr="007427D5" w:rsidRDefault="007427D5" w:rsidP="007427D5">
            <w:pPr>
              <w:spacing w:before="60" w:after="60" w:line="271" w:lineRule="auto"/>
              <w:jc w:val="both"/>
              <w:rPr>
                <w:rFonts w:ascii="Arial" w:hAnsi="Arial" w:cs="Arial"/>
                <w:color w:val="000000"/>
                <w:sz w:val="17"/>
              </w:rPr>
            </w:pPr>
            <w:r w:rsidRPr="007427D5">
              <w:rPr>
                <w:rFonts w:ascii="Arial" w:hAnsi="Arial" w:cs="Arial"/>
                <w:color w:val="000000"/>
                <w:sz w:val="17"/>
              </w:rPr>
              <w:t>There is a fundamental breakdown or absence of core internal controls requiring immediate action.</w:t>
            </w:r>
          </w:p>
        </w:tc>
      </w:tr>
    </w:tbl>
    <w:p w:rsidR="007427D5" w:rsidRDefault="007427D5" w:rsidP="007427D5">
      <w:pPr>
        <w:spacing w:before="200" w:after="120" w:line="271" w:lineRule="auto"/>
        <w:rPr>
          <w:rFonts w:ascii="Arial" w:hAnsi="Arial" w:cs="Arial"/>
          <w:b/>
          <w:color w:val="DC0D15"/>
          <w:sz w:val="20"/>
        </w:rPr>
      </w:pPr>
      <w:r w:rsidRPr="007427D5">
        <w:rPr>
          <w:rFonts w:ascii="Arial" w:hAnsi="Arial" w:cs="Arial"/>
          <w:b/>
          <w:color w:val="DC0D15"/>
          <w:sz w:val="20"/>
        </w:rPr>
        <w:t>ACKNOWLEDGEMENT</w:t>
      </w:r>
    </w:p>
    <w:p w:rsidR="007427D5" w:rsidRDefault="007427D5" w:rsidP="007427D5">
      <w:pPr>
        <w:pStyle w:val="ListParagraph"/>
        <w:numPr>
          <w:ilvl w:val="0"/>
          <w:numId w:val="1"/>
        </w:numPr>
        <w:spacing w:before="120" w:after="120" w:line="271" w:lineRule="auto"/>
        <w:jc w:val="both"/>
        <w:rPr>
          <w:rFonts w:ascii="Arial" w:hAnsi="Arial" w:cs="Arial"/>
          <w:color w:val="000000"/>
          <w:sz w:val="20"/>
        </w:rPr>
      </w:pPr>
      <w:r w:rsidRPr="007427D5">
        <w:rPr>
          <w:rFonts w:ascii="Arial" w:hAnsi="Arial" w:cs="Arial"/>
          <w:color w:val="000000"/>
          <w:sz w:val="20"/>
        </w:rPr>
        <w:t>We would like to thank staff for their co-operation and assistance during the course of our work.</w:t>
      </w:r>
    </w:p>
    <w:p w:rsidR="007427D5" w:rsidRDefault="007427D5" w:rsidP="007427D5">
      <w:pPr>
        <w:spacing w:before="200" w:after="120" w:line="271" w:lineRule="auto"/>
        <w:jc w:val="both"/>
        <w:rPr>
          <w:rFonts w:ascii="Arial" w:hAnsi="Arial" w:cs="Arial"/>
          <w:b/>
          <w:color w:val="DC0D15"/>
          <w:sz w:val="20"/>
        </w:rPr>
      </w:pPr>
      <w:r w:rsidRPr="007427D5">
        <w:rPr>
          <w:rFonts w:ascii="Arial" w:hAnsi="Arial" w:cs="Arial"/>
          <w:b/>
          <w:color w:val="DC0D15"/>
          <w:sz w:val="20"/>
        </w:rPr>
        <w:t>RELEASE OF REPORT</w:t>
      </w:r>
    </w:p>
    <w:p w:rsidR="007427D5" w:rsidRDefault="007427D5" w:rsidP="007427D5">
      <w:pPr>
        <w:pStyle w:val="ListParagraph"/>
        <w:numPr>
          <w:ilvl w:val="0"/>
          <w:numId w:val="1"/>
        </w:numPr>
        <w:spacing w:before="120" w:after="120" w:line="271" w:lineRule="auto"/>
        <w:rPr>
          <w:rFonts w:ascii="Arial" w:hAnsi="Arial" w:cs="Arial"/>
          <w:color w:val="000000"/>
          <w:sz w:val="20"/>
        </w:rPr>
      </w:pPr>
      <w:r w:rsidRPr="007427D5">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7427D5" w:rsidTr="007427D5">
        <w:trPr>
          <w:trHeight w:val="283"/>
          <w:jc w:val="right"/>
        </w:trPr>
        <w:tc>
          <w:tcPr>
            <w:tcW w:w="3515" w:type="dxa"/>
            <w:shd w:val="clear" w:color="auto" w:fill="163D82"/>
          </w:tcPr>
          <w:p w:rsidR="007427D5" w:rsidRPr="007427D5" w:rsidRDefault="007427D5" w:rsidP="007427D5">
            <w:pPr>
              <w:spacing w:before="60" w:after="60" w:line="271" w:lineRule="auto"/>
              <w:rPr>
                <w:rFonts w:ascii="Arial" w:hAnsi="Arial" w:cs="Arial"/>
                <w:b/>
                <w:color w:val="FFFFFF"/>
                <w:sz w:val="18"/>
              </w:rPr>
            </w:pPr>
            <w:r w:rsidRPr="007427D5">
              <w:rPr>
                <w:rFonts w:ascii="Arial" w:hAnsi="Arial" w:cs="Arial"/>
                <w:b/>
                <w:color w:val="FFFFFF"/>
                <w:sz w:val="18"/>
              </w:rPr>
              <w:t>Date draft report issued:</w:t>
            </w:r>
          </w:p>
        </w:tc>
        <w:tc>
          <w:tcPr>
            <w:tcW w:w="3402" w:type="dxa"/>
            <w:shd w:val="clear" w:color="auto" w:fill="F3F3F3"/>
          </w:tcPr>
          <w:p w:rsidR="007427D5" w:rsidRPr="007427D5" w:rsidRDefault="00DA61E5" w:rsidP="007427D5">
            <w:pPr>
              <w:spacing w:before="60" w:after="60" w:line="271" w:lineRule="auto"/>
              <w:rPr>
                <w:rFonts w:ascii="Arial" w:hAnsi="Arial" w:cs="Arial"/>
                <w:color w:val="000000"/>
                <w:sz w:val="18"/>
              </w:rPr>
            </w:pPr>
            <w:r>
              <w:rPr>
                <w:rFonts w:ascii="Arial" w:hAnsi="Arial" w:cs="Arial"/>
                <w:color w:val="000000"/>
                <w:sz w:val="18"/>
              </w:rPr>
              <w:t>21</w:t>
            </w:r>
            <w:r w:rsidRPr="00DA61E5">
              <w:rPr>
                <w:rFonts w:ascii="Arial" w:hAnsi="Arial" w:cs="Arial"/>
                <w:color w:val="000000"/>
                <w:sz w:val="18"/>
                <w:vertAlign w:val="superscript"/>
              </w:rPr>
              <w:t>st</w:t>
            </w:r>
            <w:r>
              <w:rPr>
                <w:rFonts w:ascii="Arial" w:hAnsi="Arial" w:cs="Arial"/>
                <w:color w:val="000000"/>
                <w:sz w:val="18"/>
              </w:rPr>
              <w:t xml:space="preserve"> September 2017</w:t>
            </w:r>
          </w:p>
        </w:tc>
        <w:tc>
          <w:tcPr>
            <w:tcW w:w="7370" w:type="dxa"/>
          </w:tcPr>
          <w:p w:rsidR="007427D5" w:rsidRDefault="007427D5" w:rsidP="007427D5">
            <w:pPr>
              <w:spacing w:before="60" w:after="60" w:line="271" w:lineRule="auto"/>
              <w:rPr>
                <w:rFonts w:ascii="Arial" w:hAnsi="Arial" w:cs="Arial"/>
                <w:color w:val="000000"/>
                <w:sz w:val="20"/>
              </w:rPr>
            </w:pPr>
          </w:p>
        </w:tc>
      </w:tr>
      <w:tr w:rsidR="00F0656C" w:rsidTr="007427D5">
        <w:trPr>
          <w:trHeight w:val="283"/>
          <w:jc w:val="right"/>
        </w:trPr>
        <w:tc>
          <w:tcPr>
            <w:tcW w:w="3515" w:type="dxa"/>
            <w:shd w:val="clear" w:color="auto" w:fill="163D82"/>
          </w:tcPr>
          <w:p w:rsidR="00F0656C" w:rsidRPr="007427D5" w:rsidRDefault="00F0656C" w:rsidP="007427D5">
            <w:pPr>
              <w:spacing w:before="60" w:after="60" w:line="271" w:lineRule="auto"/>
              <w:rPr>
                <w:rFonts w:ascii="Arial" w:hAnsi="Arial" w:cs="Arial"/>
                <w:b/>
                <w:color w:val="FFFFFF"/>
                <w:sz w:val="18"/>
              </w:rPr>
            </w:pPr>
            <w:r>
              <w:rPr>
                <w:rFonts w:ascii="Arial" w:hAnsi="Arial" w:cs="Arial"/>
                <w:b/>
                <w:color w:val="FFFFFF"/>
                <w:sz w:val="18"/>
              </w:rPr>
              <w:t>Date revised draft report issued:</w:t>
            </w:r>
          </w:p>
        </w:tc>
        <w:tc>
          <w:tcPr>
            <w:tcW w:w="3402" w:type="dxa"/>
            <w:shd w:val="clear" w:color="auto" w:fill="F3F3F3"/>
          </w:tcPr>
          <w:p w:rsidR="00F0656C" w:rsidRDefault="00F0656C" w:rsidP="007427D5">
            <w:pPr>
              <w:spacing w:before="60" w:after="60" w:line="271" w:lineRule="auto"/>
              <w:rPr>
                <w:rFonts w:ascii="Arial" w:hAnsi="Arial" w:cs="Arial"/>
                <w:color w:val="000000"/>
                <w:sz w:val="18"/>
              </w:rPr>
            </w:pPr>
            <w:r>
              <w:rPr>
                <w:rFonts w:ascii="Arial" w:hAnsi="Arial" w:cs="Arial"/>
                <w:color w:val="000000"/>
                <w:sz w:val="18"/>
              </w:rPr>
              <w:t>4</w:t>
            </w:r>
            <w:r w:rsidRPr="00F0656C">
              <w:rPr>
                <w:rFonts w:ascii="Arial" w:hAnsi="Arial" w:cs="Arial"/>
                <w:color w:val="000000"/>
                <w:sz w:val="18"/>
                <w:vertAlign w:val="superscript"/>
              </w:rPr>
              <w:t>th</w:t>
            </w:r>
            <w:r>
              <w:rPr>
                <w:rFonts w:ascii="Arial" w:hAnsi="Arial" w:cs="Arial"/>
                <w:color w:val="000000"/>
                <w:sz w:val="18"/>
              </w:rPr>
              <w:t xml:space="preserve"> October 2017</w:t>
            </w:r>
          </w:p>
        </w:tc>
        <w:tc>
          <w:tcPr>
            <w:tcW w:w="7370" w:type="dxa"/>
          </w:tcPr>
          <w:p w:rsidR="00F0656C" w:rsidRDefault="00F0656C" w:rsidP="007427D5">
            <w:pPr>
              <w:spacing w:before="60" w:after="60" w:line="271" w:lineRule="auto"/>
              <w:rPr>
                <w:rFonts w:ascii="Arial" w:hAnsi="Arial" w:cs="Arial"/>
                <w:color w:val="000000"/>
                <w:sz w:val="20"/>
              </w:rPr>
            </w:pPr>
          </w:p>
        </w:tc>
      </w:tr>
      <w:tr w:rsidR="007427D5" w:rsidTr="007427D5">
        <w:trPr>
          <w:trHeight w:val="283"/>
          <w:jc w:val="right"/>
        </w:trPr>
        <w:tc>
          <w:tcPr>
            <w:tcW w:w="3515" w:type="dxa"/>
            <w:shd w:val="clear" w:color="auto" w:fill="163D82"/>
          </w:tcPr>
          <w:p w:rsidR="007427D5" w:rsidRPr="007427D5" w:rsidRDefault="007427D5" w:rsidP="007427D5">
            <w:pPr>
              <w:spacing w:before="60" w:after="60" w:line="271" w:lineRule="auto"/>
              <w:rPr>
                <w:rFonts w:ascii="Arial" w:hAnsi="Arial" w:cs="Arial"/>
                <w:b/>
                <w:color w:val="FFFFFF"/>
                <w:sz w:val="18"/>
              </w:rPr>
            </w:pPr>
            <w:r w:rsidRPr="007427D5">
              <w:rPr>
                <w:rFonts w:ascii="Arial" w:hAnsi="Arial" w:cs="Arial"/>
                <w:b/>
                <w:color w:val="FFFFFF"/>
                <w:sz w:val="18"/>
              </w:rPr>
              <w:t>Date management responses received:</w:t>
            </w:r>
          </w:p>
        </w:tc>
        <w:tc>
          <w:tcPr>
            <w:tcW w:w="3402" w:type="dxa"/>
            <w:shd w:val="clear" w:color="auto" w:fill="F3F3F3"/>
          </w:tcPr>
          <w:p w:rsidR="007427D5" w:rsidRPr="007427D5" w:rsidRDefault="00075E48" w:rsidP="007427D5">
            <w:pPr>
              <w:spacing w:before="60" w:after="60" w:line="271" w:lineRule="auto"/>
              <w:rPr>
                <w:rFonts w:ascii="Arial" w:hAnsi="Arial" w:cs="Arial"/>
                <w:color w:val="000000"/>
                <w:sz w:val="18"/>
              </w:rPr>
            </w:pPr>
            <w:r>
              <w:rPr>
                <w:rFonts w:ascii="Arial" w:hAnsi="Arial" w:cs="Arial"/>
                <w:color w:val="000000"/>
                <w:sz w:val="18"/>
              </w:rPr>
              <w:t>20</w:t>
            </w:r>
            <w:r w:rsidRPr="00075E48">
              <w:rPr>
                <w:rFonts w:ascii="Arial" w:hAnsi="Arial" w:cs="Arial"/>
                <w:color w:val="000000"/>
                <w:sz w:val="18"/>
                <w:vertAlign w:val="superscript"/>
              </w:rPr>
              <w:t>th</w:t>
            </w:r>
            <w:r>
              <w:rPr>
                <w:rFonts w:ascii="Arial" w:hAnsi="Arial" w:cs="Arial"/>
                <w:color w:val="000000"/>
                <w:sz w:val="18"/>
              </w:rPr>
              <w:t xml:space="preserve"> November 2017</w:t>
            </w:r>
          </w:p>
        </w:tc>
        <w:tc>
          <w:tcPr>
            <w:tcW w:w="7370" w:type="dxa"/>
          </w:tcPr>
          <w:p w:rsidR="007427D5" w:rsidRDefault="007427D5" w:rsidP="007427D5">
            <w:pPr>
              <w:spacing w:before="60" w:after="60" w:line="271" w:lineRule="auto"/>
              <w:rPr>
                <w:rFonts w:ascii="Arial" w:hAnsi="Arial" w:cs="Arial"/>
                <w:color w:val="000000"/>
                <w:sz w:val="20"/>
              </w:rPr>
            </w:pPr>
          </w:p>
        </w:tc>
      </w:tr>
      <w:tr w:rsidR="007427D5" w:rsidTr="007427D5">
        <w:trPr>
          <w:trHeight w:val="283"/>
          <w:jc w:val="right"/>
        </w:trPr>
        <w:tc>
          <w:tcPr>
            <w:tcW w:w="3515" w:type="dxa"/>
            <w:shd w:val="clear" w:color="auto" w:fill="163D82"/>
          </w:tcPr>
          <w:p w:rsidR="007427D5" w:rsidRPr="007427D5" w:rsidRDefault="007427D5" w:rsidP="007427D5">
            <w:pPr>
              <w:spacing w:before="60" w:after="60" w:line="271" w:lineRule="auto"/>
              <w:rPr>
                <w:rFonts w:ascii="Arial" w:hAnsi="Arial" w:cs="Arial"/>
                <w:b/>
                <w:color w:val="FFFFFF"/>
                <w:sz w:val="18"/>
              </w:rPr>
            </w:pPr>
            <w:r w:rsidRPr="007427D5">
              <w:rPr>
                <w:rFonts w:ascii="Arial" w:hAnsi="Arial" w:cs="Arial"/>
                <w:b/>
                <w:color w:val="FFFFFF"/>
                <w:sz w:val="18"/>
              </w:rPr>
              <w:t>Date final report issued:</w:t>
            </w:r>
          </w:p>
        </w:tc>
        <w:tc>
          <w:tcPr>
            <w:tcW w:w="3402" w:type="dxa"/>
            <w:shd w:val="clear" w:color="auto" w:fill="F3F3F3"/>
          </w:tcPr>
          <w:p w:rsidR="007427D5" w:rsidRPr="007427D5" w:rsidRDefault="00075E48" w:rsidP="007427D5">
            <w:pPr>
              <w:spacing w:before="60" w:after="60" w:line="271" w:lineRule="auto"/>
              <w:rPr>
                <w:rFonts w:ascii="Arial" w:hAnsi="Arial" w:cs="Arial"/>
                <w:color w:val="000000"/>
                <w:sz w:val="18"/>
              </w:rPr>
            </w:pPr>
            <w:r>
              <w:rPr>
                <w:rFonts w:ascii="Arial" w:hAnsi="Arial" w:cs="Arial"/>
                <w:color w:val="000000"/>
                <w:sz w:val="18"/>
              </w:rPr>
              <w:t>22</w:t>
            </w:r>
            <w:r w:rsidRPr="00075E48">
              <w:rPr>
                <w:rFonts w:ascii="Arial" w:hAnsi="Arial" w:cs="Arial"/>
                <w:color w:val="000000"/>
                <w:sz w:val="18"/>
                <w:vertAlign w:val="superscript"/>
              </w:rPr>
              <w:t>nd</w:t>
            </w:r>
            <w:r>
              <w:rPr>
                <w:rFonts w:ascii="Arial" w:hAnsi="Arial" w:cs="Arial"/>
                <w:color w:val="000000"/>
                <w:sz w:val="18"/>
              </w:rPr>
              <w:t xml:space="preserve"> November 2017</w:t>
            </w:r>
          </w:p>
        </w:tc>
        <w:tc>
          <w:tcPr>
            <w:tcW w:w="7370" w:type="dxa"/>
          </w:tcPr>
          <w:p w:rsidR="007427D5" w:rsidRDefault="007427D5" w:rsidP="007427D5">
            <w:pPr>
              <w:spacing w:before="60" w:after="60" w:line="271" w:lineRule="auto"/>
              <w:rPr>
                <w:rFonts w:ascii="Arial" w:hAnsi="Arial" w:cs="Arial"/>
                <w:color w:val="000000"/>
                <w:sz w:val="20"/>
              </w:rPr>
            </w:pPr>
          </w:p>
        </w:tc>
      </w:tr>
    </w:tbl>
    <w:p w:rsidR="007427D5" w:rsidRPr="00E86491" w:rsidRDefault="007427D5" w:rsidP="007427D5">
      <w:pPr>
        <w:spacing w:before="120" w:after="120" w:line="271" w:lineRule="auto"/>
        <w:rPr>
          <w:rFonts w:ascii="Arial" w:hAnsi="Arial" w:cs="Arial"/>
          <w:color w:val="000000"/>
          <w:sz w:val="2"/>
          <w:szCs w:val="2"/>
        </w:rPr>
      </w:pPr>
    </w:p>
    <w:p w:rsidR="007427D5" w:rsidRDefault="007427D5" w:rsidP="007427D5">
      <w:pPr>
        <w:spacing w:before="120" w:after="120" w:line="271" w:lineRule="auto"/>
        <w:rPr>
          <w:rFonts w:ascii="Arial" w:hAnsi="Arial" w:cs="Arial"/>
          <w:color w:val="000000"/>
          <w:sz w:val="20"/>
        </w:rPr>
        <w:sectPr w:rsidR="007427D5" w:rsidSect="007427D5">
          <w:headerReference w:type="default" r:id="rId21"/>
          <w:footerReference w:type="default" r:id="rId22"/>
          <w:pgSz w:w="16838" w:h="11906" w:orient="landscape"/>
          <w:pgMar w:top="850" w:right="850" w:bottom="850" w:left="850" w:header="708" w:footer="708" w:gutter="0"/>
          <w:cols w:space="708"/>
          <w:docGrid w:linePitch="360"/>
        </w:sectPr>
      </w:pPr>
    </w:p>
    <w:p w:rsidR="006567D7" w:rsidRPr="006567D7" w:rsidRDefault="006567D7" w:rsidP="00897AAF">
      <w:pPr>
        <w:pStyle w:val="ListParagraph"/>
        <w:numPr>
          <w:ilvl w:val="0"/>
          <w:numId w:val="3"/>
        </w:numPr>
        <w:spacing w:before="120" w:after="120" w:line="271" w:lineRule="auto"/>
        <w:contextualSpacing w:val="0"/>
        <w:jc w:val="both"/>
        <w:rPr>
          <w:rFonts w:ascii="Arial" w:hAnsi="Arial" w:cs="Arial"/>
          <w:color w:val="000000"/>
          <w:sz w:val="20"/>
        </w:rPr>
      </w:pPr>
      <w:r w:rsidRPr="006567D7">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6567D7" w:rsidRPr="006567D7" w:rsidTr="00C032CC">
        <w:trPr>
          <w:jc w:val="right"/>
        </w:trPr>
        <w:tc>
          <w:tcPr>
            <w:tcW w:w="13890" w:type="dxa"/>
            <w:shd w:val="clear" w:color="auto" w:fill="FFFFFF"/>
          </w:tcPr>
          <w:p w:rsidR="006567D7" w:rsidRPr="006567D7" w:rsidRDefault="006567D7" w:rsidP="006567D7">
            <w:pPr>
              <w:spacing w:before="120" w:after="120" w:line="271" w:lineRule="auto"/>
              <w:rPr>
                <w:rFonts w:ascii="Arial" w:hAnsi="Arial" w:cs="Arial"/>
                <w:b/>
                <w:color w:val="163D82"/>
                <w:sz w:val="20"/>
              </w:rPr>
            </w:pPr>
            <w:r w:rsidRPr="006567D7">
              <w:rPr>
                <w:rFonts w:ascii="Arial" w:hAnsi="Arial" w:cs="Arial"/>
                <w:b/>
                <w:color w:val="163D82"/>
                <w:sz w:val="20"/>
              </w:rPr>
              <w:t>Directed Risk: Failure to direct the process through approved policy &amp; procedures.</w:t>
            </w:r>
          </w:p>
        </w:tc>
      </w:tr>
    </w:tbl>
    <w:p w:rsidR="006567D7" w:rsidRPr="00ED17EC" w:rsidRDefault="008F1AEA" w:rsidP="00075E48">
      <w:pPr>
        <w:pStyle w:val="ListParagraph"/>
        <w:spacing w:before="120" w:after="120" w:line="271" w:lineRule="auto"/>
        <w:ind w:left="709"/>
        <w:contextualSpacing w:val="0"/>
        <w:jc w:val="both"/>
        <w:rPr>
          <w:rFonts w:ascii="Arial" w:hAnsi="Arial" w:cs="Arial"/>
          <w:b/>
          <w:color w:val="DC0D15"/>
          <w:sz w:val="20"/>
        </w:rPr>
      </w:pPr>
      <w:r w:rsidRPr="00ED17EC">
        <w:rPr>
          <w:rFonts w:ascii="Arial" w:hAnsi="Arial" w:cs="Arial"/>
          <w:b/>
          <w:color w:val="DC0D15"/>
          <w:sz w:val="20"/>
        </w:rPr>
        <w:t>Joint Corporate Governance Framework</w:t>
      </w:r>
    </w:p>
    <w:p w:rsidR="00AD19A2" w:rsidRDefault="007F1B6C" w:rsidP="00075E48">
      <w:pPr>
        <w:pStyle w:val="ListParagraph"/>
        <w:numPr>
          <w:ilvl w:val="1"/>
          <w:numId w:val="3"/>
        </w:numPr>
        <w:spacing w:before="120" w:after="120" w:line="271" w:lineRule="auto"/>
        <w:contextualSpacing w:val="0"/>
        <w:jc w:val="both"/>
        <w:rPr>
          <w:rFonts w:ascii="Arial" w:hAnsi="Arial" w:cs="Arial"/>
          <w:color w:val="000000"/>
          <w:sz w:val="20"/>
        </w:rPr>
      </w:pPr>
      <w:r w:rsidRPr="00897AAF">
        <w:rPr>
          <w:rFonts w:ascii="Arial" w:hAnsi="Arial" w:cs="Arial"/>
          <w:color w:val="000000"/>
          <w:sz w:val="20"/>
        </w:rPr>
        <w:t>The PCC/CC have a Joint Corporate Governance Framework which includes the following headings:</w:t>
      </w:r>
    </w:p>
    <w:p w:rsidR="007F1B6C" w:rsidRPr="007F1B6C" w:rsidRDefault="007F1B6C" w:rsidP="00075E48">
      <w:pPr>
        <w:pStyle w:val="ListParagraph"/>
        <w:spacing w:before="120" w:after="120" w:line="271" w:lineRule="auto"/>
        <w:ind w:left="1440"/>
        <w:contextualSpacing w:val="0"/>
        <w:jc w:val="both"/>
        <w:rPr>
          <w:rFonts w:ascii="Arial" w:hAnsi="Arial" w:cs="Arial"/>
          <w:color w:val="000000"/>
          <w:sz w:val="20"/>
        </w:rPr>
      </w:pPr>
      <w:r w:rsidRPr="00897AAF">
        <w:rPr>
          <w:rFonts w:ascii="Arial" w:hAnsi="Arial" w:cs="Arial"/>
          <w:color w:val="000000"/>
          <w:sz w:val="20"/>
        </w:rPr>
        <w:t xml:space="preserve">  </w:t>
      </w:r>
      <w:r w:rsidRPr="007F1B6C">
        <w:rPr>
          <w:rFonts w:ascii="Arial" w:hAnsi="Arial" w:cs="Arial"/>
          <w:color w:val="000000"/>
          <w:sz w:val="20"/>
        </w:rPr>
        <w:t>Statement of Corporate Governance for the Police and Crime Commissioner and Chief Constable</w:t>
      </w:r>
      <w:r w:rsidR="00AD19A2">
        <w:rPr>
          <w:rFonts w:ascii="Arial" w:hAnsi="Arial" w:cs="Arial"/>
          <w:color w:val="000000"/>
          <w:sz w:val="20"/>
        </w:rPr>
        <w:t>;</w:t>
      </w:r>
      <w:r w:rsidRPr="007F1B6C">
        <w:rPr>
          <w:rFonts w:ascii="Arial" w:hAnsi="Arial" w:cs="Arial"/>
          <w:color w:val="000000"/>
          <w:sz w:val="20"/>
        </w:rPr>
        <w:t xml:space="preserve"> </w:t>
      </w:r>
    </w:p>
    <w:p w:rsidR="007F1B6C" w:rsidRPr="007F1B6C" w:rsidRDefault="007F1B6C" w:rsidP="00075E48">
      <w:pPr>
        <w:pStyle w:val="ListParagraph"/>
        <w:numPr>
          <w:ilvl w:val="0"/>
          <w:numId w:val="6"/>
        </w:numPr>
        <w:spacing w:before="120" w:after="120" w:line="271" w:lineRule="auto"/>
        <w:ind w:left="2127"/>
        <w:contextualSpacing w:val="0"/>
        <w:jc w:val="both"/>
        <w:rPr>
          <w:rFonts w:ascii="Arial" w:hAnsi="Arial" w:cs="Arial"/>
          <w:color w:val="000000"/>
          <w:sz w:val="20"/>
        </w:rPr>
      </w:pPr>
      <w:r w:rsidRPr="007F1B6C">
        <w:rPr>
          <w:rFonts w:ascii="Arial" w:hAnsi="Arial" w:cs="Arial"/>
          <w:color w:val="000000"/>
          <w:sz w:val="20"/>
        </w:rPr>
        <w:t>Code of Corporate Governance for the Police and Crime Commissioner and Chief Constable</w:t>
      </w:r>
      <w:r w:rsidR="00AD19A2">
        <w:rPr>
          <w:rFonts w:ascii="Arial" w:hAnsi="Arial" w:cs="Arial"/>
          <w:color w:val="000000"/>
          <w:sz w:val="20"/>
        </w:rPr>
        <w:t>;</w:t>
      </w:r>
    </w:p>
    <w:p w:rsidR="007F1B6C" w:rsidRPr="007F1B6C" w:rsidRDefault="007F1B6C" w:rsidP="00075E48">
      <w:pPr>
        <w:pStyle w:val="ListParagraph"/>
        <w:numPr>
          <w:ilvl w:val="0"/>
          <w:numId w:val="6"/>
        </w:numPr>
        <w:spacing w:before="120" w:after="120" w:line="271" w:lineRule="auto"/>
        <w:ind w:left="2127"/>
        <w:contextualSpacing w:val="0"/>
        <w:jc w:val="both"/>
        <w:rPr>
          <w:rFonts w:ascii="Arial" w:hAnsi="Arial" w:cs="Arial"/>
          <w:color w:val="000000"/>
          <w:sz w:val="20"/>
        </w:rPr>
      </w:pPr>
      <w:r w:rsidRPr="007F1B6C">
        <w:rPr>
          <w:rFonts w:ascii="Arial" w:hAnsi="Arial" w:cs="Arial"/>
          <w:color w:val="000000"/>
          <w:sz w:val="20"/>
        </w:rPr>
        <w:t xml:space="preserve">Scheme of Corporate </w:t>
      </w:r>
      <w:r w:rsidR="00AD19A2" w:rsidRPr="007F1B6C">
        <w:rPr>
          <w:rFonts w:ascii="Arial" w:hAnsi="Arial" w:cs="Arial"/>
          <w:color w:val="000000"/>
          <w:sz w:val="20"/>
        </w:rPr>
        <w:t>Governance</w:t>
      </w:r>
      <w:r w:rsidR="00AD19A2">
        <w:rPr>
          <w:rFonts w:ascii="Arial" w:hAnsi="Arial" w:cs="Arial"/>
          <w:color w:val="000000"/>
          <w:sz w:val="20"/>
        </w:rPr>
        <w:t>;</w:t>
      </w:r>
      <w:r w:rsidR="00AD19A2" w:rsidRPr="007F1B6C">
        <w:rPr>
          <w:rFonts w:ascii="Arial" w:hAnsi="Arial" w:cs="Arial"/>
          <w:color w:val="000000"/>
          <w:sz w:val="20"/>
        </w:rPr>
        <w:t xml:space="preserve">  </w:t>
      </w:r>
      <w:r w:rsidR="00AD19A2">
        <w:rPr>
          <w:rFonts w:ascii="Arial" w:hAnsi="Arial" w:cs="Arial"/>
          <w:color w:val="000000"/>
          <w:sz w:val="20"/>
        </w:rPr>
        <w:t>and</w:t>
      </w:r>
    </w:p>
    <w:p w:rsidR="007F1B6C" w:rsidRDefault="007F1B6C" w:rsidP="00075E48">
      <w:pPr>
        <w:pStyle w:val="ListParagraph"/>
        <w:numPr>
          <w:ilvl w:val="0"/>
          <w:numId w:val="6"/>
        </w:numPr>
        <w:spacing w:before="120" w:after="120" w:line="271" w:lineRule="auto"/>
        <w:ind w:left="2127"/>
        <w:contextualSpacing w:val="0"/>
        <w:jc w:val="both"/>
        <w:rPr>
          <w:rFonts w:ascii="Arial" w:hAnsi="Arial" w:cs="Arial"/>
          <w:color w:val="000000"/>
          <w:sz w:val="20"/>
        </w:rPr>
      </w:pPr>
      <w:r w:rsidRPr="007F1B6C">
        <w:rPr>
          <w:rFonts w:ascii="Arial" w:hAnsi="Arial" w:cs="Arial"/>
          <w:color w:val="000000"/>
          <w:sz w:val="20"/>
        </w:rPr>
        <w:t>Financial Regulations and Standing Orders</w:t>
      </w:r>
      <w:r w:rsidR="00AD19A2">
        <w:rPr>
          <w:rFonts w:ascii="Arial" w:hAnsi="Arial" w:cs="Arial"/>
          <w:color w:val="000000"/>
          <w:sz w:val="20"/>
        </w:rPr>
        <w:t>, which include the following;</w:t>
      </w:r>
      <w:r w:rsidRPr="007F1B6C">
        <w:rPr>
          <w:rFonts w:ascii="Arial" w:hAnsi="Arial" w:cs="Arial"/>
          <w:color w:val="000000"/>
          <w:sz w:val="20"/>
        </w:rPr>
        <w:t xml:space="preserve">    </w:t>
      </w:r>
    </w:p>
    <w:p w:rsidR="007F1B6C" w:rsidRPr="007F1B6C" w:rsidRDefault="007F1B6C" w:rsidP="00075E48">
      <w:pPr>
        <w:pStyle w:val="ListParagraph"/>
        <w:numPr>
          <w:ilvl w:val="2"/>
          <w:numId w:val="3"/>
        </w:numPr>
        <w:spacing w:before="120" w:after="120" w:line="271" w:lineRule="auto"/>
        <w:ind w:left="2693" w:firstLine="142"/>
        <w:contextualSpacing w:val="0"/>
        <w:jc w:val="both"/>
        <w:rPr>
          <w:rFonts w:ascii="Arial" w:hAnsi="Arial" w:cs="Arial"/>
          <w:color w:val="000000"/>
          <w:sz w:val="20"/>
        </w:rPr>
      </w:pPr>
      <w:r w:rsidRPr="007F1B6C">
        <w:rPr>
          <w:rFonts w:ascii="Arial" w:hAnsi="Arial" w:cs="Arial"/>
          <w:color w:val="000000"/>
          <w:sz w:val="20"/>
        </w:rPr>
        <w:t xml:space="preserve">Section A – Financial Management Framework   </w:t>
      </w:r>
    </w:p>
    <w:p w:rsidR="007F1B6C" w:rsidRPr="007F1B6C" w:rsidRDefault="007F1B6C" w:rsidP="00075E48">
      <w:pPr>
        <w:pStyle w:val="ListParagraph"/>
        <w:numPr>
          <w:ilvl w:val="2"/>
          <w:numId w:val="3"/>
        </w:numPr>
        <w:spacing w:before="120" w:after="120" w:line="271" w:lineRule="auto"/>
        <w:ind w:left="2693" w:firstLine="142"/>
        <w:contextualSpacing w:val="0"/>
        <w:jc w:val="both"/>
        <w:rPr>
          <w:rFonts w:ascii="Arial" w:hAnsi="Arial" w:cs="Arial"/>
          <w:color w:val="000000"/>
          <w:sz w:val="20"/>
        </w:rPr>
      </w:pPr>
      <w:r w:rsidRPr="007F1B6C">
        <w:rPr>
          <w:rFonts w:ascii="Arial" w:hAnsi="Arial" w:cs="Arial"/>
          <w:color w:val="000000"/>
          <w:sz w:val="20"/>
        </w:rPr>
        <w:t xml:space="preserve">Section B – Financial Planning and Control   </w:t>
      </w:r>
    </w:p>
    <w:p w:rsidR="007F1B6C" w:rsidRPr="007F1B6C" w:rsidRDefault="007F1B6C" w:rsidP="00075E48">
      <w:pPr>
        <w:pStyle w:val="ListParagraph"/>
        <w:numPr>
          <w:ilvl w:val="2"/>
          <w:numId w:val="3"/>
        </w:numPr>
        <w:spacing w:before="120" w:after="120" w:line="271" w:lineRule="auto"/>
        <w:ind w:left="2693" w:firstLine="142"/>
        <w:contextualSpacing w:val="0"/>
        <w:jc w:val="both"/>
        <w:rPr>
          <w:rFonts w:ascii="Arial" w:hAnsi="Arial" w:cs="Arial"/>
          <w:color w:val="000000"/>
          <w:sz w:val="20"/>
        </w:rPr>
      </w:pPr>
      <w:r w:rsidRPr="007F1B6C">
        <w:rPr>
          <w:rFonts w:ascii="Arial" w:hAnsi="Arial" w:cs="Arial"/>
          <w:color w:val="000000"/>
          <w:sz w:val="20"/>
        </w:rPr>
        <w:t xml:space="preserve">Section C – Management of Risk and Resources   </w:t>
      </w:r>
    </w:p>
    <w:p w:rsidR="007F1B6C" w:rsidRPr="007F1B6C" w:rsidRDefault="007F1B6C" w:rsidP="00075E48">
      <w:pPr>
        <w:pStyle w:val="ListParagraph"/>
        <w:numPr>
          <w:ilvl w:val="2"/>
          <w:numId w:val="3"/>
        </w:numPr>
        <w:spacing w:before="120" w:after="120" w:line="271" w:lineRule="auto"/>
        <w:ind w:left="2693" w:firstLine="142"/>
        <w:contextualSpacing w:val="0"/>
        <w:jc w:val="both"/>
        <w:rPr>
          <w:rFonts w:ascii="Arial" w:hAnsi="Arial" w:cs="Arial"/>
          <w:color w:val="000000"/>
          <w:sz w:val="20"/>
        </w:rPr>
      </w:pPr>
      <w:r w:rsidRPr="007F1B6C">
        <w:rPr>
          <w:rFonts w:ascii="Arial" w:hAnsi="Arial" w:cs="Arial"/>
          <w:color w:val="000000"/>
          <w:sz w:val="20"/>
        </w:rPr>
        <w:t xml:space="preserve">Section D – Systems and Procedures   </w:t>
      </w:r>
    </w:p>
    <w:p w:rsidR="007F1B6C" w:rsidRPr="007F1B6C" w:rsidRDefault="007F1B6C" w:rsidP="00075E48">
      <w:pPr>
        <w:pStyle w:val="ListParagraph"/>
        <w:numPr>
          <w:ilvl w:val="2"/>
          <w:numId w:val="3"/>
        </w:numPr>
        <w:spacing w:before="120" w:after="120" w:line="271" w:lineRule="auto"/>
        <w:ind w:left="2693" w:firstLine="142"/>
        <w:contextualSpacing w:val="0"/>
        <w:jc w:val="both"/>
        <w:rPr>
          <w:rFonts w:ascii="Arial" w:hAnsi="Arial" w:cs="Arial"/>
          <w:color w:val="000000"/>
          <w:sz w:val="20"/>
        </w:rPr>
      </w:pPr>
      <w:r w:rsidRPr="007F1B6C">
        <w:rPr>
          <w:rFonts w:ascii="Arial" w:hAnsi="Arial" w:cs="Arial"/>
          <w:color w:val="000000"/>
          <w:sz w:val="20"/>
        </w:rPr>
        <w:t xml:space="preserve">Section E – External Arrangements   </w:t>
      </w:r>
    </w:p>
    <w:p w:rsidR="007F1B6C" w:rsidRPr="007F1B6C" w:rsidRDefault="007F1B6C" w:rsidP="00075E48">
      <w:pPr>
        <w:pStyle w:val="ListParagraph"/>
        <w:numPr>
          <w:ilvl w:val="2"/>
          <w:numId w:val="3"/>
        </w:numPr>
        <w:spacing w:before="120" w:after="120" w:line="271" w:lineRule="auto"/>
        <w:ind w:left="2693" w:firstLine="142"/>
        <w:contextualSpacing w:val="0"/>
        <w:jc w:val="both"/>
        <w:rPr>
          <w:rFonts w:ascii="Arial" w:hAnsi="Arial" w:cs="Arial"/>
          <w:color w:val="000000"/>
          <w:sz w:val="20"/>
        </w:rPr>
      </w:pPr>
      <w:r w:rsidRPr="007F1B6C">
        <w:rPr>
          <w:rFonts w:ascii="Arial" w:hAnsi="Arial" w:cs="Arial"/>
          <w:color w:val="000000"/>
          <w:sz w:val="20"/>
        </w:rPr>
        <w:t xml:space="preserve">Section F – Contract Standing Orders   </w:t>
      </w:r>
    </w:p>
    <w:p w:rsidR="007F1B6C" w:rsidRPr="007F1B6C" w:rsidRDefault="007F1B6C" w:rsidP="00075E48">
      <w:pPr>
        <w:pStyle w:val="ListParagraph"/>
        <w:numPr>
          <w:ilvl w:val="2"/>
          <w:numId w:val="3"/>
        </w:numPr>
        <w:spacing w:before="120" w:after="120" w:line="271" w:lineRule="auto"/>
        <w:ind w:left="2693" w:firstLine="142"/>
        <w:contextualSpacing w:val="0"/>
        <w:jc w:val="both"/>
        <w:rPr>
          <w:rFonts w:ascii="Arial" w:hAnsi="Arial" w:cs="Arial"/>
          <w:color w:val="000000"/>
          <w:sz w:val="20"/>
        </w:rPr>
      </w:pPr>
      <w:r w:rsidRPr="007F1B6C">
        <w:rPr>
          <w:rFonts w:ascii="Arial" w:hAnsi="Arial" w:cs="Arial"/>
          <w:color w:val="000000"/>
          <w:sz w:val="20"/>
        </w:rPr>
        <w:t xml:space="preserve">Section G – Delegation Limits    </w:t>
      </w:r>
    </w:p>
    <w:p w:rsidR="007F1B6C" w:rsidRPr="007F1B6C" w:rsidRDefault="007F1B6C" w:rsidP="00075E48">
      <w:pPr>
        <w:pStyle w:val="ListParagraph"/>
        <w:numPr>
          <w:ilvl w:val="2"/>
          <w:numId w:val="3"/>
        </w:numPr>
        <w:spacing w:before="120" w:after="120" w:line="271" w:lineRule="auto"/>
        <w:ind w:left="2693" w:firstLine="142"/>
        <w:contextualSpacing w:val="0"/>
        <w:jc w:val="both"/>
        <w:rPr>
          <w:rFonts w:ascii="Arial" w:hAnsi="Arial" w:cs="Arial"/>
          <w:color w:val="000000"/>
          <w:sz w:val="20"/>
        </w:rPr>
      </w:pPr>
      <w:r w:rsidRPr="007F1B6C">
        <w:rPr>
          <w:rFonts w:ascii="Arial" w:hAnsi="Arial" w:cs="Arial"/>
          <w:color w:val="000000"/>
          <w:sz w:val="20"/>
        </w:rPr>
        <w:t>Section H – Guidance Notes on Breach of Standing Orders or Financial Reg</w:t>
      </w:r>
      <w:r w:rsidR="00AD19A2">
        <w:rPr>
          <w:rFonts w:ascii="Arial" w:hAnsi="Arial" w:cs="Arial"/>
          <w:color w:val="000000"/>
          <w:sz w:val="20"/>
        </w:rPr>
        <w:t>ulation</w:t>
      </w:r>
      <w:r w:rsidRPr="007F1B6C">
        <w:rPr>
          <w:rFonts w:ascii="Arial" w:hAnsi="Arial" w:cs="Arial"/>
          <w:color w:val="000000"/>
          <w:sz w:val="20"/>
        </w:rPr>
        <w:t xml:space="preserve">s       </w:t>
      </w:r>
    </w:p>
    <w:p w:rsidR="006567D7" w:rsidRDefault="007F1B6C" w:rsidP="00075E48">
      <w:pPr>
        <w:pStyle w:val="ListParagraph"/>
        <w:numPr>
          <w:ilvl w:val="2"/>
          <w:numId w:val="3"/>
        </w:numPr>
        <w:spacing w:before="120" w:after="120" w:line="271" w:lineRule="auto"/>
        <w:ind w:left="2693" w:firstLine="142"/>
        <w:contextualSpacing w:val="0"/>
        <w:jc w:val="both"/>
        <w:rPr>
          <w:rFonts w:ascii="Arial" w:hAnsi="Arial" w:cs="Arial"/>
          <w:color w:val="000000"/>
          <w:sz w:val="20"/>
        </w:rPr>
      </w:pPr>
      <w:r w:rsidRPr="007F1B6C">
        <w:rPr>
          <w:rFonts w:ascii="Arial" w:hAnsi="Arial" w:cs="Arial"/>
          <w:color w:val="000000"/>
          <w:sz w:val="20"/>
        </w:rPr>
        <w:t>Section I – Anti Fraud and Corruption Strategy</w:t>
      </w:r>
    </w:p>
    <w:p w:rsidR="008F1AEA" w:rsidRDefault="008F1AEA" w:rsidP="00075E48">
      <w:pPr>
        <w:pStyle w:val="ListParagraph"/>
        <w:numPr>
          <w:ilvl w:val="1"/>
          <w:numId w:val="3"/>
        </w:numPr>
        <w:spacing w:before="120" w:after="120" w:line="271" w:lineRule="auto"/>
        <w:contextualSpacing w:val="0"/>
        <w:jc w:val="both"/>
        <w:rPr>
          <w:rFonts w:ascii="Arial" w:hAnsi="Arial" w:cs="Arial"/>
          <w:color w:val="000000"/>
          <w:sz w:val="20"/>
        </w:rPr>
      </w:pPr>
      <w:r>
        <w:rPr>
          <w:rFonts w:ascii="Arial" w:hAnsi="Arial" w:cs="Arial"/>
          <w:color w:val="000000"/>
          <w:sz w:val="20"/>
        </w:rPr>
        <w:t>A</w:t>
      </w:r>
      <w:r w:rsidRPr="008F1AEA">
        <w:rPr>
          <w:rFonts w:ascii="Arial" w:hAnsi="Arial" w:cs="Arial"/>
          <w:color w:val="000000"/>
          <w:sz w:val="20"/>
        </w:rPr>
        <w:t xml:space="preserve"> review of the Joint  Corporate Governance Framework</w:t>
      </w:r>
      <w:r>
        <w:rPr>
          <w:rFonts w:ascii="Arial" w:hAnsi="Arial" w:cs="Arial"/>
          <w:color w:val="000000"/>
          <w:sz w:val="20"/>
        </w:rPr>
        <w:t xml:space="preserve"> has identified the following matters</w:t>
      </w:r>
      <w:r w:rsidRPr="008F1AEA">
        <w:rPr>
          <w:rFonts w:ascii="Arial" w:hAnsi="Arial" w:cs="Arial"/>
          <w:color w:val="000000"/>
          <w:sz w:val="20"/>
        </w:rPr>
        <w:t xml:space="preserve">: </w:t>
      </w:r>
    </w:p>
    <w:p w:rsidR="008F1AEA" w:rsidRPr="00ED17EC" w:rsidRDefault="005C648E" w:rsidP="00075E48">
      <w:pPr>
        <w:pStyle w:val="ListParagraph"/>
        <w:numPr>
          <w:ilvl w:val="2"/>
          <w:numId w:val="7"/>
        </w:numPr>
        <w:tabs>
          <w:tab w:val="clear" w:pos="2694"/>
          <w:tab w:val="num" w:pos="2552"/>
        </w:tabs>
        <w:spacing w:before="120" w:after="120" w:line="271" w:lineRule="auto"/>
        <w:ind w:left="2268"/>
        <w:contextualSpacing w:val="0"/>
        <w:jc w:val="both"/>
        <w:rPr>
          <w:rFonts w:ascii="Arial" w:hAnsi="Arial" w:cs="Arial"/>
          <w:color w:val="000000"/>
          <w:sz w:val="20"/>
        </w:rPr>
      </w:pPr>
      <w:r w:rsidRPr="00ED17EC">
        <w:rPr>
          <w:rFonts w:ascii="Arial" w:hAnsi="Arial" w:cs="Arial"/>
          <w:color w:val="000000"/>
          <w:sz w:val="20"/>
        </w:rPr>
        <w:t>The footer in the d</w:t>
      </w:r>
      <w:r w:rsidR="008F1AEA" w:rsidRPr="00ED17EC">
        <w:rPr>
          <w:rFonts w:ascii="Arial" w:hAnsi="Arial" w:cs="Arial"/>
          <w:color w:val="000000"/>
          <w:sz w:val="20"/>
        </w:rPr>
        <w:t>ocument from page</w:t>
      </w:r>
      <w:r w:rsidRPr="00ED17EC">
        <w:rPr>
          <w:rFonts w:ascii="Arial" w:hAnsi="Arial" w:cs="Arial"/>
          <w:color w:val="000000"/>
          <w:sz w:val="20"/>
        </w:rPr>
        <w:t xml:space="preserve"> 75 (Section F)</w:t>
      </w:r>
      <w:r w:rsidR="005049C3" w:rsidRPr="00ED17EC">
        <w:rPr>
          <w:rFonts w:ascii="Arial" w:hAnsi="Arial" w:cs="Arial"/>
          <w:color w:val="000000"/>
          <w:sz w:val="20"/>
        </w:rPr>
        <w:t xml:space="preserve"> onwards</w:t>
      </w:r>
      <w:r w:rsidRPr="00ED17EC">
        <w:rPr>
          <w:rFonts w:ascii="Arial" w:hAnsi="Arial" w:cs="Arial"/>
          <w:color w:val="000000"/>
          <w:sz w:val="20"/>
        </w:rPr>
        <w:t xml:space="preserve">  is shown</w:t>
      </w:r>
      <w:r w:rsidR="008F1AEA" w:rsidRPr="00ED17EC">
        <w:rPr>
          <w:rFonts w:ascii="Arial" w:hAnsi="Arial" w:cs="Arial"/>
          <w:color w:val="000000"/>
          <w:sz w:val="20"/>
        </w:rPr>
        <w:t xml:space="preserve"> as a </w:t>
      </w:r>
      <w:r w:rsidRPr="00ED17EC">
        <w:rPr>
          <w:rFonts w:ascii="Arial" w:hAnsi="Arial" w:cs="Arial"/>
          <w:color w:val="000000"/>
          <w:sz w:val="20"/>
        </w:rPr>
        <w:t xml:space="preserve">“PCC </w:t>
      </w:r>
      <w:r w:rsidR="008F1AEA" w:rsidRPr="00ED17EC">
        <w:rPr>
          <w:rFonts w:ascii="Arial" w:hAnsi="Arial" w:cs="Arial"/>
          <w:color w:val="000000"/>
          <w:sz w:val="20"/>
        </w:rPr>
        <w:t xml:space="preserve">draft </w:t>
      </w:r>
      <w:r w:rsidRPr="00ED17EC">
        <w:rPr>
          <w:rFonts w:ascii="Arial" w:hAnsi="Arial" w:cs="Arial"/>
          <w:color w:val="000000"/>
          <w:sz w:val="20"/>
        </w:rPr>
        <w:t xml:space="preserve">- </w:t>
      </w:r>
      <w:r w:rsidR="008F1AEA" w:rsidRPr="00ED17EC">
        <w:rPr>
          <w:rFonts w:ascii="Arial" w:hAnsi="Arial" w:cs="Arial"/>
          <w:color w:val="000000"/>
          <w:sz w:val="20"/>
        </w:rPr>
        <w:t>May 2017</w:t>
      </w:r>
      <w:r w:rsidRPr="00ED17EC">
        <w:rPr>
          <w:rFonts w:ascii="Arial" w:hAnsi="Arial" w:cs="Arial"/>
          <w:color w:val="000000"/>
          <w:sz w:val="20"/>
        </w:rPr>
        <w:t>” and not as “Scheme of Corporate Governance”</w:t>
      </w:r>
      <w:r w:rsidR="00AD19A2" w:rsidRPr="00ED17EC">
        <w:rPr>
          <w:rFonts w:ascii="Arial" w:hAnsi="Arial" w:cs="Arial"/>
          <w:color w:val="000000"/>
          <w:sz w:val="20"/>
        </w:rPr>
        <w:t>;</w:t>
      </w:r>
    </w:p>
    <w:p w:rsidR="008F1AEA" w:rsidRPr="00ED17EC" w:rsidRDefault="005C648E" w:rsidP="00075E48">
      <w:pPr>
        <w:pStyle w:val="ListParagraph"/>
        <w:numPr>
          <w:ilvl w:val="2"/>
          <w:numId w:val="7"/>
        </w:numPr>
        <w:tabs>
          <w:tab w:val="clear" w:pos="2694"/>
          <w:tab w:val="num" w:pos="2552"/>
        </w:tabs>
        <w:spacing w:before="120" w:after="120" w:line="271" w:lineRule="auto"/>
        <w:ind w:left="2268"/>
        <w:contextualSpacing w:val="0"/>
        <w:jc w:val="both"/>
        <w:rPr>
          <w:rFonts w:ascii="Arial" w:hAnsi="Arial" w:cs="Arial"/>
          <w:color w:val="000000"/>
          <w:sz w:val="20"/>
        </w:rPr>
      </w:pPr>
      <w:r w:rsidRPr="00ED17EC">
        <w:rPr>
          <w:rFonts w:ascii="Arial" w:hAnsi="Arial" w:cs="Arial"/>
          <w:color w:val="000000"/>
          <w:sz w:val="20"/>
        </w:rPr>
        <w:t>The document is identified as version 11 but there is no v</w:t>
      </w:r>
      <w:r w:rsidR="008F1AEA" w:rsidRPr="00ED17EC">
        <w:rPr>
          <w:rFonts w:ascii="Arial" w:hAnsi="Arial" w:cs="Arial"/>
          <w:color w:val="000000"/>
          <w:sz w:val="20"/>
        </w:rPr>
        <w:t>ersion co</w:t>
      </w:r>
      <w:r w:rsidR="00F7689C" w:rsidRPr="00ED17EC">
        <w:rPr>
          <w:rFonts w:ascii="Arial" w:hAnsi="Arial" w:cs="Arial"/>
          <w:color w:val="000000"/>
          <w:sz w:val="20"/>
        </w:rPr>
        <w:t>ntrol with</w:t>
      </w:r>
      <w:r w:rsidRPr="00ED17EC">
        <w:rPr>
          <w:rFonts w:ascii="Arial" w:hAnsi="Arial" w:cs="Arial"/>
          <w:color w:val="000000"/>
          <w:sz w:val="20"/>
        </w:rPr>
        <w:t xml:space="preserve"> dates of revisions within the document</w:t>
      </w:r>
      <w:r w:rsidR="00AD19A2" w:rsidRPr="00ED17EC">
        <w:rPr>
          <w:rFonts w:ascii="Arial" w:hAnsi="Arial" w:cs="Arial"/>
          <w:color w:val="000000"/>
          <w:sz w:val="20"/>
        </w:rPr>
        <w:t>;</w:t>
      </w:r>
    </w:p>
    <w:p w:rsidR="008F1AEA" w:rsidRPr="00ED17EC" w:rsidRDefault="005C648E" w:rsidP="00075E48">
      <w:pPr>
        <w:pStyle w:val="ListParagraph"/>
        <w:numPr>
          <w:ilvl w:val="2"/>
          <w:numId w:val="7"/>
        </w:numPr>
        <w:tabs>
          <w:tab w:val="clear" w:pos="2694"/>
          <w:tab w:val="num" w:pos="2552"/>
        </w:tabs>
        <w:spacing w:before="120" w:after="120" w:line="271" w:lineRule="auto"/>
        <w:ind w:left="2268"/>
        <w:contextualSpacing w:val="0"/>
        <w:jc w:val="both"/>
        <w:rPr>
          <w:rFonts w:ascii="Arial" w:hAnsi="Arial" w:cs="Arial"/>
          <w:color w:val="000000"/>
          <w:sz w:val="20"/>
        </w:rPr>
      </w:pPr>
      <w:r w:rsidRPr="00ED17EC">
        <w:rPr>
          <w:rFonts w:ascii="Arial" w:hAnsi="Arial" w:cs="Arial"/>
          <w:color w:val="000000"/>
          <w:sz w:val="20"/>
        </w:rPr>
        <w:t>Section 1.5</w:t>
      </w:r>
      <w:r w:rsidR="00EF602B" w:rsidRPr="00ED17EC">
        <w:rPr>
          <w:rFonts w:ascii="Arial" w:hAnsi="Arial" w:cs="Arial"/>
          <w:color w:val="000000"/>
          <w:sz w:val="20"/>
        </w:rPr>
        <w:t>.</w:t>
      </w:r>
      <w:r w:rsidR="008F1AEA" w:rsidRPr="00ED17EC">
        <w:rPr>
          <w:rFonts w:ascii="Arial" w:hAnsi="Arial" w:cs="Arial"/>
          <w:color w:val="000000"/>
          <w:sz w:val="20"/>
        </w:rPr>
        <w:t xml:space="preserve"> Leadership </w:t>
      </w:r>
      <w:r w:rsidRPr="00ED17EC">
        <w:rPr>
          <w:rFonts w:ascii="Arial" w:hAnsi="Arial" w:cs="Arial"/>
          <w:color w:val="000000"/>
          <w:sz w:val="20"/>
        </w:rPr>
        <w:t xml:space="preserve">refers to the Corporate Governance Group.  This </w:t>
      </w:r>
      <w:r w:rsidR="008F1AEA" w:rsidRPr="00ED17EC">
        <w:rPr>
          <w:rFonts w:ascii="Arial" w:hAnsi="Arial" w:cs="Arial"/>
          <w:color w:val="000000"/>
          <w:sz w:val="20"/>
        </w:rPr>
        <w:t>requires amending to reflect that the Corporate Governance Group will only meet when required to do</w:t>
      </w:r>
      <w:r w:rsidRPr="00ED17EC">
        <w:rPr>
          <w:rFonts w:ascii="Arial" w:hAnsi="Arial" w:cs="Arial"/>
          <w:color w:val="000000"/>
          <w:sz w:val="20"/>
        </w:rPr>
        <w:t xml:space="preserve"> so and not annually, although the role of the Management Board could replace the Corporate Governance Group.</w:t>
      </w:r>
    </w:p>
    <w:p w:rsidR="008F1AEA" w:rsidRPr="00ED17EC" w:rsidRDefault="005C648E" w:rsidP="00075E48">
      <w:pPr>
        <w:pStyle w:val="ListParagraph"/>
        <w:numPr>
          <w:ilvl w:val="2"/>
          <w:numId w:val="7"/>
        </w:numPr>
        <w:tabs>
          <w:tab w:val="clear" w:pos="2694"/>
          <w:tab w:val="num" w:pos="2552"/>
        </w:tabs>
        <w:spacing w:before="120" w:after="120" w:line="271" w:lineRule="auto"/>
        <w:ind w:left="2268"/>
        <w:contextualSpacing w:val="0"/>
        <w:jc w:val="both"/>
        <w:rPr>
          <w:rFonts w:ascii="Arial" w:hAnsi="Arial" w:cs="Arial"/>
          <w:color w:val="000000"/>
          <w:sz w:val="20"/>
        </w:rPr>
      </w:pPr>
      <w:r w:rsidRPr="00ED17EC">
        <w:rPr>
          <w:rFonts w:ascii="Arial" w:hAnsi="Arial" w:cs="Arial"/>
          <w:color w:val="000000"/>
          <w:sz w:val="20"/>
        </w:rPr>
        <w:t>Section 2</w:t>
      </w:r>
      <w:r w:rsidR="00EF602B" w:rsidRPr="00ED17EC">
        <w:rPr>
          <w:rFonts w:ascii="Arial" w:hAnsi="Arial" w:cs="Arial"/>
          <w:color w:val="000000"/>
          <w:sz w:val="20"/>
        </w:rPr>
        <w:t>.</w:t>
      </w:r>
      <w:r w:rsidRPr="00ED17EC">
        <w:rPr>
          <w:rFonts w:ascii="Arial" w:hAnsi="Arial" w:cs="Arial"/>
          <w:color w:val="000000"/>
          <w:sz w:val="20"/>
        </w:rPr>
        <w:t xml:space="preserve"> </w:t>
      </w:r>
      <w:r w:rsidR="008F1AEA" w:rsidRPr="00ED17EC">
        <w:rPr>
          <w:rFonts w:ascii="Arial" w:hAnsi="Arial" w:cs="Arial"/>
          <w:color w:val="000000"/>
          <w:sz w:val="20"/>
        </w:rPr>
        <w:t xml:space="preserve">Code of Corporate </w:t>
      </w:r>
      <w:r w:rsidR="00ED17EC" w:rsidRPr="00ED17EC">
        <w:rPr>
          <w:rFonts w:ascii="Arial" w:hAnsi="Arial" w:cs="Arial"/>
          <w:color w:val="000000"/>
          <w:sz w:val="20"/>
        </w:rPr>
        <w:t>Governance 2.3</w:t>
      </w:r>
      <w:r w:rsidR="008F1AEA" w:rsidRPr="00ED17EC">
        <w:rPr>
          <w:rFonts w:ascii="Arial" w:hAnsi="Arial" w:cs="Arial"/>
          <w:color w:val="000000"/>
          <w:sz w:val="20"/>
        </w:rPr>
        <w:t xml:space="preserve"> </w:t>
      </w:r>
      <w:r w:rsidRPr="00ED17EC">
        <w:rPr>
          <w:rFonts w:ascii="Arial" w:hAnsi="Arial" w:cs="Arial"/>
          <w:color w:val="000000"/>
          <w:sz w:val="20"/>
        </w:rPr>
        <w:t>States that a</w:t>
      </w:r>
      <w:r w:rsidR="008F1AEA" w:rsidRPr="00ED17EC">
        <w:rPr>
          <w:rFonts w:ascii="Arial" w:hAnsi="Arial" w:cs="Arial"/>
          <w:color w:val="000000"/>
          <w:sz w:val="20"/>
        </w:rPr>
        <w:t xml:space="preserve"> Commissioning Strategy is being developed</w:t>
      </w:r>
      <w:r w:rsidRPr="00ED17EC">
        <w:rPr>
          <w:rFonts w:ascii="Arial" w:hAnsi="Arial" w:cs="Arial"/>
          <w:color w:val="000000"/>
          <w:sz w:val="20"/>
        </w:rPr>
        <w:t xml:space="preserve">. </w:t>
      </w:r>
      <w:r w:rsidR="00F7689C" w:rsidRPr="00ED17EC">
        <w:rPr>
          <w:rFonts w:ascii="Arial" w:hAnsi="Arial" w:cs="Arial"/>
          <w:color w:val="000000"/>
          <w:sz w:val="20"/>
        </w:rPr>
        <w:t>Following discussions with the Chief Finance Officer this</w:t>
      </w:r>
      <w:r w:rsidRPr="00ED17EC">
        <w:rPr>
          <w:rFonts w:ascii="Arial" w:hAnsi="Arial" w:cs="Arial"/>
          <w:color w:val="000000"/>
          <w:sz w:val="20"/>
        </w:rPr>
        <w:t xml:space="preserve"> should be </w:t>
      </w:r>
      <w:r w:rsidR="008F1AEA" w:rsidRPr="00ED17EC">
        <w:rPr>
          <w:rFonts w:ascii="Arial" w:hAnsi="Arial" w:cs="Arial"/>
          <w:color w:val="000000"/>
          <w:sz w:val="20"/>
        </w:rPr>
        <w:t xml:space="preserve">available by the end of December 2017. </w:t>
      </w:r>
    </w:p>
    <w:p w:rsidR="008F1AEA" w:rsidRPr="00ED17EC" w:rsidRDefault="005C648E" w:rsidP="00ED17EC">
      <w:pPr>
        <w:pStyle w:val="ListParagraph"/>
        <w:numPr>
          <w:ilvl w:val="2"/>
          <w:numId w:val="7"/>
        </w:numPr>
        <w:tabs>
          <w:tab w:val="clear" w:pos="2694"/>
          <w:tab w:val="num" w:pos="2552"/>
        </w:tabs>
        <w:spacing w:before="120" w:after="120" w:line="271" w:lineRule="auto"/>
        <w:ind w:left="2268"/>
        <w:contextualSpacing w:val="0"/>
        <w:jc w:val="both"/>
        <w:rPr>
          <w:rFonts w:ascii="Arial" w:hAnsi="Arial" w:cs="Arial"/>
          <w:color w:val="000000"/>
          <w:sz w:val="20"/>
        </w:rPr>
      </w:pPr>
      <w:r w:rsidRPr="00ED17EC">
        <w:rPr>
          <w:rFonts w:ascii="Arial" w:hAnsi="Arial" w:cs="Arial"/>
          <w:color w:val="000000"/>
          <w:sz w:val="20"/>
        </w:rPr>
        <w:t xml:space="preserve">Section 3. Scheme of Corporate </w:t>
      </w:r>
      <w:r w:rsidR="00ED17EC" w:rsidRPr="00ED17EC">
        <w:rPr>
          <w:rFonts w:ascii="Arial" w:hAnsi="Arial" w:cs="Arial"/>
          <w:color w:val="000000"/>
          <w:sz w:val="20"/>
        </w:rPr>
        <w:t>Governance 3.7.4</w:t>
      </w:r>
      <w:r w:rsidR="00EF602B" w:rsidRPr="00ED17EC">
        <w:rPr>
          <w:rFonts w:ascii="Arial" w:hAnsi="Arial" w:cs="Arial"/>
          <w:color w:val="000000"/>
          <w:sz w:val="20"/>
        </w:rPr>
        <w:t xml:space="preserve"> States that a</w:t>
      </w:r>
      <w:r w:rsidR="008F1AEA" w:rsidRPr="00ED17EC">
        <w:rPr>
          <w:rFonts w:ascii="Arial" w:hAnsi="Arial" w:cs="Arial"/>
          <w:color w:val="000000"/>
          <w:sz w:val="20"/>
        </w:rPr>
        <w:t xml:space="preserve"> scheme of delegation is to be reported annually to the Joint Audit Committee</w:t>
      </w:r>
      <w:r w:rsidR="00EF602B" w:rsidRPr="00ED17EC">
        <w:rPr>
          <w:rFonts w:ascii="Arial" w:hAnsi="Arial" w:cs="Arial"/>
          <w:color w:val="000000"/>
          <w:sz w:val="20"/>
        </w:rPr>
        <w:t>. It was confirmed that this is done at either the</w:t>
      </w:r>
      <w:r w:rsidR="008F1AEA" w:rsidRPr="00ED17EC">
        <w:rPr>
          <w:rFonts w:ascii="Arial" w:hAnsi="Arial" w:cs="Arial"/>
          <w:color w:val="000000"/>
          <w:sz w:val="20"/>
        </w:rPr>
        <w:t xml:space="preserve"> March </w:t>
      </w:r>
      <w:r w:rsidR="00EF602B" w:rsidRPr="00ED17EC">
        <w:rPr>
          <w:rFonts w:ascii="Arial" w:hAnsi="Arial" w:cs="Arial"/>
          <w:color w:val="000000"/>
          <w:sz w:val="20"/>
        </w:rPr>
        <w:t>or</w:t>
      </w:r>
      <w:r w:rsidR="008F1AEA" w:rsidRPr="00ED17EC">
        <w:rPr>
          <w:rFonts w:ascii="Arial" w:hAnsi="Arial" w:cs="Arial"/>
          <w:color w:val="000000"/>
          <w:sz w:val="20"/>
        </w:rPr>
        <w:t xml:space="preserve"> June A</w:t>
      </w:r>
      <w:r w:rsidR="00EF602B" w:rsidRPr="00ED17EC">
        <w:rPr>
          <w:rFonts w:ascii="Arial" w:hAnsi="Arial" w:cs="Arial"/>
          <w:color w:val="000000"/>
          <w:sz w:val="20"/>
        </w:rPr>
        <w:t xml:space="preserve">udit </w:t>
      </w:r>
      <w:r w:rsidR="008F1AEA" w:rsidRPr="00ED17EC">
        <w:rPr>
          <w:rFonts w:ascii="Arial" w:hAnsi="Arial" w:cs="Arial"/>
          <w:color w:val="000000"/>
          <w:sz w:val="20"/>
        </w:rPr>
        <w:t>C</w:t>
      </w:r>
      <w:r w:rsidR="00EF602B" w:rsidRPr="00ED17EC">
        <w:rPr>
          <w:rFonts w:ascii="Arial" w:hAnsi="Arial" w:cs="Arial"/>
          <w:color w:val="000000"/>
          <w:sz w:val="20"/>
        </w:rPr>
        <w:t>ommittee</w:t>
      </w:r>
      <w:r w:rsidR="008F1AEA" w:rsidRPr="00ED17EC">
        <w:rPr>
          <w:rFonts w:ascii="Arial" w:hAnsi="Arial" w:cs="Arial"/>
          <w:color w:val="000000"/>
          <w:sz w:val="20"/>
        </w:rPr>
        <w:t xml:space="preserve"> each year.  </w:t>
      </w:r>
    </w:p>
    <w:p w:rsidR="008F1AEA" w:rsidRPr="00ED17EC" w:rsidRDefault="00EF602B" w:rsidP="00ED17EC">
      <w:pPr>
        <w:pStyle w:val="ListParagraph"/>
        <w:numPr>
          <w:ilvl w:val="2"/>
          <w:numId w:val="7"/>
        </w:numPr>
        <w:tabs>
          <w:tab w:val="clear" w:pos="2694"/>
          <w:tab w:val="num" w:pos="2552"/>
        </w:tabs>
        <w:spacing w:before="120" w:after="120" w:line="271" w:lineRule="auto"/>
        <w:ind w:left="2268"/>
        <w:contextualSpacing w:val="0"/>
        <w:jc w:val="both"/>
        <w:rPr>
          <w:rFonts w:ascii="Arial" w:hAnsi="Arial" w:cs="Arial"/>
          <w:color w:val="000000"/>
          <w:sz w:val="20"/>
        </w:rPr>
      </w:pPr>
      <w:r w:rsidRPr="00ED17EC">
        <w:rPr>
          <w:rFonts w:ascii="Arial" w:hAnsi="Arial" w:cs="Arial"/>
          <w:color w:val="000000"/>
          <w:sz w:val="20"/>
        </w:rPr>
        <w:t xml:space="preserve">Section C. </w:t>
      </w:r>
      <w:r w:rsidR="008F1AEA" w:rsidRPr="00ED17EC">
        <w:rPr>
          <w:rFonts w:ascii="Arial" w:hAnsi="Arial" w:cs="Arial"/>
          <w:color w:val="000000"/>
          <w:sz w:val="20"/>
        </w:rPr>
        <w:t xml:space="preserve">Management of Risk and </w:t>
      </w:r>
      <w:r w:rsidR="00ED17EC" w:rsidRPr="00ED17EC">
        <w:rPr>
          <w:rFonts w:ascii="Arial" w:hAnsi="Arial" w:cs="Arial"/>
          <w:color w:val="000000"/>
          <w:sz w:val="20"/>
        </w:rPr>
        <w:t>Resources External</w:t>
      </w:r>
      <w:r w:rsidR="008F1AEA" w:rsidRPr="00ED17EC">
        <w:rPr>
          <w:rFonts w:ascii="Arial" w:hAnsi="Arial" w:cs="Arial"/>
          <w:color w:val="000000"/>
          <w:sz w:val="20"/>
        </w:rPr>
        <w:t xml:space="preserve"> Audit C3.17</w:t>
      </w:r>
      <w:r w:rsidRPr="00ED17EC">
        <w:rPr>
          <w:rFonts w:ascii="Arial" w:hAnsi="Arial" w:cs="Arial"/>
          <w:color w:val="000000"/>
          <w:sz w:val="20"/>
        </w:rPr>
        <w:t>/18</w:t>
      </w:r>
      <w:r w:rsidR="008F1AEA" w:rsidRPr="00ED17EC">
        <w:rPr>
          <w:rFonts w:ascii="Arial" w:hAnsi="Arial" w:cs="Arial"/>
          <w:color w:val="000000"/>
          <w:sz w:val="20"/>
        </w:rPr>
        <w:t xml:space="preserve">.  </w:t>
      </w:r>
      <w:r w:rsidRPr="00ED17EC">
        <w:rPr>
          <w:rFonts w:ascii="Arial" w:hAnsi="Arial" w:cs="Arial"/>
          <w:color w:val="000000"/>
          <w:sz w:val="20"/>
        </w:rPr>
        <w:t>This n</w:t>
      </w:r>
      <w:r w:rsidR="008F1AEA" w:rsidRPr="00ED17EC">
        <w:rPr>
          <w:rFonts w:ascii="Arial" w:hAnsi="Arial" w:cs="Arial"/>
          <w:color w:val="000000"/>
          <w:sz w:val="20"/>
        </w:rPr>
        <w:t>eeds updating to reflect current arrangements of PSAA in awarding external aud</w:t>
      </w:r>
      <w:r w:rsidRPr="00ED17EC">
        <w:rPr>
          <w:rFonts w:ascii="Arial" w:hAnsi="Arial" w:cs="Arial"/>
          <w:color w:val="000000"/>
          <w:sz w:val="20"/>
        </w:rPr>
        <w:t>it contracts.</w:t>
      </w:r>
    </w:p>
    <w:p w:rsidR="006567D7" w:rsidRPr="00ED17EC" w:rsidRDefault="00EF602B" w:rsidP="00ED17EC">
      <w:pPr>
        <w:pStyle w:val="ListParagraph"/>
        <w:numPr>
          <w:ilvl w:val="2"/>
          <w:numId w:val="7"/>
        </w:numPr>
        <w:tabs>
          <w:tab w:val="clear" w:pos="2694"/>
          <w:tab w:val="num" w:pos="2552"/>
        </w:tabs>
        <w:spacing w:before="120" w:after="120" w:line="271" w:lineRule="auto"/>
        <w:ind w:left="2268"/>
        <w:contextualSpacing w:val="0"/>
        <w:jc w:val="both"/>
        <w:rPr>
          <w:rFonts w:ascii="Arial" w:hAnsi="Arial" w:cs="Arial"/>
          <w:color w:val="000000"/>
          <w:sz w:val="20"/>
        </w:rPr>
      </w:pPr>
      <w:r w:rsidRPr="00ED17EC">
        <w:rPr>
          <w:rFonts w:ascii="Arial" w:hAnsi="Arial" w:cs="Arial"/>
          <w:color w:val="000000"/>
          <w:sz w:val="20"/>
        </w:rPr>
        <w:t>Section C. Management of Risk and Resources Preventing Fraud and Corruption C</w:t>
      </w:r>
      <w:r w:rsidR="008F1AEA" w:rsidRPr="00ED17EC">
        <w:rPr>
          <w:rFonts w:ascii="Arial" w:hAnsi="Arial" w:cs="Arial"/>
          <w:color w:val="000000"/>
          <w:sz w:val="20"/>
        </w:rPr>
        <w:t>4.5</w:t>
      </w:r>
      <w:r w:rsidR="00AD19A2" w:rsidRPr="00ED17EC">
        <w:rPr>
          <w:rFonts w:ascii="Arial" w:hAnsi="Arial" w:cs="Arial"/>
          <w:color w:val="000000"/>
          <w:sz w:val="20"/>
        </w:rPr>
        <w:t>.</w:t>
      </w:r>
      <w:r w:rsidR="008F1AEA" w:rsidRPr="00ED17EC">
        <w:rPr>
          <w:rFonts w:ascii="Arial" w:hAnsi="Arial" w:cs="Arial"/>
          <w:color w:val="000000"/>
          <w:sz w:val="20"/>
        </w:rPr>
        <w:t xml:space="preserve"> There is no longer a Fraud Response Pl</w:t>
      </w:r>
      <w:r w:rsidRPr="00ED17EC">
        <w:rPr>
          <w:rFonts w:ascii="Arial" w:hAnsi="Arial" w:cs="Arial"/>
          <w:color w:val="000000"/>
          <w:sz w:val="20"/>
        </w:rPr>
        <w:t>an</w:t>
      </w:r>
      <w:r w:rsidR="008F1AEA" w:rsidRPr="00ED17EC">
        <w:rPr>
          <w:rFonts w:ascii="Arial" w:hAnsi="Arial" w:cs="Arial"/>
          <w:color w:val="000000"/>
          <w:sz w:val="20"/>
        </w:rPr>
        <w:t>. Page 103</w:t>
      </w:r>
      <w:r w:rsidR="00F7689C" w:rsidRPr="00ED17EC">
        <w:rPr>
          <w:rFonts w:ascii="Arial" w:hAnsi="Arial" w:cs="Arial"/>
          <w:color w:val="000000"/>
          <w:sz w:val="20"/>
        </w:rPr>
        <w:t xml:space="preserve"> onwards</w:t>
      </w:r>
      <w:r w:rsidR="00AD19A2" w:rsidRPr="00ED17EC">
        <w:rPr>
          <w:rFonts w:ascii="Arial" w:hAnsi="Arial" w:cs="Arial"/>
          <w:color w:val="000000"/>
          <w:sz w:val="20"/>
        </w:rPr>
        <w:t>, the</w:t>
      </w:r>
      <w:r w:rsidR="008F1AEA" w:rsidRPr="00ED17EC">
        <w:rPr>
          <w:rFonts w:ascii="Arial" w:hAnsi="Arial" w:cs="Arial"/>
          <w:color w:val="000000"/>
          <w:sz w:val="20"/>
        </w:rPr>
        <w:t xml:space="preserve"> </w:t>
      </w:r>
      <w:r w:rsidR="00AD19A2" w:rsidRPr="00ED17EC">
        <w:rPr>
          <w:rFonts w:ascii="Arial" w:hAnsi="Arial" w:cs="Arial"/>
          <w:color w:val="000000"/>
          <w:sz w:val="20"/>
        </w:rPr>
        <w:t>Anti-Fraud</w:t>
      </w:r>
      <w:r w:rsidR="008F1AEA" w:rsidRPr="00ED17EC">
        <w:rPr>
          <w:rFonts w:ascii="Arial" w:hAnsi="Arial" w:cs="Arial"/>
          <w:color w:val="000000"/>
          <w:sz w:val="20"/>
        </w:rPr>
        <w:t xml:space="preserve"> and Corruption Strategy needs updating in the Corporate Governance Framework</w:t>
      </w:r>
      <w:r w:rsidR="00F7689C" w:rsidRPr="00ED17EC">
        <w:rPr>
          <w:rFonts w:ascii="Arial" w:hAnsi="Arial" w:cs="Arial"/>
          <w:color w:val="000000"/>
          <w:sz w:val="20"/>
        </w:rPr>
        <w:t xml:space="preserve"> to reflect the current document</w:t>
      </w:r>
      <w:r w:rsidRPr="00ED17EC">
        <w:rPr>
          <w:rFonts w:ascii="Arial" w:hAnsi="Arial" w:cs="Arial"/>
          <w:color w:val="000000"/>
          <w:sz w:val="20"/>
        </w:rPr>
        <w:t>.</w:t>
      </w:r>
    </w:p>
    <w:p w:rsidR="008F1AEA" w:rsidRPr="00ED17EC" w:rsidRDefault="00AD19A2" w:rsidP="00FC58A1">
      <w:pPr>
        <w:pStyle w:val="ListParagraph"/>
        <w:numPr>
          <w:ilvl w:val="1"/>
          <w:numId w:val="3"/>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 xml:space="preserve">Whilst </w:t>
      </w:r>
      <w:r w:rsidR="008F1AEA" w:rsidRPr="00ED17EC">
        <w:rPr>
          <w:rFonts w:ascii="Arial" w:hAnsi="Arial" w:cs="Arial"/>
          <w:color w:val="000000"/>
          <w:sz w:val="20"/>
        </w:rPr>
        <w:t>the</w:t>
      </w:r>
      <w:r w:rsidR="009C7E12">
        <w:rPr>
          <w:rFonts w:ascii="Arial" w:hAnsi="Arial" w:cs="Arial"/>
          <w:color w:val="000000"/>
          <w:sz w:val="20"/>
        </w:rPr>
        <w:t xml:space="preserve"> Joint</w:t>
      </w:r>
      <w:r w:rsidR="008F1AEA" w:rsidRPr="00ED17EC">
        <w:rPr>
          <w:rFonts w:ascii="Arial" w:hAnsi="Arial" w:cs="Arial"/>
          <w:color w:val="000000"/>
          <w:sz w:val="20"/>
        </w:rPr>
        <w:t xml:space="preserve"> Corporate Governance Framework is a comprehensive document</w:t>
      </w:r>
      <w:r w:rsidRPr="00ED17EC">
        <w:rPr>
          <w:rFonts w:ascii="Arial" w:hAnsi="Arial" w:cs="Arial"/>
          <w:color w:val="000000"/>
          <w:sz w:val="20"/>
        </w:rPr>
        <w:t>,</w:t>
      </w:r>
      <w:r w:rsidR="008F1AEA" w:rsidRPr="00ED17EC">
        <w:rPr>
          <w:rFonts w:ascii="Arial" w:hAnsi="Arial" w:cs="Arial"/>
          <w:color w:val="000000"/>
          <w:sz w:val="20"/>
        </w:rPr>
        <w:t xml:space="preserve"> it does require at least an annual review to confirm all sections are relevant and have current data within.  Annually</w:t>
      </w:r>
      <w:r w:rsidRPr="00ED17EC">
        <w:rPr>
          <w:rFonts w:ascii="Arial" w:hAnsi="Arial" w:cs="Arial"/>
          <w:color w:val="000000"/>
          <w:sz w:val="20"/>
        </w:rPr>
        <w:t>,</w:t>
      </w:r>
      <w:r w:rsidR="008F1AEA" w:rsidRPr="00ED17EC">
        <w:rPr>
          <w:rFonts w:ascii="Arial" w:hAnsi="Arial" w:cs="Arial"/>
          <w:color w:val="000000"/>
          <w:sz w:val="20"/>
        </w:rPr>
        <w:t xml:space="preserve"> a repo</w:t>
      </w:r>
      <w:r w:rsidR="00F7689C" w:rsidRPr="00ED17EC">
        <w:rPr>
          <w:rFonts w:ascii="Arial" w:hAnsi="Arial" w:cs="Arial"/>
          <w:color w:val="000000"/>
          <w:sz w:val="20"/>
        </w:rPr>
        <w:t>rt should go to the Management B</w:t>
      </w:r>
      <w:r w:rsidR="008F1AEA" w:rsidRPr="00ED17EC">
        <w:rPr>
          <w:rFonts w:ascii="Arial" w:hAnsi="Arial" w:cs="Arial"/>
          <w:color w:val="000000"/>
          <w:sz w:val="20"/>
        </w:rPr>
        <w:t>oard and then to the Audit Committee to either identify changes m</w:t>
      </w:r>
      <w:r w:rsidR="00EF602B" w:rsidRPr="00ED17EC">
        <w:rPr>
          <w:rFonts w:ascii="Arial" w:hAnsi="Arial" w:cs="Arial"/>
          <w:color w:val="000000"/>
          <w:sz w:val="20"/>
        </w:rPr>
        <w:t>ade or to confi</w:t>
      </w:r>
      <w:r w:rsidR="008F1AEA" w:rsidRPr="00ED17EC">
        <w:rPr>
          <w:rFonts w:ascii="Arial" w:hAnsi="Arial" w:cs="Arial"/>
          <w:color w:val="000000"/>
          <w:sz w:val="20"/>
        </w:rPr>
        <w:t xml:space="preserve">rm the </w:t>
      </w:r>
      <w:r w:rsidR="009C7E12">
        <w:rPr>
          <w:rFonts w:ascii="Arial" w:hAnsi="Arial" w:cs="Arial"/>
          <w:color w:val="000000"/>
          <w:sz w:val="20"/>
        </w:rPr>
        <w:t xml:space="preserve">Joint </w:t>
      </w:r>
      <w:r w:rsidR="008F1AEA" w:rsidRPr="00ED17EC">
        <w:rPr>
          <w:rFonts w:ascii="Arial" w:hAnsi="Arial" w:cs="Arial"/>
          <w:color w:val="000000"/>
          <w:sz w:val="20"/>
        </w:rPr>
        <w:t xml:space="preserve">Corporate Governance Framework document is still current. As identified in this report there are many sections of the </w:t>
      </w:r>
      <w:r w:rsidR="009C7E12">
        <w:rPr>
          <w:rFonts w:ascii="Arial" w:hAnsi="Arial" w:cs="Arial"/>
          <w:color w:val="000000"/>
          <w:sz w:val="20"/>
        </w:rPr>
        <w:t xml:space="preserve">Joint </w:t>
      </w:r>
      <w:r w:rsidR="008F1AEA" w:rsidRPr="00ED17EC">
        <w:rPr>
          <w:rFonts w:ascii="Arial" w:hAnsi="Arial" w:cs="Arial"/>
          <w:color w:val="000000"/>
          <w:sz w:val="20"/>
        </w:rPr>
        <w:t>Corporate Governance Framework that are out of date and need updating/reviewing.  This should be done at an early time and reported to the Management Board and then to the Audit Committee.</w:t>
      </w:r>
      <w:r w:rsidR="00F077E2" w:rsidRPr="00ED17EC">
        <w:rPr>
          <w:rFonts w:ascii="Arial" w:hAnsi="Arial" w:cs="Arial"/>
          <w:color w:val="000000"/>
          <w:sz w:val="20"/>
        </w:rPr>
        <w:t xml:space="preserve"> In addition, version control needs to be incorporated within the document.</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8F1AEA" w:rsidTr="00C032CC">
        <w:trPr>
          <w:jc w:val="right"/>
        </w:trPr>
        <w:tc>
          <w:tcPr>
            <w:tcW w:w="10772" w:type="dxa"/>
            <w:shd w:val="clear" w:color="auto" w:fill="163D82"/>
          </w:tcPr>
          <w:p w:rsidR="008F1AEA" w:rsidRPr="006710B3" w:rsidRDefault="008F1AEA" w:rsidP="00C032CC">
            <w:pPr>
              <w:spacing w:before="60" w:after="60" w:line="271" w:lineRule="auto"/>
              <w:rPr>
                <w:rFonts w:ascii="Arial" w:hAnsi="Arial" w:cs="Arial"/>
                <w:b/>
                <w:color w:val="FFFFFF"/>
                <w:sz w:val="20"/>
              </w:rPr>
            </w:pPr>
            <w:r>
              <w:rPr>
                <w:rFonts w:ascii="Arial" w:hAnsi="Arial" w:cs="Arial"/>
                <w:b/>
                <w:color w:val="FFFFFF"/>
                <w:sz w:val="20"/>
              </w:rPr>
              <w:t>Recommendation: 1</w:t>
            </w:r>
          </w:p>
        </w:tc>
        <w:tc>
          <w:tcPr>
            <w:tcW w:w="2948" w:type="dxa"/>
            <w:shd w:val="clear" w:color="auto" w:fill="E5730F"/>
          </w:tcPr>
          <w:p w:rsidR="008F1AEA" w:rsidRPr="006710B3" w:rsidRDefault="008F1AEA" w:rsidP="00C032CC">
            <w:pPr>
              <w:spacing w:before="60" w:after="60" w:line="271" w:lineRule="auto"/>
              <w:rPr>
                <w:rFonts w:ascii="Arial" w:hAnsi="Arial" w:cs="Arial"/>
                <w:b/>
                <w:color w:val="FFFFFF"/>
                <w:sz w:val="20"/>
              </w:rPr>
            </w:pPr>
            <w:r>
              <w:rPr>
                <w:rFonts w:ascii="Arial" w:hAnsi="Arial" w:cs="Arial"/>
                <w:b/>
                <w:color w:val="FFFFFF"/>
                <w:sz w:val="20"/>
              </w:rPr>
              <w:t>Priority: 2</w:t>
            </w:r>
          </w:p>
        </w:tc>
      </w:tr>
      <w:tr w:rsidR="008F1AEA" w:rsidTr="00C032CC">
        <w:trPr>
          <w:jc w:val="right"/>
        </w:trPr>
        <w:tc>
          <w:tcPr>
            <w:tcW w:w="13720" w:type="dxa"/>
            <w:gridSpan w:val="2"/>
            <w:shd w:val="clear" w:color="auto" w:fill="F2F2F2"/>
          </w:tcPr>
          <w:p w:rsidR="008F1AEA" w:rsidRPr="006710B3" w:rsidRDefault="00AD19A2" w:rsidP="00C032CC">
            <w:pPr>
              <w:spacing w:before="60" w:after="60" w:line="271" w:lineRule="auto"/>
              <w:jc w:val="both"/>
              <w:rPr>
                <w:rFonts w:ascii="Arial" w:hAnsi="Arial" w:cs="Arial"/>
                <w:b/>
                <w:color w:val="000000"/>
                <w:sz w:val="20"/>
              </w:rPr>
            </w:pPr>
            <w:r>
              <w:rPr>
                <w:rFonts w:ascii="Arial" w:hAnsi="Arial" w:cs="Arial"/>
                <w:b/>
                <w:color w:val="000000"/>
                <w:sz w:val="20"/>
              </w:rPr>
              <w:t>T</w:t>
            </w:r>
            <w:r w:rsidR="008F1AEA" w:rsidRPr="008F1AEA">
              <w:rPr>
                <w:rFonts w:ascii="Arial" w:hAnsi="Arial" w:cs="Arial"/>
                <w:b/>
                <w:color w:val="000000"/>
                <w:sz w:val="20"/>
              </w:rPr>
              <w:t xml:space="preserve">he </w:t>
            </w:r>
            <w:r w:rsidR="009C7E12">
              <w:rPr>
                <w:rFonts w:ascii="Arial" w:hAnsi="Arial" w:cs="Arial"/>
                <w:b/>
                <w:color w:val="000000"/>
                <w:sz w:val="20"/>
              </w:rPr>
              <w:t>Joint Corporate Governance Framework</w:t>
            </w:r>
            <w:r w:rsidR="00EF602B">
              <w:rPr>
                <w:rFonts w:ascii="Arial" w:hAnsi="Arial" w:cs="Arial"/>
                <w:b/>
                <w:color w:val="000000"/>
                <w:sz w:val="20"/>
              </w:rPr>
              <w:t xml:space="preserve"> </w:t>
            </w:r>
            <w:r>
              <w:rPr>
                <w:rFonts w:ascii="Arial" w:hAnsi="Arial" w:cs="Arial"/>
                <w:b/>
                <w:color w:val="000000"/>
                <w:sz w:val="20"/>
              </w:rPr>
              <w:t xml:space="preserve">be updated </w:t>
            </w:r>
            <w:r w:rsidR="00EF602B">
              <w:rPr>
                <w:rFonts w:ascii="Arial" w:hAnsi="Arial" w:cs="Arial"/>
                <w:b/>
                <w:color w:val="000000"/>
                <w:sz w:val="20"/>
              </w:rPr>
              <w:t xml:space="preserve">to reflect current practices and changes to the </w:t>
            </w:r>
            <w:r w:rsidR="00EF602B" w:rsidRPr="00F077E2">
              <w:rPr>
                <w:rFonts w:ascii="Arial" w:hAnsi="Arial" w:cs="Arial"/>
                <w:b/>
                <w:color w:val="000000"/>
                <w:sz w:val="20"/>
              </w:rPr>
              <w:t>Framework</w:t>
            </w:r>
            <w:r w:rsidR="00F077E2" w:rsidRPr="00093322">
              <w:rPr>
                <w:rFonts w:ascii="Arial" w:hAnsi="Arial" w:cs="Arial"/>
                <w:b/>
                <w:color w:val="000000"/>
                <w:sz w:val="20"/>
              </w:rPr>
              <w:t xml:space="preserve"> and to incorporate version control within the document.</w:t>
            </w:r>
          </w:p>
        </w:tc>
      </w:tr>
      <w:tr w:rsidR="00A17678" w:rsidRPr="00A17678" w:rsidTr="00ED17EC">
        <w:trPr>
          <w:jc w:val="right"/>
        </w:trPr>
        <w:tc>
          <w:tcPr>
            <w:tcW w:w="10772" w:type="dxa"/>
            <w:shd w:val="clear" w:color="auto" w:fill="163D82"/>
          </w:tcPr>
          <w:p w:rsidR="00A17678" w:rsidRPr="00A17678" w:rsidRDefault="00A17678" w:rsidP="00A17678">
            <w:pPr>
              <w:spacing w:before="60" w:after="60" w:line="271" w:lineRule="auto"/>
              <w:rPr>
                <w:rFonts w:ascii="Arial" w:hAnsi="Arial" w:cs="Arial"/>
                <w:b/>
                <w:color w:val="FFFFFF"/>
                <w:sz w:val="20"/>
              </w:rPr>
            </w:pPr>
            <w:r w:rsidRPr="00A17678">
              <w:rPr>
                <w:rFonts w:ascii="Arial" w:hAnsi="Arial" w:cs="Arial"/>
                <w:b/>
                <w:color w:val="FFFFFF"/>
                <w:sz w:val="20"/>
              </w:rPr>
              <w:t>Recommendation: 2</w:t>
            </w:r>
          </w:p>
        </w:tc>
        <w:tc>
          <w:tcPr>
            <w:tcW w:w="2948" w:type="dxa"/>
            <w:shd w:val="clear" w:color="auto" w:fill="E5730F"/>
          </w:tcPr>
          <w:p w:rsidR="00A17678" w:rsidRPr="00A17678" w:rsidRDefault="00ED17EC" w:rsidP="00A17678">
            <w:pPr>
              <w:spacing w:before="60" w:after="60" w:line="271" w:lineRule="auto"/>
              <w:rPr>
                <w:rFonts w:ascii="Arial" w:hAnsi="Arial" w:cs="Arial"/>
                <w:b/>
                <w:color w:val="FFFFFF"/>
                <w:sz w:val="20"/>
              </w:rPr>
            </w:pPr>
            <w:r>
              <w:rPr>
                <w:rFonts w:ascii="Arial" w:hAnsi="Arial" w:cs="Arial"/>
                <w:b/>
                <w:color w:val="FFFFFF"/>
                <w:sz w:val="20"/>
              </w:rPr>
              <w:t>Priority: 2</w:t>
            </w:r>
          </w:p>
        </w:tc>
      </w:tr>
      <w:tr w:rsidR="00A17678" w:rsidRPr="00A17678" w:rsidTr="00C032CC">
        <w:trPr>
          <w:jc w:val="right"/>
        </w:trPr>
        <w:tc>
          <w:tcPr>
            <w:tcW w:w="13720" w:type="dxa"/>
            <w:gridSpan w:val="2"/>
            <w:shd w:val="clear" w:color="auto" w:fill="F2F2F2"/>
          </w:tcPr>
          <w:p w:rsidR="00A17678" w:rsidRPr="00A17678" w:rsidRDefault="00AD19A2">
            <w:pPr>
              <w:spacing w:before="60" w:after="60" w:line="271" w:lineRule="auto"/>
              <w:jc w:val="both"/>
              <w:rPr>
                <w:rFonts w:ascii="Arial" w:hAnsi="Arial" w:cs="Arial"/>
                <w:b/>
                <w:color w:val="000000"/>
                <w:sz w:val="20"/>
              </w:rPr>
            </w:pPr>
            <w:r>
              <w:rPr>
                <w:rFonts w:ascii="Arial" w:hAnsi="Arial" w:cs="Arial"/>
                <w:b/>
                <w:color w:val="000000"/>
                <w:sz w:val="20"/>
              </w:rPr>
              <w:t>T</w:t>
            </w:r>
            <w:r w:rsidR="00A17678" w:rsidRPr="00A17678">
              <w:rPr>
                <w:rFonts w:ascii="Arial" w:hAnsi="Arial" w:cs="Arial"/>
                <w:b/>
                <w:color w:val="000000"/>
                <w:sz w:val="20"/>
              </w:rPr>
              <w:t xml:space="preserve">he </w:t>
            </w:r>
            <w:r w:rsidR="009C7E12">
              <w:rPr>
                <w:rFonts w:ascii="Arial" w:hAnsi="Arial" w:cs="Arial"/>
                <w:b/>
                <w:color w:val="000000"/>
                <w:sz w:val="20"/>
              </w:rPr>
              <w:t xml:space="preserve">Joint </w:t>
            </w:r>
            <w:r w:rsidR="00A17678" w:rsidRPr="00A17678">
              <w:rPr>
                <w:rFonts w:ascii="Arial" w:hAnsi="Arial" w:cs="Arial"/>
                <w:b/>
                <w:color w:val="000000"/>
                <w:sz w:val="20"/>
              </w:rPr>
              <w:t xml:space="preserve">Corporate Governance Framework </w:t>
            </w:r>
            <w:r>
              <w:rPr>
                <w:rFonts w:ascii="Arial" w:hAnsi="Arial" w:cs="Arial"/>
                <w:b/>
                <w:color w:val="000000"/>
                <w:sz w:val="20"/>
              </w:rPr>
              <w:t xml:space="preserve">be reviewed </w:t>
            </w:r>
            <w:r w:rsidR="00A17678" w:rsidRPr="00A17678">
              <w:rPr>
                <w:rFonts w:ascii="Arial" w:hAnsi="Arial" w:cs="Arial"/>
                <w:b/>
                <w:color w:val="000000"/>
                <w:sz w:val="20"/>
              </w:rPr>
              <w:t xml:space="preserve">annually and </w:t>
            </w:r>
            <w:r>
              <w:rPr>
                <w:rFonts w:ascii="Arial" w:hAnsi="Arial" w:cs="Arial"/>
                <w:b/>
                <w:color w:val="000000"/>
                <w:sz w:val="20"/>
              </w:rPr>
              <w:t>be</w:t>
            </w:r>
            <w:r w:rsidR="00A17678" w:rsidRPr="00A17678">
              <w:rPr>
                <w:rFonts w:ascii="Arial" w:hAnsi="Arial" w:cs="Arial"/>
                <w:b/>
                <w:color w:val="000000"/>
                <w:sz w:val="20"/>
              </w:rPr>
              <w:t xml:space="preserve"> report</w:t>
            </w:r>
            <w:r>
              <w:rPr>
                <w:rFonts w:ascii="Arial" w:hAnsi="Arial" w:cs="Arial"/>
                <w:b/>
                <w:color w:val="000000"/>
                <w:sz w:val="20"/>
              </w:rPr>
              <w:t>ed</w:t>
            </w:r>
            <w:r w:rsidR="00A17678" w:rsidRPr="00A17678">
              <w:rPr>
                <w:rFonts w:ascii="Arial" w:hAnsi="Arial" w:cs="Arial"/>
                <w:b/>
                <w:color w:val="000000"/>
                <w:sz w:val="20"/>
              </w:rPr>
              <w:t xml:space="preserve"> to the Management Board and Audit Committee accordingly.</w:t>
            </w:r>
          </w:p>
        </w:tc>
      </w:tr>
    </w:tbl>
    <w:p w:rsidR="00A17678" w:rsidRPr="00ED17EC" w:rsidRDefault="00A17678" w:rsidP="00FC58A1">
      <w:pPr>
        <w:pStyle w:val="ListParagraph"/>
        <w:numPr>
          <w:ilvl w:val="1"/>
          <w:numId w:val="3"/>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 xml:space="preserve">A Corporate Plan for 2017-2020 has been developed with the following key </w:t>
      </w:r>
      <w:r w:rsidR="00AD19A2" w:rsidRPr="00ED17EC">
        <w:rPr>
          <w:rFonts w:ascii="Arial" w:hAnsi="Arial" w:cs="Arial"/>
          <w:color w:val="000000"/>
          <w:sz w:val="20"/>
        </w:rPr>
        <w:t>headings</w:t>
      </w:r>
      <w:r w:rsidRPr="00ED17EC">
        <w:rPr>
          <w:rFonts w:ascii="Arial" w:hAnsi="Arial" w:cs="Arial"/>
          <w:color w:val="000000"/>
          <w:sz w:val="20"/>
        </w:rPr>
        <w:t xml:space="preserve">: </w:t>
      </w:r>
    </w:p>
    <w:p w:rsidR="00A17678" w:rsidRPr="00ED17EC" w:rsidRDefault="00A17678"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 xml:space="preserve">Towards 2020; Operational Effectiveness; </w:t>
      </w:r>
    </w:p>
    <w:p w:rsidR="00A17678" w:rsidRPr="00ED17EC" w:rsidRDefault="00A17678"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 xml:space="preserve">Leadership and People; </w:t>
      </w:r>
    </w:p>
    <w:p w:rsidR="00A17678" w:rsidRPr="00ED17EC" w:rsidRDefault="00A17678"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 xml:space="preserve">Legitimacy and Integrity; </w:t>
      </w:r>
    </w:p>
    <w:p w:rsidR="00A17678" w:rsidRPr="00ED17EC" w:rsidRDefault="00A17678"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 xml:space="preserve">Organisational Efficiency; and </w:t>
      </w:r>
    </w:p>
    <w:p w:rsidR="006567D7" w:rsidRPr="00ED17EC" w:rsidRDefault="00A17678"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How We Will Pay For It.</w:t>
      </w:r>
    </w:p>
    <w:p w:rsidR="00B55AF9" w:rsidRDefault="00EA071A" w:rsidP="00E86491">
      <w:pPr>
        <w:pStyle w:val="ListParagraph"/>
        <w:spacing w:before="120" w:after="120" w:line="271" w:lineRule="auto"/>
        <w:ind w:left="1440"/>
        <w:contextualSpacing w:val="0"/>
        <w:jc w:val="both"/>
        <w:rPr>
          <w:rFonts w:ascii="Arial" w:hAnsi="Arial" w:cs="Arial"/>
          <w:color w:val="000000"/>
          <w:sz w:val="20"/>
        </w:rPr>
      </w:pPr>
      <w:r>
        <w:rPr>
          <w:rFonts w:ascii="Arial" w:hAnsi="Arial" w:cs="Arial"/>
          <w:color w:val="000000"/>
          <w:sz w:val="20"/>
        </w:rPr>
        <w:t>The Corporate Plan identifies the forward direction for the Force and how the police service will meet the needs of the community up to 2020.</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B55AF9" w:rsidTr="00C032CC">
        <w:trPr>
          <w:jc w:val="right"/>
        </w:trPr>
        <w:tc>
          <w:tcPr>
            <w:tcW w:w="13890" w:type="dxa"/>
            <w:shd w:val="clear" w:color="auto" w:fill="FFFFFF"/>
          </w:tcPr>
          <w:p w:rsidR="00B55AF9" w:rsidRPr="006710B3" w:rsidRDefault="00B55AF9" w:rsidP="00E86491">
            <w:pPr>
              <w:spacing w:before="120" w:after="120" w:line="271" w:lineRule="auto"/>
              <w:rPr>
                <w:rFonts w:ascii="Arial" w:hAnsi="Arial" w:cs="Arial"/>
                <w:b/>
                <w:color w:val="163D82"/>
                <w:sz w:val="20"/>
              </w:rPr>
            </w:pPr>
            <w:r>
              <w:rPr>
                <w:rFonts w:ascii="Arial" w:hAnsi="Arial" w:cs="Arial"/>
                <w:b/>
                <w:color w:val="163D82"/>
                <w:sz w:val="20"/>
              </w:rPr>
              <w:t>Compliance Risk: Failure to comply with approved policy and procedure leads to potential losses.</w:t>
            </w:r>
          </w:p>
        </w:tc>
      </w:tr>
    </w:tbl>
    <w:p w:rsidR="006567D7" w:rsidRPr="00ED17EC" w:rsidRDefault="00B55AF9" w:rsidP="00FC58A1">
      <w:pPr>
        <w:pStyle w:val="ListParagraph"/>
        <w:numPr>
          <w:ilvl w:val="1"/>
          <w:numId w:val="3"/>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The main Management Board has key representatives from both the OPCC (to include the PCC) and the Force (to include the Chief Constable).  The Audit Committee is made up of five independent members.  In addition, there is currently a Towards 2020 Board.</w:t>
      </w:r>
    </w:p>
    <w:p w:rsidR="006567D7" w:rsidRPr="00ED17EC" w:rsidRDefault="00B55AF9" w:rsidP="00FC58A1">
      <w:pPr>
        <w:pStyle w:val="ListParagraph"/>
        <w:numPr>
          <w:ilvl w:val="1"/>
          <w:numId w:val="3"/>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The Manage</w:t>
      </w:r>
      <w:r w:rsidR="00CD14A3" w:rsidRPr="00ED17EC">
        <w:rPr>
          <w:rFonts w:ascii="Arial" w:hAnsi="Arial" w:cs="Arial"/>
          <w:color w:val="000000"/>
          <w:sz w:val="20"/>
        </w:rPr>
        <w:t>ment Board and Towards 2020 Board both meet on a regular basis.  A review of a sample of agendas and minutes confirm</w:t>
      </w:r>
      <w:r w:rsidR="00AD19A2" w:rsidRPr="00ED17EC">
        <w:rPr>
          <w:rFonts w:ascii="Arial" w:hAnsi="Arial" w:cs="Arial"/>
          <w:color w:val="000000"/>
          <w:sz w:val="20"/>
        </w:rPr>
        <w:t>ed</w:t>
      </w:r>
      <w:r w:rsidR="00CD14A3" w:rsidRPr="00ED17EC">
        <w:rPr>
          <w:rFonts w:ascii="Arial" w:hAnsi="Arial" w:cs="Arial"/>
          <w:color w:val="000000"/>
          <w:sz w:val="20"/>
        </w:rPr>
        <w:t xml:space="preserve"> that attendance was good and that key issues were discussed.  An action plan flowing from the meeting was produced for matters to be progressed between meetings.</w:t>
      </w:r>
    </w:p>
    <w:p w:rsidR="00F077E2" w:rsidRPr="00ED17EC" w:rsidRDefault="00F077E2" w:rsidP="00FC58A1">
      <w:pPr>
        <w:pStyle w:val="ListParagraph"/>
        <w:numPr>
          <w:ilvl w:val="1"/>
          <w:numId w:val="3"/>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At its meeting on 16 August 2017 the Management Board received a report titled “Governance Review – Corporate Meeting Framework”.  This document identified a number of activities that are taking place to reinforce and strengthen governance throughout the Force. These activities include:</w:t>
      </w:r>
    </w:p>
    <w:p w:rsidR="00F077E2" w:rsidRPr="00ED17EC" w:rsidRDefault="00F077E2"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Improving the process of preparing the annual governance statement</w:t>
      </w:r>
      <w:r w:rsidR="00AD19A2" w:rsidRPr="00ED17EC">
        <w:rPr>
          <w:rFonts w:ascii="Arial" w:hAnsi="Arial" w:cs="Arial"/>
          <w:color w:val="000000"/>
          <w:sz w:val="20"/>
        </w:rPr>
        <w:t>;</w:t>
      </w:r>
    </w:p>
    <w:p w:rsidR="00F077E2" w:rsidRPr="00ED17EC" w:rsidRDefault="00F077E2"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Transitioning to preparing a statement that is in line with the revised principles of good governance set out in the 2016 CIPFA Framework</w:t>
      </w:r>
      <w:r w:rsidR="00AD19A2" w:rsidRPr="00ED17EC">
        <w:rPr>
          <w:rFonts w:ascii="Arial" w:hAnsi="Arial" w:cs="Arial"/>
          <w:color w:val="000000"/>
          <w:sz w:val="20"/>
        </w:rPr>
        <w:t>;</w:t>
      </w:r>
    </w:p>
    <w:p w:rsidR="00F077E2" w:rsidRPr="00ED17EC" w:rsidRDefault="00F077E2"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Improving the process of reviewing and testing governance process and structures within Commands and Departments</w:t>
      </w:r>
      <w:r w:rsidR="00AD19A2" w:rsidRPr="00ED17EC">
        <w:rPr>
          <w:rFonts w:ascii="Arial" w:hAnsi="Arial" w:cs="Arial"/>
          <w:color w:val="000000"/>
          <w:sz w:val="20"/>
        </w:rPr>
        <w:t>;</w:t>
      </w:r>
    </w:p>
    <w:p w:rsidR="00F077E2" w:rsidRPr="00ED17EC" w:rsidRDefault="00F077E2"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 xml:space="preserve">Undertaking an annual review of governance </w:t>
      </w:r>
      <w:r w:rsidR="00C16CED" w:rsidRPr="00ED17EC">
        <w:rPr>
          <w:rFonts w:ascii="Arial" w:hAnsi="Arial" w:cs="Arial"/>
          <w:color w:val="000000"/>
          <w:sz w:val="20"/>
        </w:rPr>
        <w:t>process and structures across the Force</w:t>
      </w:r>
      <w:r w:rsidR="00AD19A2" w:rsidRPr="00ED17EC">
        <w:rPr>
          <w:rFonts w:ascii="Arial" w:hAnsi="Arial" w:cs="Arial"/>
          <w:color w:val="000000"/>
          <w:sz w:val="20"/>
        </w:rPr>
        <w:t>; and</w:t>
      </w:r>
    </w:p>
    <w:p w:rsidR="00C16CED" w:rsidRPr="00ED17EC" w:rsidRDefault="00C16CED" w:rsidP="00E86491">
      <w:pPr>
        <w:pStyle w:val="ListParagraph"/>
        <w:numPr>
          <w:ilvl w:val="2"/>
          <w:numId w:val="7"/>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Reviewing the Force’s decision making structures and meeting framework to ensure adequate planning is taking place and that risk is being identified and managed.</w:t>
      </w:r>
    </w:p>
    <w:p w:rsidR="00C16CED" w:rsidRPr="00C16CED" w:rsidRDefault="00C16CED" w:rsidP="00E86491">
      <w:pPr>
        <w:spacing w:before="120" w:after="120" w:line="271" w:lineRule="auto"/>
        <w:ind w:left="1440"/>
        <w:jc w:val="both"/>
        <w:rPr>
          <w:rFonts w:ascii="Arial" w:hAnsi="Arial" w:cs="Arial"/>
          <w:color w:val="000000"/>
          <w:sz w:val="20"/>
        </w:rPr>
      </w:pPr>
      <w:r>
        <w:rPr>
          <w:rFonts w:ascii="Arial" w:hAnsi="Arial" w:cs="Arial"/>
          <w:color w:val="000000"/>
          <w:sz w:val="20"/>
        </w:rPr>
        <w:t>This paper also incorporates the terms of reference for the various Boards and Group</w:t>
      </w:r>
      <w:r w:rsidR="00F7689C">
        <w:rPr>
          <w:rFonts w:ascii="Arial" w:hAnsi="Arial" w:cs="Arial"/>
          <w:color w:val="000000"/>
          <w:sz w:val="20"/>
        </w:rPr>
        <w:t>s</w:t>
      </w:r>
      <w:r>
        <w:rPr>
          <w:rFonts w:ascii="Arial" w:hAnsi="Arial" w:cs="Arial"/>
          <w:color w:val="000000"/>
          <w:sz w:val="20"/>
        </w:rPr>
        <w:t xml:space="preserve"> that will play an integral role in achieving the above activities</w:t>
      </w:r>
      <w:r w:rsidR="00F7689C">
        <w:rPr>
          <w:rFonts w:ascii="Arial" w:hAnsi="Arial" w:cs="Arial"/>
          <w:color w:val="000000"/>
          <w:sz w:val="20"/>
        </w:rPr>
        <w:t>. The implementation of the activities described within this</w:t>
      </w:r>
      <w:r>
        <w:rPr>
          <w:rFonts w:ascii="Arial" w:hAnsi="Arial" w:cs="Arial"/>
          <w:color w:val="000000"/>
          <w:sz w:val="20"/>
        </w:rPr>
        <w:t xml:space="preserve"> document will provide the foundation for the further development of good governance within the Force and is</w:t>
      </w:r>
      <w:r w:rsidR="00F7689C">
        <w:rPr>
          <w:rFonts w:ascii="Arial" w:hAnsi="Arial" w:cs="Arial"/>
          <w:color w:val="000000"/>
          <w:sz w:val="20"/>
        </w:rPr>
        <w:t xml:space="preserve"> fully</w:t>
      </w:r>
      <w:r>
        <w:rPr>
          <w:rFonts w:ascii="Arial" w:hAnsi="Arial" w:cs="Arial"/>
          <w:color w:val="000000"/>
          <w:sz w:val="20"/>
        </w:rPr>
        <w:t xml:space="preserve"> support</w:t>
      </w:r>
      <w:r w:rsidR="00F7689C">
        <w:rPr>
          <w:rFonts w:ascii="Arial" w:hAnsi="Arial" w:cs="Arial"/>
          <w:color w:val="000000"/>
          <w:sz w:val="20"/>
        </w:rPr>
        <w:t>ed</w:t>
      </w:r>
      <w:r>
        <w:rPr>
          <w:rFonts w:ascii="Arial" w:hAnsi="Arial" w:cs="Arial"/>
          <w:color w:val="000000"/>
          <w:sz w:val="20"/>
        </w:rPr>
        <w:t xml:space="preserve"> by internal audit.</w:t>
      </w:r>
    </w:p>
    <w:p w:rsidR="00CD14A3" w:rsidRPr="00ED17EC" w:rsidRDefault="00CD14A3" w:rsidP="00FC58A1">
      <w:pPr>
        <w:pStyle w:val="ListParagraph"/>
        <w:numPr>
          <w:ilvl w:val="1"/>
          <w:numId w:val="3"/>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The Audit Committee meets four time</w:t>
      </w:r>
      <w:r w:rsidR="00F7689C" w:rsidRPr="00ED17EC">
        <w:rPr>
          <w:rFonts w:ascii="Arial" w:hAnsi="Arial" w:cs="Arial"/>
          <w:color w:val="000000"/>
          <w:sz w:val="20"/>
        </w:rPr>
        <w:t>s</w:t>
      </w:r>
      <w:r w:rsidRPr="00ED17EC">
        <w:rPr>
          <w:rFonts w:ascii="Arial" w:hAnsi="Arial" w:cs="Arial"/>
          <w:color w:val="000000"/>
          <w:sz w:val="20"/>
        </w:rPr>
        <w:t xml:space="preserve"> a year.  </w:t>
      </w:r>
      <w:r w:rsidR="000B51AB" w:rsidRPr="00ED17EC">
        <w:rPr>
          <w:rFonts w:ascii="Arial" w:hAnsi="Arial" w:cs="Arial"/>
          <w:color w:val="000000"/>
          <w:sz w:val="20"/>
        </w:rPr>
        <w:t>From a sample of meetings m</w:t>
      </w:r>
      <w:r w:rsidRPr="00ED17EC">
        <w:rPr>
          <w:rFonts w:ascii="Arial" w:hAnsi="Arial" w:cs="Arial"/>
          <w:color w:val="000000"/>
          <w:sz w:val="20"/>
        </w:rPr>
        <w:t xml:space="preserve">inutes are recorded and actions identified and followed up at the next meeting. </w:t>
      </w:r>
    </w:p>
    <w:p w:rsidR="00E86491" w:rsidRDefault="00E86491">
      <w:r>
        <w:br w:type="page"/>
      </w:r>
    </w:p>
    <w:p w:rsidR="00E86491" w:rsidRDefault="00E86491"/>
    <w:tbl>
      <w:tblPr>
        <w:tblW w:w="13890"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890"/>
      </w:tblGrid>
      <w:tr w:rsidR="00CD14A3" w:rsidRPr="00CD14A3" w:rsidTr="00C032CC">
        <w:trPr>
          <w:jc w:val="right"/>
        </w:trPr>
        <w:tc>
          <w:tcPr>
            <w:tcW w:w="13890" w:type="dxa"/>
            <w:shd w:val="clear" w:color="auto" w:fill="FFFFFF"/>
          </w:tcPr>
          <w:p w:rsidR="00CD14A3" w:rsidRPr="00CD14A3" w:rsidRDefault="00CD14A3" w:rsidP="00E86491">
            <w:pPr>
              <w:spacing w:before="120" w:after="120" w:line="271" w:lineRule="auto"/>
              <w:jc w:val="both"/>
              <w:rPr>
                <w:rFonts w:ascii="Arial" w:eastAsia="Calibri" w:hAnsi="Arial" w:cs="Arial"/>
                <w:b/>
                <w:color w:val="163D82"/>
                <w:sz w:val="20"/>
              </w:rPr>
            </w:pPr>
            <w:r w:rsidRPr="00CD14A3">
              <w:rPr>
                <w:rFonts w:ascii="Arial" w:eastAsia="Calibri" w:hAnsi="Arial" w:cs="Arial"/>
                <w:b/>
                <w:color w:val="163D82"/>
                <w:sz w:val="20"/>
              </w:rPr>
              <w:t xml:space="preserve">Operational Risk: </w:t>
            </w:r>
            <w:r w:rsidRPr="00CD14A3">
              <w:rPr>
                <w:rFonts w:ascii="Arial" w:eastAsia="Calibri" w:hAnsi="Arial" w:cs="Arial"/>
                <w:b/>
                <w:color w:val="163D82"/>
                <w:sz w:val="20"/>
                <w:szCs w:val="20"/>
              </w:rPr>
              <w:t>Failure to identify opportunities to operate more efficiently or to be prepared for forthcoming changes.</w:t>
            </w:r>
          </w:p>
        </w:tc>
      </w:tr>
    </w:tbl>
    <w:p w:rsidR="00CD14A3" w:rsidRPr="00ED17EC" w:rsidRDefault="000B51AB" w:rsidP="00FC58A1">
      <w:pPr>
        <w:pStyle w:val="ListParagraph"/>
        <w:numPr>
          <w:ilvl w:val="1"/>
          <w:numId w:val="3"/>
        </w:numPr>
        <w:spacing w:before="120" w:after="120" w:line="271" w:lineRule="auto"/>
        <w:contextualSpacing w:val="0"/>
        <w:jc w:val="both"/>
        <w:rPr>
          <w:rFonts w:ascii="Arial" w:hAnsi="Arial" w:cs="Arial"/>
          <w:color w:val="000000"/>
          <w:sz w:val="20"/>
        </w:rPr>
      </w:pPr>
      <w:r w:rsidRPr="00ED17EC">
        <w:rPr>
          <w:rFonts w:ascii="Arial" w:eastAsia="Calibri" w:hAnsi="Arial" w:cs="Arial"/>
          <w:sz w:val="20"/>
          <w:szCs w:val="20"/>
        </w:rPr>
        <w:t>The Force is currently reviewing and updating many of its procedures and operational practices.  This includes the Cleveland Police Command Management Responsibilities and how the various teams interact with each other and their respective terms of reference.</w:t>
      </w:r>
    </w:p>
    <w:p w:rsidR="00CD14A3" w:rsidRPr="00ED17EC" w:rsidRDefault="000B51AB" w:rsidP="00FC58A1">
      <w:pPr>
        <w:pStyle w:val="ListParagraph"/>
        <w:numPr>
          <w:ilvl w:val="1"/>
          <w:numId w:val="3"/>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 xml:space="preserve">The Terms of Reference for </w:t>
      </w:r>
      <w:r w:rsidR="00AD19A2" w:rsidRPr="00ED17EC">
        <w:rPr>
          <w:rFonts w:ascii="Arial" w:hAnsi="Arial" w:cs="Arial"/>
          <w:color w:val="000000"/>
          <w:sz w:val="20"/>
        </w:rPr>
        <w:t xml:space="preserve">the </w:t>
      </w:r>
      <w:r w:rsidRPr="00ED17EC">
        <w:rPr>
          <w:rFonts w:ascii="Arial" w:hAnsi="Arial" w:cs="Arial"/>
          <w:color w:val="000000"/>
          <w:sz w:val="20"/>
        </w:rPr>
        <w:t>following collaborative agreements were reviewed and found to be in order:</w:t>
      </w:r>
    </w:p>
    <w:p w:rsidR="000B51AB" w:rsidRPr="00ED17EC" w:rsidRDefault="000B51AB" w:rsidP="00E86491">
      <w:pPr>
        <w:pStyle w:val="ListParagraph"/>
        <w:numPr>
          <w:ilvl w:val="2"/>
          <w:numId w:val="7"/>
        </w:numPr>
        <w:spacing w:before="120" w:after="120" w:line="271" w:lineRule="auto"/>
        <w:ind w:left="2693"/>
        <w:contextualSpacing w:val="0"/>
        <w:jc w:val="both"/>
        <w:rPr>
          <w:rFonts w:ascii="Arial" w:hAnsi="Arial" w:cs="Arial"/>
          <w:color w:val="000000"/>
          <w:sz w:val="20"/>
        </w:rPr>
      </w:pPr>
      <w:r w:rsidRPr="00ED17EC">
        <w:rPr>
          <w:rFonts w:ascii="Arial" w:hAnsi="Arial" w:cs="Arial"/>
          <w:color w:val="000000"/>
          <w:sz w:val="20"/>
        </w:rPr>
        <w:t>Cleveland and North Yorkshire Major Investigations Team</w:t>
      </w:r>
      <w:r w:rsidR="00AD19A2" w:rsidRPr="00ED17EC">
        <w:rPr>
          <w:rFonts w:ascii="Arial" w:hAnsi="Arial" w:cs="Arial"/>
          <w:color w:val="000000"/>
          <w:sz w:val="20"/>
        </w:rPr>
        <w:t>;</w:t>
      </w:r>
    </w:p>
    <w:p w:rsidR="000B51AB" w:rsidRPr="00ED17EC" w:rsidRDefault="000B51AB" w:rsidP="00E86491">
      <w:pPr>
        <w:pStyle w:val="ListParagraph"/>
        <w:numPr>
          <w:ilvl w:val="2"/>
          <w:numId w:val="7"/>
        </w:numPr>
        <w:spacing w:before="120" w:after="120" w:line="271" w:lineRule="auto"/>
        <w:ind w:left="2693"/>
        <w:contextualSpacing w:val="0"/>
        <w:jc w:val="both"/>
        <w:rPr>
          <w:rFonts w:ascii="Arial" w:hAnsi="Arial" w:cs="Arial"/>
          <w:color w:val="000000"/>
          <w:sz w:val="20"/>
        </w:rPr>
      </w:pPr>
      <w:r w:rsidRPr="00ED17EC">
        <w:rPr>
          <w:rFonts w:ascii="Arial" w:hAnsi="Arial" w:cs="Arial"/>
          <w:color w:val="000000"/>
          <w:sz w:val="20"/>
        </w:rPr>
        <w:t>Dogs Support Unit</w:t>
      </w:r>
      <w:r w:rsidR="00AD19A2" w:rsidRPr="00ED17EC">
        <w:rPr>
          <w:rFonts w:ascii="Arial" w:hAnsi="Arial" w:cs="Arial"/>
          <w:color w:val="000000"/>
          <w:sz w:val="20"/>
        </w:rPr>
        <w:t>;</w:t>
      </w:r>
    </w:p>
    <w:p w:rsidR="000B51AB" w:rsidRPr="00ED17EC" w:rsidRDefault="000B51AB" w:rsidP="00E86491">
      <w:pPr>
        <w:pStyle w:val="ListParagraph"/>
        <w:numPr>
          <w:ilvl w:val="2"/>
          <w:numId w:val="7"/>
        </w:numPr>
        <w:spacing w:before="120" w:after="120" w:line="271" w:lineRule="auto"/>
        <w:ind w:left="2693"/>
        <w:contextualSpacing w:val="0"/>
        <w:jc w:val="both"/>
        <w:rPr>
          <w:rFonts w:ascii="Arial" w:hAnsi="Arial" w:cs="Arial"/>
          <w:color w:val="000000"/>
          <w:sz w:val="20"/>
        </w:rPr>
      </w:pPr>
      <w:r w:rsidRPr="00ED17EC">
        <w:rPr>
          <w:rFonts w:ascii="Arial" w:hAnsi="Arial" w:cs="Arial"/>
          <w:color w:val="000000"/>
          <w:sz w:val="20"/>
        </w:rPr>
        <w:t>North East Regional Special Operations Unit</w:t>
      </w:r>
      <w:r w:rsidR="00AD19A2" w:rsidRPr="00ED17EC">
        <w:rPr>
          <w:rFonts w:ascii="Arial" w:hAnsi="Arial" w:cs="Arial"/>
          <w:color w:val="000000"/>
          <w:sz w:val="20"/>
        </w:rPr>
        <w:t>; and</w:t>
      </w:r>
    </w:p>
    <w:p w:rsidR="000B51AB" w:rsidRPr="00ED17EC" w:rsidRDefault="000B51AB" w:rsidP="00E86491">
      <w:pPr>
        <w:pStyle w:val="ListParagraph"/>
        <w:numPr>
          <w:ilvl w:val="2"/>
          <w:numId w:val="7"/>
        </w:numPr>
        <w:spacing w:before="120" w:after="120" w:line="271" w:lineRule="auto"/>
        <w:ind w:left="2693"/>
        <w:contextualSpacing w:val="0"/>
        <w:jc w:val="both"/>
        <w:rPr>
          <w:rFonts w:ascii="Arial" w:hAnsi="Arial" w:cs="Arial"/>
          <w:color w:val="000000"/>
          <w:sz w:val="20"/>
        </w:rPr>
      </w:pPr>
      <w:r w:rsidRPr="00ED17EC">
        <w:rPr>
          <w:rFonts w:ascii="Arial" w:hAnsi="Arial" w:cs="Arial"/>
          <w:color w:val="000000"/>
          <w:sz w:val="20"/>
        </w:rPr>
        <w:t>Cleveland and Durham Specialist Operations Unit</w:t>
      </w:r>
      <w:r w:rsidR="00AD19A2" w:rsidRPr="00ED17EC">
        <w:rPr>
          <w:rFonts w:ascii="Arial" w:hAnsi="Arial" w:cs="Arial"/>
          <w:color w:val="000000"/>
          <w:sz w:val="20"/>
        </w:rPr>
        <w:t>.</w:t>
      </w:r>
    </w:p>
    <w:p w:rsidR="007427D5" w:rsidRPr="00ED17EC" w:rsidRDefault="00C604A6" w:rsidP="00FC58A1">
      <w:pPr>
        <w:pStyle w:val="ListParagraph"/>
        <w:numPr>
          <w:ilvl w:val="1"/>
          <w:numId w:val="3"/>
        </w:numPr>
        <w:spacing w:before="120" w:after="120" w:line="271" w:lineRule="auto"/>
        <w:contextualSpacing w:val="0"/>
        <w:jc w:val="both"/>
        <w:rPr>
          <w:rFonts w:ascii="Arial" w:hAnsi="Arial" w:cs="Arial"/>
          <w:color w:val="000000"/>
          <w:sz w:val="20"/>
        </w:rPr>
      </w:pPr>
      <w:r w:rsidRPr="00ED17EC">
        <w:rPr>
          <w:rFonts w:ascii="Arial" w:hAnsi="Arial" w:cs="Arial"/>
          <w:color w:val="000000"/>
          <w:sz w:val="20"/>
        </w:rPr>
        <w:t xml:space="preserve">The Terms of Reference for the Audit Committee </w:t>
      </w:r>
      <w:r w:rsidR="00AD19A2" w:rsidRPr="00ED17EC">
        <w:rPr>
          <w:rFonts w:ascii="Arial" w:hAnsi="Arial" w:cs="Arial"/>
          <w:color w:val="000000"/>
          <w:sz w:val="20"/>
        </w:rPr>
        <w:t xml:space="preserve">was </w:t>
      </w:r>
      <w:r w:rsidR="009877F9" w:rsidRPr="00ED17EC">
        <w:rPr>
          <w:rFonts w:ascii="Arial" w:hAnsi="Arial" w:cs="Arial"/>
          <w:color w:val="000000"/>
          <w:sz w:val="20"/>
        </w:rPr>
        <w:t xml:space="preserve">also </w:t>
      </w:r>
      <w:r w:rsidRPr="00ED17EC">
        <w:rPr>
          <w:rFonts w:ascii="Arial" w:hAnsi="Arial" w:cs="Arial"/>
          <w:color w:val="000000"/>
          <w:sz w:val="20"/>
        </w:rPr>
        <w:t>reviewed and found to be in order.</w:t>
      </w:r>
    </w:p>
    <w:p w:rsidR="00E86491" w:rsidRDefault="00E86491" w:rsidP="00E86491">
      <w:pPr>
        <w:spacing w:before="120" w:after="120" w:line="271" w:lineRule="auto"/>
        <w:jc w:val="center"/>
        <w:rPr>
          <w:rFonts w:ascii="Arial" w:hAnsi="Arial" w:cs="Arial"/>
          <w:color w:val="000000"/>
          <w:sz w:val="20"/>
        </w:rPr>
      </w:pPr>
    </w:p>
    <w:p w:rsidR="007427D5" w:rsidRPr="007427D5" w:rsidRDefault="007427D5" w:rsidP="00E86491">
      <w:pPr>
        <w:spacing w:before="120" w:after="120" w:line="271" w:lineRule="auto"/>
        <w:jc w:val="center"/>
        <w:rPr>
          <w:rFonts w:ascii="Arial" w:hAnsi="Arial" w:cs="Arial"/>
          <w:color w:val="000000"/>
          <w:sz w:val="20"/>
        </w:rPr>
      </w:pPr>
      <w:r w:rsidRPr="007427D5">
        <w:rPr>
          <w:rFonts w:ascii="Arial" w:hAnsi="Arial" w:cs="Arial"/>
          <w:color w:val="000000"/>
          <w:sz w:val="20"/>
        </w:rPr>
        <w:t>---------------</w:t>
      </w:r>
    </w:p>
    <w:sectPr w:rsidR="007427D5" w:rsidRPr="007427D5" w:rsidSect="007427D5">
      <w:pgSz w:w="16838" w:h="11906" w:orient="landscape"/>
      <w:pgMar w:top="850"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7F0" w:rsidRDefault="00A007F0" w:rsidP="007427D5">
      <w:pPr>
        <w:spacing w:after="0" w:line="240" w:lineRule="auto"/>
      </w:pPr>
      <w:r>
        <w:separator/>
      </w:r>
    </w:p>
  </w:endnote>
  <w:endnote w:type="continuationSeparator" w:id="0">
    <w:p w:rsidR="00A007F0" w:rsidRDefault="00A007F0" w:rsidP="00742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7427D5" w:rsidRPr="007427D5" w:rsidTr="007427D5">
      <w:trPr>
        <w:trHeight w:hRule="exact" w:val="100"/>
      </w:trPr>
      <w:tc>
        <w:tcPr>
          <w:tcW w:w="13351" w:type="dxa"/>
          <w:shd w:val="clear" w:color="auto" w:fill="auto"/>
        </w:tcPr>
        <w:p w:rsidR="007427D5" w:rsidRPr="007427D5" w:rsidRDefault="007427D5" w:rsidP="007427D5">
          <w:pPr>
            <w:pStyle w:val="Footer"/>
            <w:spacing w:after="120"/>
            <w:rPr>
              <w:rFonts w:ascii="Arial" w:hAnsi="Arial" w:cs="Arial"/>
              <w:sz w:val="12"/>
            </w:rPr>
          </w:pPr>
        </w:p>
      </w:tc>
      <w:tc>
        <w:tcPr>
          <w:tcW w:w="1843" w:type="dxa"/>
          <w:shd w:val="clear" w:color="auto" w:fill="auto"/>
        </w:tcPr>
        <w:p w:rsidR="007427D5" w:rsidRPr="007427D5" w:rsidRDefault="007427D5" w:rsidP="007427D5">
          <w:pPr>
            <w:pStyle w:val="Footer"/>
            <w:spacing w:after="120"/>
            <w:rPr>
              <w:rFonts w:ascii="Arial" w:hAnsi="Arial" w:cs="Arial"/>
              <w:sz w:val="12"/>
            </w:rPr>
          </w:pPr>
        </w:p>
      </w:tc>
    </w:tr>
    <w:tr w:rsidR="007427D5" w:rsidRPr="007427D5" w:rsidTr="007427D5">
      <w:trPr>
        <w:trHeight w:hRule="exact" w:val="454"/>
      </w:trPr>
      <w:tc>
        <w:tcPr>
          <w:tcW w:w="13351" w:type="dxa"/>
          <w:shd w:val="clear" w:color="auto" w:fill="BFBFBF"/>
          <w:vAlign w:val="bottom"/>
        </w:tcPr>
        <w:p w:rsidR="007427D5" w:rsidRPr="007427D5" w:rsidRDefault="00075E48" w:rsidP="007427D5">
          <w:pPr>
            <w:pStyle w:val="Footer"/>
            <w:spacing w:after="120"/>
            <w:rPr>
              <w:rFonts w:ascii="Arial" w:hAnsi="Arial" w:cs="Arial"/>
              <w:b/>
              <w:color w:val="FFFFFF"/>
              <w:sz w:val="24"/>
            </w:rPr>
          </w:pPr>
          <w:r>
            <w:rPr>
              <w:rFonts w:ascii="Arial" w:hAnsi="Arial" w:cs="Arial"/>
              <w:b/>
              <w:color w:val="FFFFFF"/>
              <w:sz w:val="24"/>
            </w:rPr>
            <w:t>Novembe</w:t>
          </w:r>
          <w:r w:rsidR="003368E2">
            <w:rPr>
              <w:rFonts w:ascii="Arial" w:hAnsi="Arial" w:cs="Arial"/>
              <w:b/>
              <w:color w:val="FFFFFF"/>
              <w:sz w:val="24"/>
            </w:rPr>
            <w:t>r</w:t>
          </w:r>
          <w:r w:rsidR="007427D5" w:rsidRPr="007427D5">
            <w:rPr>
              <w:rFonts w:ascii="Arial" w:hAnsi="Arial" w:cs="Arial"/>
              <w:b/>
              <w:color w:val="FFFFFF"/>
              <w:sz w:val="24"/>
            </w:rPr>
            <w:t xml:space="preserve"> 2017</w:t>
          </w:r>
        </w:p>
      </w:tc>
      <w:tc>
        <w:tcPr>
          <w:tcW w:w="1843" w:type="dxa"/>
          <w:shd w:val="clear" w:color="auto" w:fill="163D82"/>
          <w:vAlign w:val="center"/>
        </w:tcPr>
        <w:p w:rsidR="007427D5" w:rsidRPr="007427D5" w:rsidRDefault="00075E48" w:rsidP="007427D5">
          <w:pPr>
            <w:pStyle w:val="Footer"/>
            <w:spacing w:after="120"/>
            <w:jc w:val="center"/>
            <w:rPr>
              <w:rFonts w:ascii="Arial" w:hAnsi="Arial" w:cs="Arial"/>
              <w:b/>
              <w:color w:val="FFFFFF"/>
              <w:sz w:val="40"/>
            </w:rPr>
          </w:pPr>
          <w:r>
            <w:rPr>
              <w:rFonts w:ascii="Arial" w:hAnsi="Arial" w:cs="Arial"/>
              <w:b/>
              <w:color w:val="FFFFFF"/>
              <w:sz w:val="40"/>
            </w:rPr>
            <w:t>FINAL</w:t>
          </w:r>
        </w:p>
      </w:tc>
    </w:tr>
  </w:tbl>
  <w:p w:rsidR="007427D5" w:rsidRDefault="007427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60" w:type="dxa"/>
        <w:right w:w="60" w:type="dxa"/>
      </w:tblCellMar>
      <w:tblLook w:val="0000" w:firstRow="0" w:lastRow="0" w:firstColumn="0" w:lastColumn="0" w:noHBand="0" w:noVBand="0"/>
    </w:tblPr>
    <w:tblGrid>
      <w:gridCol w:w="13720"/>
      <w:gridCol w:w="1191"/>
    </w:tblGrid>
    <w:tr w:rsidR="007427D5" w:rsidRPr="007427D5" w:rsidTr="007427D5">
      <w:trPr>
        <w:trHeight w:hRule="exact" w:val="100"/>
      </w:trPr>
      <w:tc>
        <w:tcPr>
          <w:tcW w:w="13720" w:type="dxa"/>
          <w:shd w:val="clear" w:color="auto" w:fill="auto"/>
        </w:tcPr>
        <w:p w:rsidR="007427D5" w:rsidRPr="007427D5" w:rsidRDefault="007427D5" w:rsidP="007427D5">
          <w:pPr>
            <w:pStyle w:val="Footer"/>
            <w:spacing w:after="120"/>
            <w:rPr>
              <w:sz w:val="12"/>
            </w:rPr>
          </w:pPr>
        </w:p>
      </w:tc>
      <w:tc>
        <w:tcPr>
          <w:tcW w:w="1191" w:type="dxa"/>
          <w:shd w:val="clear" w:color="auto" w:fill="auto"/>
        </w:tcPr>
        <w:p w:rsidR="007427D5" w:rsidRPr="007427D5" w:rsidRDefault="007427D5" w:rsidP="007427D5">
          <w:pPr>
            <w:pStyle w:val="Footer"/>
            <w:spacing w:after="120"/>
            <w:rPr>
              <w:sz w:val="12"/>
            </w:rPr>
          </w:pPr>
        </w:p>
      </w:tc>
    </w:tr>
    <w:tr w:rsidR="007427D5" w:rsidRPr="007427D5" w:rsidTr="007427D5">
      <w:trPr>
        <w:trHeight w:hRule="exact" w:val="397"/>
      </w:trPr>
      <w:tc>
        <w:tcPr>
          <w:tcW w:w="13720" w:type="dxa"/>
          <w:shd w:val="clear" w:color="auto" w:fill="auto"/>
          <w:vAlign w:val="bottom"/>
        </w:tcPr>
        <w:p w:rsidR="007427D5" w:rsidRPr="00BA7E27" w:rsidRDefault="007427D5" w:rsidP="007427D5">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rsidR="007427D5" w:rsidRPr="007427D5" w:rsidRDefault="007427D5" w:rsidP="007427D5">
          <w:pPr>
            <w:pStyle w:val="Footer"/>
            <w:spacing w:after="120"/>
            <w:jc w:val="center"/>
            <w:rPr>
              <w:rFonts w:ascii="Arial" w:hAnsi="Arial" w:cs="Arial"/>
              <w:b/>
              <w:color w:val="FFFFFF"/>
              <w:sz w:val="20"/>
            </w:rPr>
          </w:pPr>
          <w:r w:rsidRPr="007427D5">
            <w:rPr>
              <w:rFonts w:ascii="Arial" w:hAnsi="Arial" w:cs="Arial"/>
              <w:b/>
              <w:color w:val="FFFFFF"/>
              <w:sz w:val="20"/>
            </w:rPr>
            <w:t xml:space="preserve">Page </w:t>
          </w:r>
          <w:r w:rsidRPr="007427D5">
            <w:rPr>
              <w:rFonts w:ascii="Arial" w:hAnsi="Arial" w:cs="Arial"/>
              <w:b/>
              <w:color w:val="FFFFFF"/>
              <w:sz w:val="20"/>
            </w:rPr>
            <w:fldChar w:fldCharType="begin"/>
          </w:r>
          <w:r w:rsidRPr="007427D5">
            <w:rPr>
              <w:rFonts w:ascii="Arial" w:hAnsi="Arial" w:cs="Arial"/>
              <w:b/>
              <w:color w:val="FFFFFF"/>
              <w:sz w:val="20"/>
            </w:rPr>
            <w:instrText xml:space="preserve"> PAGE  \* MERGEFORMAT </w:instrText>
          </w:r>
          <w:r w:rsidRPr="007427D5">
            <w:rPr>
              <w:rFonts w:ascii="Arial" w:hAnsi="Arial" w:cs="Arial"/>
              <w:b/>
              <w:color w:val="FFFFFF"/>
              <w:sz w:val="20"/>
            </w:rPr>
            <w:fldChar w:fldCharType="separate"/>
          </w:r>
          <w:r w:rsidR="00DA7A3A">
            <w:rPr>
              <w:rFonts w:ascii="Arial" w:hAnsi="Arial" w:cs="Arial"/>
              <w:b/>
              <w:noProof/>
              <w:color w:val="FFFFFF"/>
              <w:sz w:val="20"/>
            </w:rPr>
            <w:t>1</w:t>
          </w:r>
          <w:r w:rsidRPr="007427D5">
            <w:rPr>
              <w:rFonts w:ascii="Arial" w:hAnsi="Arial" w:cs="Arial"/>
              <w:b/>
              <w:color w:val="FFFFFF"/>
              <w:sz w:val="20"/>
            </w:rPr>
            <w:fldChar w:fldCharType="end"/>
          </w:r>
        </w:p>
      </w:tc>
    </w:tr>
  </w:tbl>
  <w:p w:rsidR="007427D5" w:rsidRDefault="007427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7427D5" w:rsidRPr="007427D5" w:rsidTr="007427D5">
      <w:trPr>
        <w:trHeight w:hRule="exact" w:val="100"/>
      </w:trPr>
      <w:tc>
        <w:tcPr>
          <w:tcW w:w="13351" w:type="dxa"/>
          <w:shd w:val="clear" w:color="auto" w:fill="auto"/>
        </w:tcPr>
        <w:p w:rsidR="007427D5" w:rsidRPr="007427D5" w:rsidRDefault="007427D5" w:rsidP="007427D5">
          <w:pPr>
            <w:pStyle w:val="Footer"/>
            <w:spacing w:after="120"/>
            <w:rPr>
              <w:rFonts w:ascii="Arial" w:hAnsi="Arial" w:cs="Arial"/>
              <w:sz w:val="12"/>
            </w:rPr>
          </w:pPr>
        </w:p>
      </w:tc>
      <w:tc>
        <w:tcPr>
          <w:tcW w:w="1843" w:type="dxa"/>
          <w:shd w:val="clear" w:color="auto" w:fill="auto"/>
        </w:tcPr>
        <w:p w:rsidR="007427D5" w:rsidRPr="007427D5" w:rsidRDefault="007427D5" w:rsidP="007427D5">
          <w:pPr>
            <w:pStyle w:val="Footer"/>
            <w:spacing w:after="120"/>
            <w:rPr>
              <w:rFonts w:ascii="Arial" w:hAnsi="Arial" w:cs="Arial"/>
              <w:sz w:val="12"/>
            </w:rPr>
          </w:pPr>
        </w:p>
      </w:tc>
    </w:tr>
    <w:tr w:rsidR="007427D5" w:rsidRPr="007427D5" w:rsidTr="007427D5">
      <w:trPr>
        <w:trHeight w:hRule="exact" w:val="454"/>
      </w:trPr>
      <w:tc>
        <w:tcPr>
          <w:tcW w:w="13351" w:type="dxa"/>
          <w:shd w:val="clear" w:color="auto" w:fill="BFBFBF"/>
          <w:vAlign w:val="bottom"/>
        </w:tcPr>
        <w:p w:rsidR="007427D5" w:rsidRPr="007427D5" w:rsidRDefault="007427D5" w:rsidP="007427D5">
          <w:pPr>
            <w:pStyle w:val="Footer"/>
            <w:spacing w:after="120"/>
            <w:rPr>
              <w:rFonts w:ascii="Arial" w:hAnsi="Arial" w:cs="Arial"/>
              <w:b/>
              <w:color w:val="FFFFFF"/>
              <w:sz w:val="24"/>
            </w:rPr>
          </w:pPr>
          <w:r w:rsidRPr="007427D5">
            <w:rPr>
              <w:rFonts w:ascii="Arial" w:hAnsi="Arial" w:cs="Arial"/>
              <w:b/>
              <w:color w:val="FFFFFF"/>
              <w:sz w:val="24"/>
            </w:rPr>
            <w:t>**Month** 2017</w:t>
          </w:r>
        </w:p>
      </w:tc>
      <w:tc>
        <w:tcPr>
          <w:tcW w:w="1843" w:type="dxa"/>
          <w:shd w:val="clear" w:color="auto" w:fill="163D82"/>
          <w:vAlign w:val="center"/>
        </w:tcPr>
        <w:p w:rsidR="007427D5" w:rsidRPr="007427D5" w:rsidRDefault="007427D5" w:rsidP="007427D5">
          <w:pPr>
            <w:pStyle w:val="Footer"/>
            <w:spacing w:after="120"/>
            <w:jc w:val="center"/>
            <w:rPr>
              <w:rFonts w:ascii="Arial" w:hAnsi="Arial" w:cs="Arial"/>
              <w:b/>
              <w:color w:val="FFFFFF"/>
              <w:sz w:val="40"/>
            </w:rPr>
          </w:pPr>
          <w:r w:rsidRPr="007427D5">
            <w:rPr>
              <w:rFonts w:ascii="Arial" w:hAnsi="Arial" w:cs="Arial"/>
              <w:b/>
              <w:color w:val="FFFFFF"/>
              <w:sz w:val="40"/>
            </w:rPr>
            <w:t>DRAFT</w:t>
          </w:r>
        </w:p>
      </w:tc>
    </w:tr>
  </w:tbl>
  <w:p w:rsidR="007427D5" w:rsidRDefault="007427D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191"/>
    </w:tblGrid>
    <w:tr w:rsidR="007427D5" w:rsidRPr="007427D5" w:rsidTr="007427D5">
      <w:trPr>
        <w:trHeight w:hRule="exact" w:val="100"/>
      </w:trPr>
      <w:tc>
        <w:tcPr>
          <w:tcW w:w="567" w:type="dxa"/>
          <w:shd w:val="clear" w:color="auto" w:fill="auto"/>
        </w:tcPr>
        <w:p w:rsidR="007427D5" w:rsidRPr="007427D5" w:rsidRDefault="007427D5" w:rsidP="007427D5">
          <w:pPr>
            <w:pStyle w:val="Footer"/>
            <w:spacing w:after="120"/>
            <w:rPr>
              <w:rFonts w:ascii="Arial" w:hAnsi="Arial" w:cs="Arial"/>
              <w:sz w:val="12"/>
            </w:rPr>
          </w:pPr>
        </w:p>
      </w:tc>
      <w:tc>
        <w:tcPr>
          <w:tcW w:w="1191" w:type="dxa"/>
          <w:shd w:val="clear" w:color="auto" w:fill="auto"/>
        </w:tcPr>
        <w:p w:rsidR="007427D5" w:rsidRPr="007427D5" w:rsidRDefault="007427D5" w:rsidP="007427D5">
          <w:pPr>
            <w:pStyle w:val="Footer"/>
            <w:spacing w:after="120"/>
            <w:rPr>
              <w:rFonts w:ascii="Arial" w:hAnsi="Arial" w:cs="Arial"/>
              <w:sz w:val="12"/>
            </w:rPr>
          </w:pPr>
        </w:p>
      </w:tc>
      <w:tc>
        <w:tcPr>
          <w:tcW w:w="2835" w:type="dxa"/>
          <w:shd w:val="clear" w:color="auto" w:fill="auto"/>
        </w:tcPr>
        <w:p w:rsidR="007427D5" w:rsidRPr="007427D5" w:rsidRDefault="007427D5" w:rsidP="007427D5">
          <w:pPr>
            <w:pStyle w:val="Footer"/>
            <w:spacing w:after="120"/>
            <w:rPr>
              <w:rFonts w:ascii="Arial" w:hAnsi="Arial" w:cs="Arial"/>
              <w:sz w:val="12"/>
            </w:rPr>
          </w:pPr>
        </w:p>
      </w:tc>
      <w:tc>
        <w:tcPr>
          <w:tcW w:w="680" w:type="dxa"/>
          <w:shd w:val="clear" w:color="auto" w:fill="auto"/>
        </w:tcPr>
        <w:p w:rsidR="007427D5" w:rsidRPr="007427D5" w:rsidRDefault="007427D5" w:rsidP="007427D5">
          <w:pPr>
            <w:pStyle w:val="Footer"/>
            <w:spacing w:after="120"/>
            <w:rPr>
              <w:rFonts w:ascii="Arial" w:hAnsi="Arial" w:cs="Arial"/>
              <w:sz w:val="12"/>
            </w:rPr>
          </w:pPr>
        </w:p>
      </w:tc>
      <w:tc>
        <w:tcPr>
          <w:tcW w:w="567" w:type="dxa"/>
          <w:shd w:val="clear" w:color="auto" w:fill="auto"/>
        </w:tcPr>
        <w:p w:rsidR="007427D5" w:rsidRPr="007427D5" w:rsidRDefault="007427D5" w:rsidP="007427D5">
          <w:pPr>
            <w:pStyle w:val="Footer"/>
            <w:spacing w:after="120"/>
            <w:rPr>
              <w:rFonts w:ascii="Arial" w:hAnsi="Arial" w:cs="Arial"/>
              <w:sz w:val="12"/>
            </w:rPr>
          </w:pPr>
        </w:p>
      </w:tc>
      <w:tc>
        <w:tcPr>
          <w:tcW w:w="1191" w:type="dxa"/>
          <w:shd w:val="clear" w:color="auto" w:fill="auto"/>
        </w:tcPr>
        <w:p w:rsidR="007427D5" w:rsidRPr="007427D5" w:rsidRDefault="007427D5" w:rsidP="007427D5">
          <w:pPr>
            <w:pStyle w:val="Footer"/>
            <w:spacing w:after="120"/>
            <w:rPr>
              <w:rFonts w:ascii="Arial" w:hAnsi="Arial" w:cs="Arial"/>
              <w:sz w:val="12"/>
            </w:rPr>
          </w:pPr>
        </w:p>
      </w:tc>
      <w:tc>
        <w:tcPr>
          <w:tcW w:w="2835" w:type="dxa"/>
          <w:shd w:val="clear" w:color="auto" w:fill="auto"/>
        </w:tcPr>
        <w:p w:rsidR="007427D5" w:rsidRPr="007427D5" w:rsidRDefault="007427D5" w:rsidP="007427D5">
          <w:pPr>
            <w:pStyle w:val="Footer"/>
            <w:spacing w:after="120"/>
            <w:rPr>
              <w:rFonts w:ascii="Arial" w:hAnsi="Arial" w:cs="Arial"/>
              <w:sz w:val="12"/>
            </w:rPr>
          </w:pPr>
        </w:p>
      </w:tc>
      <w:tc>
        <w:tcPr>
          <w:tcW w:w="680" w:type="dxa"/>
          <w:shd w:val="clear" w:color="auto" w:fill="auto"/>
        </w:tcPr>
        <w:p w:rsidR="007427D5" w:rsidRPr="007427D5" w:rsidRDefault="007427D5" w:rsidP="007427D5">
          <w:pPr>
            <w:pStyle w:val="Footer"/>
            <w:spacing w:after="120"/>
            <w:rPr>
              <w:rFonts w:ascii="Arial" w:hAnsi="Arial" w:cs="Arial"/>
              <w:sz w:val="12"/>
            </w:rPr>
          </w:pPr>
        </w:p>
      </w:tc>
      <w:tc>
        <w:tcPr>
          <w:tcW w:w="567" w:type="dxa"/>
          <w:shd w:val="clear" w:color="auto" w:fill="auto"/>
        </w:tcPr>
        <w:p w:rsidR="007427D5" w:rsidRPr="007427D5" w:rsidRDefault="007427D5" w:rsidP="007427D5">
          <w:pPr>
            <w:pStyle w:val="Footer"/>
            <w:spacing w:after="120"/>
            <w:rPr>
              <w:rFonts w:ascii="Arial" w:hAnsi="Arial" w:cs="Arial"/>
              <w:sz w:val="12"/>
            </w:rPr>
          </w:pPr>
        </w:p>
      </w:tc>
      <w:tc>
        <w:tcPr>
          <w:tcW w:w="1191" w:type="dxa"/>
          <w:shd w:val="clear" w:color="auto" w:fill="auto"/>
        </w:tcPr>
        <w:p w:rsidR="007427D5" w:rsidRPr="007427D5" w:rsidRDefault="007427D5" w:rsidP="007427D5">
          <w:pPr>
            <w:pStyle w:val="Footer"/>
            <w:spacing w:after="120"/>
            <w:rPr>
              <w:rFonts w:ascii="Arial" w:hAnsi="Arial" w:cs="Arial"/>
              <w:sz w:val="12"/>
            </w:rPr>
          </w:pPr>
        </w:p>
      </w:tc>
      <w:tc>
        <w:tcPr>
          <w:tcW w:w="1701" w:type="dxa"/>
          <w:shd w:val="clear" w:color="auto" w:fill="auto"/>
        </w:tcPr>
        <w:p w:rsidR="007427D5" w:rsidRPr="007427D5" w:rsidRDefault="007427D5" w:rsidP="007427D5">
          <w:pPr>
            <w:pStyle w:val="Footer"/>
            <w:spacing w:after="120"/>
            <w:rPr>
              <w:rFonts w:ascii="Arial" w:hAnsi="Arial" w:cs="Arial"/>
              <w:sz w:val="12"/>
            </w:rPr>
          </w:pPr>
        </w:p>
      </w:tc>
      <w:tc>
        <w:tcPr>
          <w:tcW w:w="1191" w:type="dxa"/>
          <w:shd w:val="clear" w:color="auto" w:fill="auto"/>
        </w:tcPr>
        <w:p w:rsidR="007427D5" w:rsidRPr="007427D5" w:rsidRDefault="007427D5" w:rsidP="007427D5">
          <w:pPr>
            <w:pStyle w:val="Footer"/>
            <w:spacing w:after="120"/>
            <w:rPr>
              <w:rFonts w:ascii="Arial" w:hAnsi="Arial" w:cs="Arial"/>
              <w:sz w:val="12"/>
            </w:rPr>
          </w:pPr>
        </w:p>
      </w:tc>
    </w:tr>
    <w:tr w:rsidR="007427D5" w:rsidRPr="007427D5" w:rsidTr="007427D5">
      <w:tc>
        <w:tcPr>
          <w:tcW w:w="567"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p>
      </w:tc>
      <w:tc>
        <w:tcPr>
          <w:tcW w:w="680" w:type="dxa"/>
          <w:shd w:val="clear" w:color="auto" w:fill="auto"/>
        </w:tcPr>
        <w:p w:rsidR="007427D5" w:rsidRPr="007427D5" w:rsidRDefault="007427D5" w:rsidP="007427D5">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r w:rsidRPr="007427D5">
            <w:rPr>
              <w:rFonts w:ascii="Arial" w:hAnsi="Arial" w:cs="Arial"/>
              <w:b/>
              <w:color w:val="163D82"/>
              <w:sz w:val="12"/>
            </w:rPr>
            <w:t>PRIORITY GRADINGS</w:t>
          </w:r>
        </w:p>
      </w:tc>
      <w:tc>
        <w:tcPr>
          <w:tcW w:w="680" w:type="dxa"/>
          <w:shd w:val="clear" w:color="auto" w:fill="auto"/>
        </w:tcPr>
        <w:p w:rsidR="007427D5" w:rsidRPr="007427D5" w:rsidRDefault="007427D5" w:rsidP="007427D5">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7427D5" w:rsidRPr="007427D5" w:rsidRDefault="007427D5" w:rsidP="007427D5">
          <w:pPr>
            <w:pStyle w:val="Footer"/>
            <w:spacing w:after="120"/>
            <w:rPr>
              <w:rFonts w:ascii="Arial" w:hAnsi="Arial" w:cs="Arial"/>
              <w:b/>
              <w:color w:val="163D82"/>
              <w:sz w:val="12"/>
            </w:rPr>
          </w:pPr>
        </w:p>
      </w:tc>
    </w:tr>
    <w:tr w:rsidR="007427D5" w:rsidRPr="007427D5" w:rsidTr="003335AD">
      <w:tc>
        <w:tcPr>
          <w:tcW w:w="567" w:type="dxa"/>
          <w:shd w:val="clear" w:color="auto" w:fill="DC0D15"/>
          <w:vAlign w:val="center"/>
        </w:tcPr>
        <w:p w:rsidR="007427D5" w:rsidRPr="007427D5" w:rsidRDefault="007427D5" w:rsidP="007427D5">
          <w:pPr>
            <w:pStyle w:val="Footer"/>
            <w:spacing w:after="120"/>
            <w:jc w:val="center"/>
            <w:rPr>
              <w:rFonts w:ascii="Arial" w:hAnsi="Arial" w:cs="Arial"/>
              <w:b/>
              <w:color w:val="FFFFFF"/>
              <w:sz w:val="16"/>
            </w:rPr>
          </w:pPr>
          <w:r w:rsidRPr="007427D5">
            <w:rPr>
              <w:rFonts w:ascii="Arial" w:hAnsi="Arial" w:cs="Arial"/>
              <w:b/>
              <w:color w:val="FFFFFF"/>
              <w:sz w:val="16"/>
            </w:rPr>
            <w:t>1</w:t>
          </w:r>
        </w:p>
      </w:tc>
      <w:tc>
        <w:tcPr>
          <w:tcW w:w="1191" w:type="dxa"/>
          <w:shd w:val="clear" w:color="auto" w:fill="D9D9D9"/>
          <w:vAlign w:val="center"/>
        </w:tcPr>
        <w:p w:rsidR="007427D5" w:rsidRPr="007427D5" w:rsidRDefault="007427D5" w:rsidP="007427D5">
          <w:pPr>
            <w:pStyle w:val="Footer"/>
            <w:spacing w:after="120"/>
            <w:jc w:val="center"/>
            <w:rPr>
              <w:rFonts w:ascii="Arial" w:hAnsi="Arial" w:cs="Arial"/>
              <w:b/>
              <w:color w:val="163D82"/>
              <w:sz w:val="16"/>
            </w:rPr>
          </w:pPr>
          <w:r w:rsidRPr="007427D5">
            <w:rPr>
              <w:rFonts w:ascii="Arial" w:hAnsi="Arial" w:cs="Arial"/>
              <w:b/>
              <w:color w:val="163D82"/>
              <w:sz w:val="16"/>
            </w:rPr>
            <w:t>URGENT</w:t>
          </w:r>
        </w:p>
      </w:tc>
      <w:tc>
        <w:tcPr>
          <w:tcW w:w="2835" w:type="dxa"/>
          <w:shd w:val="clear" w:color="auto" w:fill="D9D9D9"/>
          <w:vAlign w:val="center"/>
        </w:tcPr>
        <w:p w:rsidR="007427D5" w:rsidRPr="007427D5" w:rsidRDefault="007427D5" w:rsidP="007427D5">
          <w:pPr>
            <w:pStyle w:val="Footer"/>
            <w:spacing w:after="120"/>
            <w:jc w:val="both"/>
            <w:rPr>
              <w:rFonts w:ascii="Arial" w:hAnsi="Arial" w:cs="Arial"/>
              <w:color w:val="163D82"/>
              <w:sz w:val="16"/>
            </w:rPr>
          </w:pPr>
          <w:r w:rsidRPr="007427D5">
            <w:rPr>
              <w:rFonts w:ascii="Arial" w:hAnsi="Arial" w:cs="Arial"/>
              <w:color w:val="163D82"/>
              <w:sz w:val="16"/>
            </w:rPr>
            <w:t>Fundamental control issue on which action should be taken immediately.</w:t>
          </w:r>
        </w:p>
      </w:tc>
      <w:tc>
        <w:tcPr>
          <w:tcW w:w="680" w:type="dxa"/>
          <w:shd w:val="clear" w:color="auto" w:fill="auto"/>
          <w:vAlign w:val="center"/>
        </w:tcPr>
        <w:p w:rsidR="007427D5" w:rsidRPr="007427D5" w:rsidRDefault="007427D5" w:rsidP="007427D5">
          <w:pPr>
            <w:pStyle w:val="Footer"/>
            <w:spacing w:after="120"/>
            <w:rPr>
              <w:rFonts w:ascii="Arial" w:hAnsi="Arial" w:cs="Arial"/>
              <w:sz w:val="16"/>
            </w:rPr>
          </w:pPr>
        </w:p>
      </w:tc>
      <w:tc>
        <w:tcPr>
          <w:tcW w:w="567" w:type="dxa"/>
          <w:shd w:val="clear" w:color="auto" w:fill="E5730F"/>
          <w:vAlign w:val="center"/>
        </w:tcPr>
        <w:p w:rsidR="007427D5" w:rsidRPr="007427D5" w:rsidRDefault="007427D5" w:rsidP="007427D5">
          <w:pPr>
            <w:pStyle w:val="Footer"/>
            <w:spacing w:after="120"/>
            <w:jc w:val="center"/>
            <w:rPr>
              <w:rFonts w:ascii="Arial" w:hAnsi="Arial" w:cs="Arial"/>
              <w:b/>
              <w:color w:val="FFFFFF"/>
              <w:sz w:val="16"/>
            </w:rPr>
          </w:pPr>
          <w:r w:rsidRPr="007427D5">
            <w:rPr>
              <w:rFonts w:ascii="Arial" w:hAnsi="Arial" w:cs="Arial"/>
              <w:b/>
              <w:color w:val="FFFFFF"/>
              <w:sz w:val="16"/>
            </w:rPr>
            <w:t>2</w:t>
          </w:r>
        </w:p>
      </w:tc>
      <w:tc>
        <w:tcPr>
          <w:tcW w:w="1191" w:type="dxa"/>
          <w:shd w:val="clear" w:color="auto" w:fill="D9D9D9"/>
          <w:vAlign w:val="center"/>
        </w:tcPr>
        <w:p w:rsidR="007427D5" w:rsidRPr="007427D5" w:rsidRDefault="007427D5" w:rsidP="007427D5">
          <w:pPr>
            <w:pStyle w:val="Footer"/>
            <w:spacing w:after="120"/>
            <w:jc w:val="center"/>
            <w:rPr>
              <w:rFonts w:ascii="Arial" w:hAnsi="Arial" w:cs="Arial"/>
              <w:b/>
              <w:color w:val="163D82"/>
              <w:sz w:val="16"/>
            </w:rPr>
          </w:pPr>
          <w:r w:rsidRPr="007427D5">
            <w:rPr>
              <w:rFonts w:ascii="Arial" w:hAnsi="Arial" w:cs="Arial"/>
              <w:b/>
              <w:color w:val="163D82"/>
              <w:sz w:val="16"/>
            </w:rPr>
            <w:t>IMPORTANT</w:t>
          </w:r>
        </w:p>
      </w:tc>
      <w:tc>
        <w:tcPr>
          <w:tcW w:w="2835" w:type="dxa"/>
          <w:shd w:val="clear" w:color="auto" w:fill="D9D9D9"/>
          <w:vAlign w:val="center"/>
        </w:tcPr>
        <w:p w:rsidR="007427D5" w:rsidRPr="007427D5" w:rsidRDefault="007427D5" w:rsidP="007427D5">
          <w:pPr>
            <w:pStyle w:val="Footer"/>
            <w:spacing w:after="120"/>
            <w:jc w:val="both"/>
            <w:rPr>
              <w:rFonts w:ascii="Arial" w:hAnsi="Arial" w:cs="Arial"/>
              <w:color w:val="163D82"/>
              <w:sz w:val="16"/>
            </w:rPr>
          </w:pPr>
          <w:r w:rsidRPr="007427D5">
            <w:rPr>
              <w:rFonts w:ascii="Arial" w:hAnsi="Arial" w:cs="Arial"/>
              <w:color w:val="163D82"/>
              <w:sz w:val="16"/>
            </w:rPr>
            <w:t>Control issue on which action should be taken at the earliest opportunity.</w:t>
          </w:r>
        </w:p>
      </w:tc>
      <w:tc>
        <w:tcPr>
          <w:tcW w:w="680" w:type="dxa"/>
          <w:shd w:val="clear" w:color="auto" w:fill="auto"/>
          <w:vAlign w:val="center"/>
        </w:tcPr>
        <w:p w:rsidR="007427D5" w:rsidRPr="007427D5" w:rsidRDefault="007427D5" w:rsidP="007427D5">
          <w:pPr>
            <w:pStyle w:val="Footer"/>
            <w:spacing w:after="120"/>
            <w:rPr>
              <w:rFonts w:ascii="Arial" w:hAnsi="Arial" w:cs="Arial"/>
              <w:sz w:val="16"/>
            </w:rPr>
          </w:pPr>
        </w:p>
      </w:tc>
      <w:tc>
        <w:tcPr>
          <w:tcW w:w="567" w:type="dxa"/>
          <w:shd w:val="clear" w:color="auto" w:fill="FFCC00"/>
          <w:vAlign w:val="center"/>
        </w:tcPr>
        <w:p w:rsidR="007427D5" w:rsidRPr="007427D5" w:rsidRDefault="007427D5" w:rsidP="007427D5">
          <w:pPr>
            <w:pStyle w:val="Footer"/>
            <w:spacing w:after="120"/>
            <w:jc w:val="center"/>
            <w:rPr>
              <w:rFonts w:ascii="Arial" w:hAnsi="Arial" w:cs="Arial"/>
              <w:b/>
              <w:color w:val="FFFFFF"/>
              <w:sz w:val="16"/>
            </w:rPr>
          </w:pPr>
          <w:r w:rsidRPr="007427D5">
            <w:rPr>
              <w:rFonts w:ascii="Arial" w:hAnsi="Arial" w:cs="Arial"/>
              <w:b/>
              <w:color w:val="FFFFFF"/>
              <w:sz w:val="16"/>
            </w:rPr>
            <w:t>3</w:t>
          </w:r>
        </w:p>
      </w:tc>
      <w:tc>
        <w:tcPr>
          <w:tcW w:w="1191" w:type="dxa"/>
          <w:shd w:val="clear" w:color="auto" w:fill="D9D9D9"/>
          <w:vAlign w:val="center"/>
        </w:tcPr>
        <w:p w:rsidR="007427D5" w:rsidRPr="007427D5" w:rsidRDefault="007427D5" w:rsidP="007427D5">
          <w:pPr>
            <w:pStyle w:val="Footer"/>
            <w:spacing w:after="120"/>
            <w:jc w:val="center"/>
            <w:rPr>
              <w:rFonts w:ascii="Arial" w:hAnsi="Arial" w:cs="Arial"/>
              <w:b/>
              <w:color w:val="163D82"/>
              <w:sz w:val="16"/>
            </w:rPr>
          </w:pPr>
          <w:r w:rsidRPr="007427D5">
            <w:rPr>
              <w:rFonts w:ascii="Arial" w:hAnsi="Arial" w:cs="Arial"/>
              <w:b/>
              <w:color w:val="163D82"/>
              <w:sz w:val="16"/>
            </w:rPr>
            <w:t>ROUTINE</w:t>
          </w:r>
        </w:p>
      </w:tc>
      <w:tc>
        <w:tcPr>
          <w:tcW w:w="2892" w:type="dxa"/>
          <w:gridSpan w:val="2"/>
          <w:shd w:val="clear" w:color="auto" w:fill="D9D9D9"/>
          <w:vAlign w:val="center"/>
        </w:tcPr>
        <w:p w:rsidR="007427D5" w:rsidRPr="007427D5" w:rsidRDefault="007427D5" w:rsidP="007427D5">
          <w:pPr>
            <w:pStyle w:val="Footer"/>
            <w:spacing w:after="120"/>
            <w:jc w:val="both"/>
            <w:rPr>
              <w:rFonts w:ascii="Arial" w:hAnsi="Arial" w:cs="Arial"/>
              <w:color w:val="163D82"/>
              <w:sz w:val="16"/>
            </w:rPr>
          </w:pPr>
          <w:r w:rsidRPr="007427D5">
            <w:rPr>
              <w:rFonts w:ascii="Arial" w:hAnsi="Arial" w:cs="Arial"/>
              <w:color w:val="163D82"/>
              <w:sz w:val="16"/>
            </w:rPr>
            <w:t>Control issue on which action should be taken.</w:t>
          </w:r>
        </w:p>
      </w:tc>
    </w:tr>
    <w:tr w:rsidR="007427D5" w:rsidRPr="007427D5" w:rsidTr="009A23C8">
      <w:trPr>
        <w:trHeight w:hRule="exact" w:val="397"/>
      </w:trPr>
      <w:tc>
        <w:tcPr>
          <w:tcW w:w="1758" w:type="dxa"/>
          <w:gridSpan w:val="2"/>
          <w:shd w:val="clear" w:color="auto" w:fill="auto"/>
          <w:vAlign w:val="bottom"/>
        </w:tcPr>
        <w:p w:rsidR="007427D5" w:rsidRPr="007427D5" w:rsidRDefault="007427D5" w:rsidP="00075E48">
          <w:pPr>
            <w:pStyle w:val="Footer"/>
            <w:spacing w:after="120"/>
            <w:rPr>
              <w:rFonts w:ascii="Arial" w:hAnsi="Arial" w:cs="Arial"/>
            </w:rPr>
          </w:pPr>
        </w:p>
      </w:tc>
      <w:tc>
        <w:tcPr>
          <w:tcW w:w="2835" w:type="dxa"/>
          <w:shd w:val="clear" w:color="auto" w:fill="auto"/>
        </w:tcPr>
        <w:p w:rsidR="007427D5" w:rsidRPr="007427D5" w:rsidRDefault="007427D5" w:rsidP="007427D5">
          <w:pPr>
            <w:pStyle w:val="Footer"/>
            <w:spacing w:after="120"/>
            <w:rPr>
              <w:rFonts w:ascii="Arial" w:hAnsi="Arial" w:cs="Arial"/>
            </w:rPr>
          </w:pPr>
        </w:p>
      </w:tc>
      <w:tc>
        <w:tcPr>
          <w:tcW w:w="680" w:type="dxa"/>
          <w:shd w:val="clear" w:color="auto" w:fill="auto"/>
        </w:tcPr>
        <w:p w:rsidR="007427D5" w:rsidRPr="007427D5" w:rsidRDefault="007427D5" w:rsidP="007427D5">
          <w:pPr>
            <w:pStyle w:val="Footer"/>
            <w:spacing w:after="120"/>
            <w:rPr>
              <w:rFonts w:ascii="Arial" w:hAnsi="Arial" w:cs="Arial"/>
            </w:rPr>
          </w:pPr>
        </w:p>
      </w:tc>
      <w:tc>
        <w:tcPr>
          <w:tcW w:w="567" w:type="dxa"/>
          <w:shd w:val="clear" w:color="auto" w:fill="auto"/>
        </w:tcPr>
        <w:p w:rsidR="007427D5" w:rsidRPr="007427D5" w:rsidRDefault="007427D5" w:rsidP="007427D5">
          <w:pPr>
            <w:pStyle w:val="Footer"/>
            <w:spacing w:after="120"/>
            <w:rPr>
              <w:rFonts w:ascii="Arial" w:hAnsi="Arial" w:cs="Arial"/>
            </w:rPr>
          </w:pPr>
        </w:p>
      </w:tc>
      <w:tc>
        <w:tcPr>
          <w:tcW w:w="1191" w:type="dxa"/>
          <w:shd w:val="clear" w:color="auto" w:fill="auto"/>
        </w:tcPr>
        <w:p w:rsidR="007427D5" w:rsidRPr="007427D5" w:rsidRDefault="007427D5" w:rsidP="007427D5">
          <w:pPr>
            <w:pStyle w:val="Footer"/>
            <w:spacing w:after="120"/>
            <w:rPr>
              <w:rFonts w:ascii="Arial" w:hAnsi="Arial" w:cs="Arial"/>
            </w:rPr>
          </w:pPr>
        </w:p>
      </w:tc>
      <w:tc>
        <w:tcPr>
          <w:tcW w:w="2835" w:type="dxa"/>
          <w:shd w:val="clear" w:color="auto" w:fill="auto"/>
        </w:tcPr>
        <w:p w:rsidR="007427D5" w:rsidRPr="007427D5" w:rsidRDefault="007427D5" w:rsidP="007427D5">
          <w:pPr>
            <w:pStyle w:val="Footer"/>
            <w:spacing w:after="120"/>
            <w:rPr>
              <w:rFonts w:ascii="Arial" w:hAnsi="Arial" w:cs="Arial"/>
            </w:rPr>
          </w:pPr>
        </w:p>
      </w:tc>
      <w:tc>
        <w:tcPr>
          <w:tcW w:w="680" w:type="dxa"/>
          <w:shd w:val="clear" w:color="auto" w:fill="auto"/>
        </w:tcPr>
        <w:p w:rsidR="007427D5" w:rsidRPr="007427D5" w:rsidRDefault="007427D5" w:rsidP="007427D5">
          <w:pPr>
            <w:pStyle w:val="Footer"/>
            <w:spacing w:after="120"/>
            <w:rPr>
              <w:rFonts w:ascii="Arial" w:hAnsi="Arial" w:cs="Arial"/>
            </w:rPr>
          </w:pPr>
        </w:p>
      </w:tc>
      <w:tc>
        <w:tcPr>
          <w:tcW w:w="567" w:type="dxa"/>
          <w:shd w:val="clear" w:color="auto" w:fill="auto"/>
        </w:tcPr>
        <w:p w:rsidR="007427D5" w:rsidRPr="007427D5" w:rsidRDefault="007427D5" w:rsidP="007427D5">
          <w:pPr>
            <w:pStyle w:val="Footer"/>
            <w:spacing w:after="120"/>
            <w:rPr>
              <w:rFonts w:ascii="Arial" w:hAnsi="Arial" w:cs="Arial"/>
            </w:rPr>
          </w:pPr>
        </w:p>
      </w:tc>
      <w:tc>
        <w:tcPr>
          <w:tcW w:w="1191" w:type="dxa"/>
          <w:shd w:val="clear" w:color="auto" w:fill="auto"/>
        </w:tcPr>
        <w:p w:rsidR="007427D5" w:rsidRPr="007427D5" w:rsidRDefault="007427D5" w:rsidP="007427D5">
          <w:pPr>
            <w:pStyle w:val="Footer"/>
            <w:spacing w:after="120"/>
            <w:rPr>
              <w:rFonts w:ascii="Arial" w:hAnsi="Arial" w:cs="Arial"/>
            </w:rPr>
          </w:pPr>
        </w:p>
      </w:tc>
      <w:tc>
        <w:tcPr>
          <w:tcW w:w="1701" w:type="dxa"/>
          <w:shd w:val="clear" w:color="auto" w:fill="auto"/>
        </w:tcPr>
        <w:p w:rsidR="007427D5" w:rsidRPr="007427D5" w:rsidRDefault="007427D5" w:rsidP="007427D5">
          <w:pPr>
            <w:pStyle w:val="Footer"/>
            <w:spacing w:after="120"/>
            <w:rPr>
              <w:rFonts w:ascii="Arial" w:hAnsi="Arial" w:cs="Arial"/>
            </w:rPr>
          </w:pPr>
        </w:p>
      </w:tc>
      <w:tc>
        <w:tcPr>
          <w:tcW w:w="1191" w:type="dxa"/>
          <w:shd w:val="clear" w:color="auto" w:fill="163D82"/>
          <w:vAlign w:val="center"/>
        </w:tcPr>
        <w:p w:rsidR="007427D5" w:rsidRPr="007427D5" w:rsidRDefault="007427D5" w:rsidP="007427D5">
          <w:pPr>
            <w:pStyle w:val="Footer"/>
            <w:spacing w:after="120"/>
            <w:jc w:val="center"/>
            <w:rPr>
              <w:rFonts w:ascii="Arial" w:hAnsi="Arial" w:cs="Arial"/>
              <w:b/>
              <w:color w:val="FFFFFF"/>
              <w:sz w:val="20"/>
            </w:rPr>
          </w:pPr>
          <w:r w:rsidRPr="007427D5">
            <w:rPr>
              <w:rFonts w:ascii="Arial" w:hAnsi="Arial" w:cs="Arial"/>
              <w:b/>
              <w:color w:val="FFFFFF"/>
              <w:sz w:val="20"/>
            </w:rPr>
            <w:t xml:space="preserve">Page </w:t>
          </w:r>
          <w:r w:rsidRPr="007427D5">
            <w:rPr>
              <w:rFonts w:ascii="Arial" w:hAnsi="Arial" w:cs="Arial"/>
              <w:b/>
              <w:color w:val="FFFFFF"/>
              <w:sz w:val="20"/>
            </w:rPr>
            <w:fldChar w:fldCharType="begin"/>
          </w:r>
          <w:r w:rsidRPr="007427D5">
            <w:rPr>
              <w:rFonts w:ascii="Arial" w:hAnsi="Arial" w:cs="Arial"/>
              <w:b/>
              <w:color w:val="FFFFFF"/>
              <w:sz w:val="20"/>
            </w:rPr>
            <w:instrText xml:space="preserve"> PAGE  \* MERGEFORMAT </w:instrText>
          </w:r>
          <w:r w:rsidRPr="007427D5">
            <w:rPr>
              <w:rFonts w:ascii="Arial" w:hAnsi="Arial" w:cs="Arial"/>
              <w:b/>
              <w:color w:val="FFFFFF"/>
              <w:sz w:val="20"/>
            </w:rPr>
            <w:fldChar w:fldCharType="separate"/>
          </w:r>
          <w:r w:rsidR="00DA7A3A">
            <w:rPr>
              <w:rFonts w:ascii="Arial" w:hAnsi="Arial" w:cs="Arial"/>
              <w:b/>
              <w:noProof/>
              <w:color w:val="FFFFFF"/>
              <w:sz w:val="20"/>
            </w:rPr>
            <w:t>3</w:t>
          </w:r>
          <w:r w:rsidRPr="007427D5">
            <w:rPr>
              <w:rFonts w:ascii="Arial" w:hAnsi="Arial" w:cs="Arial"/>
              <w:b/>
              <w:color w:val="FFFFFF"/>
              <w:sz w:val="20"/>
            </w:rPr>
            <w:fldChar w:fldCharType="end"/>
          </w:r>
        </w:p>
      </w:tc>
    </w:tr>
  </w:tbl>
  <w:p w:rsidR="007427D5" w:rsidRDefault="007427D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7427D5" w:rsidRPr="007427D5" w:rsidTr="007427D5">
      <w:trPr>
        <w:trHeight w:hRule="exact" w:val="100"/>
      </w:trPr>
      <w:tc>
        <w:tcPr>
          <w:tcW w:w="2381" w:type="dxa"/>
          <w:shd w:val="clear" w:color="auto" w:fill="auto"/>
        </w:tcPr>
        <w:p w:rsidR="007427D5" w:rsidRPr="007427D5" w:rsidRDefault="007427D5" w:rsidP="007427D5">
          <w:pPr>
            <w:pStyle w:val="Footer"/>
            <w:spacing w:after="120"/>
            <w:rPr>
              <w:rFonts w:ascii="Arial" w:hAnsi="Arial" w:cs="Arial"/>
              <w:sz w:val="12"/>
            </w:rPr>
          </w:pPr>
        </w:p>
      </w:tc>
      <w:tc>
        <w:tcPr>
          <w:tcW w:w="11622" w:type="dxa"/>
          <w:shd w:val="clear" w:color="auto" w:fill="auto"/>
        </w:tcPr>
        <w:p w:rsidR="007427D5" w:rsidRPr="007427D5" w:rsidRDefault="007427D5" w:rsidP="007427D5">
          <w:pPr>
            <w:pStyle w:val="Footer"/>
            <w:spacing w:after="120"/>
            <w:rPr>
              <w:rFonts w:ascii="Arial" w:hAnsi="Arial" w:cs="Arial"/>
              <w:sz w:val="12"/>
            </w:rPr>
          </w:pPr>
        </w:p>
      </w:tc>
      <w:tc>
        <w:tcPr>
          <w:tcW w:w="1191" w:type="dxa"/>
          <w:shd w:val="clear" w:color="auto" w:fill="auto"/>
        </w:tcPr>
        <w:p w:rsidR="007427D5" w:rsidRPr="007427D5" w:rsidRDefault="007427D5" w:rsidP="007427D5">
          <w:pPr>
            <w:pStyle w:val="Footer"/>
            <w:spacing w:after="120"/>
            <w:rPr>
              <w:rFonts w:ascii="Arial" w:hAnsi="Arial" w:cs="Arial"/>
              <w:sz w:val="12"/>
            </w:rPr>
          </w:pPr>
        </w:p>
      </w:tc>
    </w:tr>
    <w:tr w:rsidR="007427D5" w:rsidRPr="007427D5" w:rsidTr="007427D5">
      <w:trPr>
        <w:trHeight w:hRule="exact" w:val="397"/>
      </w:trPr>
      <w:tc>
        <w:tcPr>
          <w:tcW w:w="15194" w:type="dxa"/>
          <w:gridSpan w:val="3"/>
          <w:shd w:val="clear" w:color="auto" w:fill="auto"/>
          <w:vAlign w:val="center"/>
        </w:tcPr>
        <w:p w:rsidR="007427D5" w:rsidRPr="007427D5" w:rsidRDefault="007427D5" w:rsidP="007427D5">
          <w:pPr>
            <w:pStyle w:val="Footer"/>
            <w:spacing w:after="120"/>
            <w:jc w:val="center"/>
            <w:rPr>
              <w:rFonts w:ascii="Arial" w:hAnsi="Arial" w:cs="Arial"/>
              <w:b/>
              <w:color w:val="163D82"/>
              <w:sz w:val="20"/>
            </w:rPr>
          </w:pPr>
          <w:r w:rsidRPr="007427D5">
            <w:rPr>
              <w:rFonts w:ascii="Arial" w:hAnsi="Arial" w:cs="Arial"/>
              <w:color w:val="163D82"/>
              <w:sz w:val="12"/>
            </w:rPr>
            <w:t>ADVISORY NOTE</w:t>
          </w:r>
        </w:p>
      </w:tc>
    </w:tr>
    <w:tr w:rsidR="007427D5" w:rsidRPr="007427D5" w:rsidTr="007427D5">
      <w:trPr>
        <w:trHeight w:hRule="exact" w:val="397"/>
      </w:trPr>
      <w:tc>
        <w:tcPr>
          <w:tcW w:w="15194" w:type="dxa"/>
          <w:gridSpan w:val="3"/>
          <w:shd w:val="clear" w:color="auto" w:fill="D9D9D9"/>
          <w:vAlign w:val="center"/>
        </w:tcPr>
        <w:p w:rsidR="007427D5" w:rsidRPr="007427D5" w:rsidRDefault="007427D5" w:rsidP="007427D5">
          <w:pPr>
            <w:pStyle w:val="Footer"/>
            <w:spacing w:after="120"/>
            <w:jc w:val="center"/>
            <w:rPr>
              <w:rFonts w:ascii="Arial" w:hAnsi="Arial" w:cs="Arial"/>
              <w:color w:val="163D82"/>
            </w:rPr>
          </w:pPr>
          <w:r w:rsidRPr="007427D5">
            <w:rPr>
              <w:rFonts w:ascii="Arial" w:hAnsi="Arial" w:cs="Arial"/>
              <w:color w:val="163D82"/>
              <w:sz w:val="16"/>
            </w:rPr>
            <w:t>Operational Effectiveness Matters need to be considered as part of management review of procedures, rather than on a one-by-one basis</w:t>
          </w:r>
        </w:p>
      </w:tc>
    </w:tr>
    <w:tr w:rsidR="007427D5" w:rsidRPr="007427D5" w:rsidTr="007427D5">
      <w:trPr>
        <w:trHeight w:hRule="exact" w:val="397"/>
      </w:trPr>
      <w:tc>
        <w:tcPr>
          <w:tcW w:w="14003" w:type="dxa"/>
          <w:gridSpan w:val="2"/>
          <w:shd w:val="clear" w:color="auto" w:fill="auto"/>
        </w:tcPr>
        <w:p w:rsidR="007427D5" w:rsidRPr="00BA7E27" w:rsidRDefault="007427D5" w:rsidP="007427D5">
          <w:pPr>
            <w:pStyle w:val="Footer"/>
            <w:spacing w:after="120"/>
            <w:rPr>
              <w:rFonts w:ascii="Arial" w:hAnsi="Arial" w:cs="Arial"/>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tcPr>
        <w:p w:rsidR="007427D5" w:rsidRPr="007427D5" w:rsidRDefault="007427D5" w:rsidP="007427D5">
          <w:pPr>
            <w:pStyle w:val="Footer"/>
            <w:spacing w:after="120"/>
            <w:jc w:val="center"/>
            <w:rPr>
              <w:rFonts w:ascii="Arial" w:hAnsi="Arial" w:cs="Arial"/>
              <w:b/>
              <w:color w:val="FFFFFF"/>
              <w:sz w:val="20"/>
            </w:rPr>
          </w:pPr>
          <w:r w:rsidRPr="007427D5">
            <w:rPr>
              <w:rFonts w:ascii="Arial" w:hAnsi="Arial" w:cs="Arial"/>
              <w:b/>
              <w:color w:val="FFFFFF"/>
              <w:sz w:val="20"/>
            </w:rPr>
            <w:t xml:space="preserve">Page </w:t>
          </w:r>
          <w:r w:rsidRPr="007427D5">
            <w:rPr>
              <w:rFonts w:ascii="Arial" w:hAnsi="Arial" w:cs="Arial"/>
              <w:b/>
              <w:color w:val="FFFFFF"/>
              <w:sz w:val="20"/>
            </w:rPr>
            <w:fldChar w:fldCharType="begin"/>
          </w:r>
          <w:r w:rsidRPr="007427D5">
            <w:rPr>
              <w:rFonts w:ascii="Arial" w:hAnsi="Arial" w:cs="Arial"/>
              <w:b/>
              <w:color w:val="FFFFFF"/>
              <w:sz w:val="20"/>
            </w:rPr>
            <w:instrText xml:space="preserve"> PAGE  \* MERGEFORMAT </w:instrText>
          </w:r>
          <w:r w:rsidRPr="007427D5">
            <w:rPr>
              <w:rFonts w:ascii="Arial" w:hAnsi="Arial" w:cs="Arial"/>
              <w:b/>
              <w:color w:val="FFFFFF"/>
              <w:sz w:val="20"/>
            </w:rPr>
            <w:fldChar w:fldCharType="separate"/>
          </w:r>
          <w:r w:rsidR="00DA7A3A">
            <w:rPr>
              <w:rFonts w:ascii="Arial" w:hAnsi="Arial" w:cs="Arial"/>
              <w:b/>
              <w:noProof/>
              <w:color w:val="FFFFFF"/>
              <w:sz w:val="20"/>
            </w:rPr>
            <w:t>4</w:t>
          </w:r>
          <w:r w:rsidRPr="007427D5">
            <w:rPr>
              <w:rFonts w:ascii="Arial" w:hAnsi="Arial" w:cs="Arial"/>
              <w:b/>
              <w:color w:val="FFFFFF"/>
              <w:sz w:val="20"/>
            </w:rPr>
            <w:fldChar w:fldCharType="end"/>
          </w:r>
        </w:p>
      </w:tc>
    </w:tr>
  </w:tbl>
  <w:p w:rsidR="007427D5" w:rsidRDefault="007427D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003"/>
      <w:gridCol w:w="1191"/>
    </w:tblGrid>
    <w:tr w:rsidR="007427D5" w:rsidRPr="007427D5" w:rsidTr="007427D5">
      <w:trPr>
        <w:trHeight w:hRule="exact" w:val="100"/>
      </w:trPr>
      <w:tc>
        <w:tcPr>
          <w:tcW w:w="14003" w:type="dxa"/>
          <w:shd w:val="clear" w:color="auto" w:fill="auto"/>
        </w:tcPr>
        <w:p w:rsidR="007427D5" w:rsidRPr="007427D5" w:rsidRDefault="007427D5" w:rsidP="007427D5">
          <w:pPr>
            <w:pStyle w:val="Footer"/>
            <w:spacing w:after="120"/>
            <w:rPr>
              <w:sz w:val="12"/>
            </w:rPr>
          </w:pPr>
        </w:p>
      </w:tc>
      <w:tc>
        <w:tcPr>
          <w:tcW w:w="1191" w:type="dxa"/>
          <w:shd w:val="clear" w:color="auto" w:fill="auto"/>
        </w:tcPr>
        <w:p w:rsidR="007427D5" w:rsidRPr="007427D5" w:rsidRDefault="007427D5" w:rsidP="007427D5">
          <w:pPr>
            <w:pStyle w:val="Footer"/>
            <w:spacing w:after="120"/>
            <w:rPr>
              <w:sz w:val="12"/>
            </w:rPr>
          </w:pPr>
        </w:p>
      </w:tc>
    </w:tr>
    <w:tr w:rsidR="007427D5" w:rsidRPr="007427D5" w:rsidTr="007427D5">
      <w:trPr>
        <w:trHeight w:hRule="exact" w:val="397"/>
      </w:trPr>
      <w:tc>
        <w:tcPr>
          <w:tcW w:w="14003" w:type="dxa"/>
          <w:shd w:val="clear" w:color="auto" w:fill="auto"/>
          <w:vAlign w:val="bottom"/>
        </w:tcPr>
        <w:p w:rsidR="007427D5" w:rsidRPr="00BA7E27" w:rsidRDefault="007427D5" w:rsidP="007427D5">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rsidR="007427D5" w:rsidRPr="007427D5" w:rsidRDefault="007427D5" w:rsidP="007427D5">
          <w:pPr>
            <w:pStyle w:val="Footer"/>
            <w:spacing w:after="120"/>
            <w:jc w:val="center"/>
            <w:rPr>
              <w:rFonts w:ascii="Arial" w:hAnsi="Arial" w:cs="Arial"/>
              <w:b/>
              <w:color w:val="FFFFFF"/>
              <w:sz w:val="20"/>
            </w:rPr>
          </w:pPr>
          <w:r w:rsidRPr="007427D5">
            <w:rPr>
              <w:rFonts w:ascii="Arial" w:hAnsi="Arial" w:cs="Arial"/>
              <w:b/>
              <w:color w:val="FFFFFF"/>
              <w:sz w:val="20"/>
            </w:rPr>
            <w:t xml:space="preserve">Page </w:t>
          </w:r>
          <w:r w:rsidRPr="007427D5">
            <w:rPr>
              <w:rFonts w:ascii="Arial" w:hAnsi="Arial" w:cs="Arial"/>
              <w:b/>
              <w:color w:val="FFFFFF"/>
              <w:sz w:val="20"/>
            </w:rPr>
            <w:fldChar w:fldCharType="begin"/>
          </w:r>
          <w:r w:rsidRPr="007427D5">
            <w:rPr>
              <w:rFonts w:ascii="Arial" w:hAnsi="Arial" w:cs="Arial"/>
              <w:b/>
              <w:color w:val="FFFFFF"/>
              <w:sz w:val="20"/>
            </w:rPr>
            <w:instrText xml:space="preserve"> PAGE  \* MERGEFORMAT </w:instrText>
          </w:r>
          <w:r w:rsidRPr="007427D5">
            <w:rPr>
              <w:rFonts w:ascii="Arial" w:hAnsi="Arial" w:cs="Arial"/>
              <w:b/>
              <w:color w:val="FFFFFF"/>
              <w:sz w:val="20"/>
            </w:rPr>
            <w:fldChar w:fldCharType="separate"/>
          </w:r>
          <w:r w:rsidR="00DA7A3A">
            <w:rPr>
              <w:rFonts w:ascii="Arial" w:hAnsi="Arial" w:cs="Arial"/>
              <w:b/>
              <w:noProof/>
              <w:color w:val="FFFFFF"/>
              <w:sz w:val="20"/>
            </w:rPr>
            <w:t>10</w:t>
          </w:r>
          <w:r w:rsidRPr="007427D5">
            <w:rPr>
              <w:rFonts w:ascii="Arial" w:hAnsi="Arial" w:cs="Arial"/>
              <w:b/>
              <w:color w:val="FFFFFF"/>
              <w:sz w:val="20"/>
            </w:rPr>
            <w:fldChar w:fldCharType="end"/>
          </w:r>
        </w:p>
      </w:tc>
    </w:tr>
  </w:tbl>
  <w:p w:rsidR="007427D5" w:rsidRPr="00ED17EC" w:rsidRDefault="007427D5">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7F0" w:rsidRDefault="00A007F0" w:rsidP="007427D5">
      <w:pPr>
        <w:spacing w:after="0" w:line="240" w:lineRule="auto"/>
      </w:pPr>
      <w:r>
        <w:separator/>
      </w:r>
    </w:p>
  </w:footnote>
  <w:footnote w:type="continuationSeparator" w:id="0">
    <w:p w:rsidR="00A007F0" w:rsidRDefault="00A007F0" w:rsidP="007427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7427D5" w:rsidRPr="007427D5" w:rsidTr="007427D5">
      <w:trPr>
        <w:trHeight w:hRule="exact" w:val="850"/>
      </w:trPr>
      <w:tc>
        <w:tcPr>
          <w:tcW w:w="13323" w:type="dxa"/>
        </w:tcPr>
        <w:p w:rsidR="007427D5" w:rsidRPr="007427D5" w:rsidRDefault="007427D5" w:rsidP="007427D5">
          <w:pPr>
            <w:pStyle w:val="Header"/>
            <w:spacing w:after="120"/>
            <w:rPr>
              <w:rFonts w:ascii="Arial" w:hAnsi="Arial" w:cs="Arial"/>
            </w:rPr>
          </w:pPr>
        </w:p>
      </w:tc>
      <w:tc>
        <w:tcPr>
          <w:tcW w:w="1757" w:type="dxa"/>
          <w:shd w:val="clear" w:color="auto" w:fill="163D82"/>
          <w:vAlign w:val="center"/>
        </w:tcPr>
        <w:p w:rsidR="007427D5" w:rsidRPr="007427D5" w:rsidRDefault="007427D5" w:rsidP="007427D5">
          <w:pPr>
            <w:pStyle w:val="Header"/>
            <w:spacing w:after="120"/>
            <w:jc w:val="center"/>
            <w:rPr>
              <w:rFonts w:ascii="Arial" w:hAnsi="Arial" w:cs="Arial"/>
              <w:b/>
              <w:color w:val="FFFFFF"/>
              <w:sz w:val="24"/>
            </w:rPr>
          </w:pPr>
          <w:r w:rsidRPr="007427D5">
            <w:rPr>
              <w:rFonts w:ascii="Arial" w:hAnsi="Arial" w:cs="Arial"/>
              <w:b/>
              <w:color w:val="FFFFFF"/>
              <w:sz w:val="24"/>
            </w:rPr>
            <w:t>Internal Audit</w:t>
          </w:r>
        </w:p>
      </w:tc>
    </w:tr>
  </w:tbl>
  <w:p w:rsidR="007427D5" w:rsidRDefault="007427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7427D5" w:rsidTr="007427D5">
      <w:tc>
        <w:tcPr>
          <w:tcW w:w="1701" w:type="dxa"/>
          <w:vAlign w:val="bottom"/>
        </w:tcPr>
        <w:p w:rsidR="007427D5" w:rsidRDefault="00804709" w:rsidP="007427D5">
          <w:pPr>
            <w:pStyle w:val="Header"/>
            <w:spacing w:after="120"/>
          </w:pPr>
          <w:r w:rsidRPr="00A033E4">
            <w:rPr>
              <w:rFonts w:ascii="Arial" w:hAnsi="Arial" w:cs="Arial"/>
              <w:b/>
              <w:noProof/>
              <w:color w:val="163D82"/>
              <w:sz w:val="32"/>
              <w:lang w:eastAsia="en-GB"/>
            </w:rPr>
            <w:drawing>
              <wp:inline distT="0" distB="0" distL="0" distR="0" wp14:anchorId="6B786F47" wp14:editId="0651E3D1">
                <wp:extent cx="723900" cy="333375"/>
                <wp:effectExtent l="0" t="0" r="0" b="9525"/>
                <wp:docPr id="9"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7427D5" w:rsidRPr="007427D5" w:rsidRDefault="00F077E2" w:rsidP="007427D5">
          <w:pPr>
            <w:pStyle w:val="Header"/>
            <w:spacing w:after="120"/>
            <w:jc w:val="center"/>
            <w:rPr>
              <w:color w:val="163D82"/>
              <w:sz w:val="18"/>
            </w:rPr>
          </w:pPr>
          <w:r w:rsidRPr="00F077E2">
            <w:rPr>
              <w:color w:val="163D82"/>
              <w:sz w:val="18"/>
            </w:rPr>
            <w:t>The Police and Crime Commissioner for Cleveland and the Chief Constable Cleveland Police</w:t>
          </w:r>
        </w:p>
        <w:p w:rsidR="007427D5" w:rsidRPr="007427D5" w:rsidRDefault="00804709" w:rsidP="007427D5">
          <w:pPr>
            <w:pStyle w:val="Header"/>
            <w:spacing w:after="120"/>
            <w:jc w:val="center"/>
            <w:rPr>
              <w:color w:val="163D82"/>
              <w:sz w:val="18"/>
            </w:rPr>
          </w:pPr>
          <w:r>
            <w:rPr>
              <w:color w:val="163D82"/>
              <w:sz w:val="18"/>
            </w:rPr>
            <w:t xml:space="preserve">Assurance </w:t>
          </w:r>
          <w:r w:rsidR="007427D5" w:rsidRPr="007427D5">
            <w:rPr>
              <w:color w:val="163D82"/>
              <w:sz w:val="18"/>
            </w:rPr>
            <w:t>Review of Governance – Strategic Control and C</w:t>
          </w:r>
          <w:r w:rsidR="00897AAF">
            <w:rPr>
              <w:color w:val="163D82"/>
              <w:sz w:val="18"/>
            </w:rPr>
            <w:t>orporate Governance</w:t>
          </w:r>
        </w:p>
      </w:tc>
      <w:tc>
        <w:tcPr>
          <w:tcW w:w="1701" w:type="dxa"/>
          <w:vAlign w:val="bottom"/>
        </w:tcPr>
        <w:p w:rsidR="007427D5" w:rsidRPr="007427D5" w:rsidRDefault="007427D5" w:rsidP="007427D5">
          <w:pPr>
            <w:pStyle w:val="Header"/>
            <w:spacing w:after="120"/>
            <w:jc w:val="right"/>
            <w:rPr>
              <w:b/>
              <w:color w:val="163D82"/>
            </w:rPr>
          </w:pPr>
          <w:r w:rsidRPr="007427D5">
            <w:rPr>
              <w:b/>
              <w:color w:val="163D82"/>
            </w:rPr>
            <w:t>2017/18</w:t>
          </w:r>
        </w:p>
      </w:tc>
    </w:tr>
  </w:tbl>
  <w:p w:rsidR="007427D5" w:rsidRPr="00524B5B" w:rsidRDefault="007427D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7427D5" w:rsidRPr="007427D5" w:rsidTr="007427D5">
      <w:trPr>
        <w:trHeight w:hRule="exact" w:val="850"/>
      </w:trPr>
      <w:tc>
        <w:tcPr>
          <w:tcW w:w="13323" w:type="dxa"/>
        </w:tcPr>
        <w:p w:rsidR="007427D5" w:rsidRPr="007427D5" w:rsidRDefault="007427D5" w:rsidP="007427D5">
          <w:pPr>
            <w:pStyle w:val="Header"/>
            <w:spacing w:after="120"/>
            <w:rPr>
              <w:rFonts w:ascii="Arial" w:hAnsi="Arial" w:cs="Arial"/>
            </w:rPr>
          </w:pPr>
        </w:p>
      </w:tc>
      <w:tc>
        <w:tcPr>
          <w:tcW w:w="1757" w:type="dxa"/>
          <w:shd w:val="clear" w:color="auto" w:fill="163D82"/>
          <w:vAlign w:val="center"/>
        </w:tcPr>
        <w:p w:rsidR="007427D5" w:rsidRPr="007427D5" w:rsidRDefault="007427D5" w:rsidP="007427D5">
          <w:pPr>
            <w:pStyle w:val="Header"/>
            <w:spacing w:after="120"/>
            <w:jc w:val="center"/>
            <w:rPr>
              <w:rFonts w:ascii="Arial" w:hAnsi="Arial" w:cs="Arial"/>
              <w:b/>
              <w:color w:val="FFFFFF"/>
              <w:sz w:val="24"/>
            </w:rPr>
          </w:pPr>
          <w:r w:rsidRPr="007427D5">
            <w:rPr>
              <w:rFonts w:ascii="Arial" w:hAnsi="Arial" w:cs="Arial"/>
              <w:b/>
              <w:color w:val="FFFFFF"/>
              <w:sz w:val="24"/>
            </w:rPr>
            <w:t>Internal Audit</w:t>
          </w:r>
        </w:p>
      </w:tc>
    </w:tr>
  </w:tbl>
  <w:p w:rsidR="007427D5" w:rsidRDefault="007427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7427D5" w:rsidTr="007427D5">
      <w:tc>
        <w:tcPr>
          <w:tcW w:w="1701" w:type="dxa"/>
          <w:vAlign w:val="bottom"/>
        </w:tcPr>
        <w:p w:rsidR="007427D5" w:rsidRDefault="00804709" w:rsidP="007427D5">
          <w:pPr>
            <w:pStyle w:val="Header"/>
            <w:spacing w:after="120"/>
          </w:pPr>
          <w:r w:rsidRPr="00A033E4">
            <w:rPr>
              <w:rFonts w:ascii="Arial" w:hAnsi="Arial" w:cs="Arial"/>
              <w:b/>
              <w:noProof/>
              <w:color w:val="163D82"/>
              <w:sz w:val="32"/>
              <w:lang w:eastAsia="en-GB"/>
            </w:rPr>
            <w:drawing>
              <wp:inline distT="0" distB="0" distL="0" distR="0" wp14:anchorId="269B427B" wp14:editId="2D5231AA">
                <wp:extent cx="723900" cy="333375"/>
                <wp:effectExtent l="0" t="0" r="0" b="9525"/>
                <wp:docPr id="2"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7427D5" w:rsidRPr="007427D5" w:rsidRDefault="00897AAF" w:rsidP="007427D5">
          <w:pPr>
            <w:pStyle w:val="Header"/>
            <w:spacing w:after="120"/>
            <w:jc w:val="center"/>
            <w:rPr>
              <w:color w:val="163D82"/>
              <w:sz w:val="18"/>
            </w:rPr>
          </w:pPr>
          <w:r w:rsidRPr="00897AAF">
            <w:rPr>
              <w:color w:val="163D82"/>
              <w:sz w:val="18"/>
            </w:rPr>
            <w:t>The Police and Crime Commissioner for Cleveland and the Chief Constable Cleveland Police</w:t>
          </w:r>
        </w:p>
        <w:p w:rsidR="007427D5" w:rsidRPr="007427D5" w:rsidRDefault="00524B5B" w:rsidP="007427D5">
          <w:pPr>
            <w:pStyle w:val="Header"/>
            <w:spacing w:after="120"/>
            <w:jc w:val="center"/>
            <w:rPr>
              <w:color w:val="163D82"/>
              <w:sz w:val="18"/>
            </w:rPr>
          </w:pPr>
          <w:r>
            <w:rPr>
              <w:color w:val="163D82"/>
              <w:sz w:val="18"/>
            </w:rPr>
            <w:t xml:space="preserve">Assurance </w:t>
          </w:r>
          <w:r w:rsidR="007427D5" w:rsidRPr="007427D5">
            <w:rPr>
              <w:color w:val="163D82"/>
              <w:sz w:val="18"/>
            </w:rPr>
            <w:t>Review of Governance – Strategic C</w:t>
          </w:r>
          <w:r w:rsidR="00897AAF">
            <w:rPr>
              <w:color w:val="163D82"/>
              <w:sz w:val="18"/>
            </w:rPr>
            <w:t>ontrol and Corporate Governance</w:t>
          </w:r>
        </w:p>
      </w:tc>
      <w:tc>
        <w:tcPr>
          <w:tcW w:w="1701" w:type="dxa"/>
          <w:vAlign w:val="bottom"/>
        </w:tcPr>
        <w:p w:rsidR="007427D5" w:rsidRPr="007427D5" w:rsidRDefault="007427D5" w:rsidP="007427D5">
          <w:pPr>
            <w:pStyle w:val="Header"/>
            <w:spacing w:after="120"/>
            <w:jc w:val="right"/>
            <w:rPr>
              <w:b/>
              <w:color w:val="163D82"/>
            </w:rPr>
          </w:pPr>
          <w:r w:rsidRPr="007427D5">
            <w:rPr>
              <w:b/>
              <w:color w:val="163D82"/>
            </w:rPr>
            <w:t>2017/18</w:t>
          </w:r>
        </w:p>
      </w:tc>
    </w:tr>
  </w:tbl>
  <w:p w:rsidR="007427D5" w:rsidRPr="00524B5B" w:rsidRDefault="007427D5">
    <w:pPr>
      <w:pStyle w:val="Header"/>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7427D5" w:rsidTr="007427D5">
      <w:tc>
        <w:tcPr>
          <w:tcW w:w="1701" w:type="dxa"/>
          <w:vAlign w:val="bottom"/>
        </w:tcPr>
        <w:p w:rsidR="007427D5" w:rsidRDefault="00804709" w:rsidP="007427D5">
          <w:pPr>
            <w:pStyle w:val="Header"/>
            <w:spacing w:after="120"/>
          </w:pPr>
          <w:r w:rsidRPr="00A033E4">
            <w:rPr>
              <w:rFonts w:ascii="Arial" w:hAnsi="Arial" w:cs="Arial"/>
              <w:b/>
              <w:noProof/>
              <w:color w:val="163D82"/>
              <w:sz w:val="32"/>
              <w:lang w:eastAsia="en-GB"/>
            </w:rPr>
            <w:drawing>
              <wp:inline distT="0" distB="0" distL="0" distR="0" wp14:anchorId="3831BE32" wp14:editId="675A45A6">
                <wp:extent cx="723900" cy="333375"/>
                <wp:effectExtent l="0" t="0" r="0" b="9525"/>
                <wp:docPr id="1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7427D5" w:rsidRPr="007427D5" w:rsidRDefault="00897AAF" w:rsidP="007427D5">
          <w:pPr>
            <w:pStyle w:val="Header"/>
            <w:spacing w:after="120"/>
            <w:jc w:val="center"/>
            <w:rPr>
              <w:color w:val="163D82"/>
              <w:sz w:val="18"/>
            </w:rPr>
          </w:pPr>
          <w:r w:rsidRPr="00897AAF">
            <w:rPr>
              <w:color w:val="163D82"/>
              <w:sz w:val="18"/>
            </w:rPr>
            <w:t>The Police and Crime Commissioner for Cleveland and the Chief Constable Cleveland Police</w:t>
          </w:r>
        </w:p>
        <w:p w:rsidR="007427D5" w:rsidRPr="007427D5" w:rsidRDefault="00524B5B" w:rsidP="007427D5">
          <w:pPr>
            <w:pStyle w:val="Header"/>
            <w:spacing w:after="120"/>
            <w:jc w:val="center"/>
            <w:rPr>
              <w:color w:val="163D82"/>
              <w:sz w:val="18"/>
            </w:rPr>
          </w:pPr>
          <w:r>
            <w:rPr>
              <w:color w:val="163D82"/>
              <w:sz w:val="18"/>
            </w:rPr>
            <w:t xml:space="preserve">Assurance </w:t>
          </w:r>
          <w:r w:rsidR="007427D5" w:rsidRPr="007427D5">
            <w:rPr>
              <w:color w:val="163D82"/>
              <w:sz w:val="18"/>
            </w:rPr>
            <w:t>Review of Governance – Strategic Control and C</w:t>
          </w:r>
          <w:r w:rsidR="00897AAF">
            <w:rPr>
              <w:color w:val="163D82"/>
              <w:sz w:val="18"/>
            </w:rPr>
            <w:t>orporate Governance</w:t>
          </w:r>
        </w:p>
      </w:tc>
      <w:tc>
        <w:tcPr>
          <w:tcW w:w="1701" w:type="dxa"/>
          <w:vAlign w:val="bottom"/>
        </w:tcPr>
        <w:p w:rsidR="007427D5" w:rsidRPr="007427D5" w:rsidRDefault="007427D5" w:rsidP="007427D5">
          <w:pPr>
            <w:pStyle w:val="Header"/>
            <w:spacing w:after="120"/>
            <w:jc w:val="right"/>
            <w:rPr>
              <w:b/>
              <w:color w:val="163D82"/>
            </w:rPr>
          </w:pPr>
          <w:r w:rsidRPr="007427D5">
            <w:rPr>
              <w:b/>
              <w:color w:val="163D82"/>
            </w:rPr>
            <w:t>2017/18</w:t>
          </w:r>
        </w:p>
      </w:tc>
    </w:tr>
  </w:tbl>
  <w:p w:rsidR="007427D5" w:rsidRPr="00524B5B" w:rsidRDefault="007427D5">
    <w:pPr>
      <w:pStyle w:val="Header"/>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7427D5" w:rsidTr="007427D5">
      <w:tc>
        <w:tcPr>
          <w:tcW w:w="1701" w:type="dxa"/>
          <w:vAlign w:val="bottom"/>
        </w:tcPr>
        <w:p w:rsidR="007427D5" w:rsidRDefault="00ED17EC" w:rsidP="007427D5">
          <w:pPr>
            <w:pStyle w:val="Header"/>
            <w:spacing w:after="120"/>
          </w:pPr>
          <w:r w:rsidRPr="00A033E4">
            <w:rPr>
              <w:rFonts w:ascii="Arial" w:hAnsi="Arial" w:cs="Arial"/>
              <w:b/>
              <w:noProof/>
              <w:color w:val="163D82"/>
              <w:sz w:val="32"/>
              <w:lang w:eastAsia="en-GB"/>
            </w:rPr>
            <w:drawing>
              <wp:inline distT="0" distB="0" distL="0" distR="0" wp14:anchorId="2D7FB5FD" wp14:editId="17756548">
                <wp:extent cx="723900" cy="333375"/>
                <wp:effectExtent l="0" t="0" r="0" b="9525"/>
                <wp:docPr id="8"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7427D5" w:rsidRPr="007427D5" w:rsidRDefault="00897AAF" w:rsidP="007427D5">
          <w:pPr>
            <w:pStyle w:val="Header"/>
            <w:spacing w:after="120"/>
            <w:jc w:val="center"/>
            <w:rPr>
              <w:color w:val="163D82"/>
              <w:sz w:val="18"/>
            </w:rPr>
          </w:pPr>
          <w:r w:rsidRPr="00897AAF">
            <w:rPr>
              <w:color w:val="163D82"/>
              <w:sz w:val="18"/>
            </w:rPr>
            <w:t>The Police and Crime Commissioner for Cleveland and the Chief Constable Cleveland Police</w:t>
          </w:r>
        </w:p>
        <w:p w:rsidR="007427D5" w:rsidRPr="007427D5" w:rsidRDefault="00524B5B" w:rsidP="007427D5">
          <w:pPr>
            <w:pStyle w:val="Header"/>
            <w:spacing w:after="120"/>
            <w:jc w:val="center"/>
            <w:rPr>
              <w:color w:val="163D82"/>
              <w:sz w:val="18"/>
            </w:rPr>
          </w:pPr>
          <w:r>
            <w:rPr>
              <w:color w:val="163D82"/>
              <w:sz w:val="18"/>
            </w:rPr>
            <w:t xml:space="preserve">Assurance </w:t>
          </w:r>
          <w:r w:rsidR="007427D5" w:rsidRPr="007427D5">
            <w:rPr>
              <w:color w:val="163D82"/>
              <w:sz w:val="18"/>
            </w:rPr>
            <w:t>Review of Governance – Strategic Control and C</w:t>
          </w:r>
          <w:r w:rsidR="00897AAF">
            <w:rPr>
              <w:color w:val="163D82"/>
              <w:sz w:val="18"/>
            </w:rPr>
            <w:t>orporate Governance</w:t>
          </w:r>
        </w:p>
      </w:tc>
      <w:tc>
        <w:tcPr>
          <w:tcW w:w="1701" w:type="dxa"/>
          <w:vAlign w:val="bottom"/>
        </w:tcPr>
        <w:p w:rsidR="007427D5" w:rsidRPr="007427D5" w:rsidRDefault="007427D5" w:rsidP="007427D5">
          <w:pPr>
            <w:pStyle w:val="Header"/>
            <w:spacing w:after="120"/>
            <w:jc w:val="right"/>
            <w:rPr>
              <w:b/>
              <w:color w:val="163D82"/>
            </w:rPr>
          </w:pPr>
          <w:r w:rsidRPr="007427D5">
            <w:rPr>
              <w:b/>
              <w:color w:val="163D82"/>
            </w:rPr>
            <w:t>2017/18</w:t>
          </w:r>
        </w:p>
      </w:tc>
    </w:tr>
  </w:tbl>
  <w:p w:rsidR="007427D5" w:rsidRPr="00ED17EC" w:rsidRDefault="007427D5">
    <w:pPr>
      <w:pStyle w:val="Header"/>
      <w:rPr>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2332"/>
    <w:multiLevelType w:val="hybridMultilevel"/>
    <w:tmpl w:val="005AB700"/>
    <w:lvl w:ilvl="0" w:tplc="461E80BA">
      <w:start w:val="1"/>
      <w:numFmt w:val="bullet"/>
      <w:lvlText w:val=""/>
      <w:lvlJc w:val="left"/>
      <w:pPr>
        <w:ind w:left="720" w:hanging="360"/>
      </w:pPr>
      <w:rPr>
        <w:rFonts w:ascii="Wingdings" w:hAnsi="Wingdings" w:cs="Wingdings" w:hint="default"/>
        <w:caps w:val="0"/>
        <w:strike w:val="0"/>
        <w:dstrike w:val="0"/>
        <w:snapToGrid/>
        <w:vanish w:val="0"/>
        <w:color w:val="DC0C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3165CD"/>
    <w:multiLevelType w:val="multilevel"/>
    <w:tmpl w:val="D6C6FD30"/>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3E852B5D"/>
    <w:multiLevelType w:val="multilevel"/>
    <w:tmpl w:val="3D626608"/>
    <w:lvl w:ilvl="0">
      <w:start w:val="13"/>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694"/>
        </w:tabs>
        <w:ind w:left="2694" w:hanging="567"/>
      </w:pPr>
      <w:rPr>
        <w:rFonts w:ascii="Symbol" w:hAnsi="Symbol" w:hint="default"/>
        <w:b w:val="0"/>
        <w:i w:val="0"/>
        <w:caps w:val="0"/>
        <w:strike w:val="0"/>
        <w:dstrike w:val="0"/>
        <w:vanish w:val="0"/>
        <w:color w:val="163D82"/>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4B216E11"/>
    <w:multiLevelType w:val="multilevel"/>
    <w:tmpl w:val="3286AFBA"/>
    <w:lvl w:ilvl="0">
      <w:start w:val="12"/>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694"/>
        </w:tabs>
        <w:ind w:left="2694" w:hanging="567"/>
      </w:pPr>
      <w:rPr>
        <w:rFonts w:ascii="Symbol" w:hAnsi="Symbol" w:hint="default"/>
        <w:b w:val="0"/>
        <w:i w:val="0"/>
        <w:caps w:val="0"/>
        <w:strike w:val="0"/>
        <w:dstrike w:val="0"/>
        <w:vanish w:val="0"/>
        <w:color w:val="DC0D15"/>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5A052B21"/>
    <w:multiLevelType w:val="multilevel"/>
    <w:tmpl w:val="DEDE8B2C"/>
    <w:lvl w:ilvl="0">
      <w:start w:val="1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5D4452F9"/>
    <w:multiLevelType w:val="hybridMultilevel"/>
    <w:tmpl w:val="D1F431D8"/>
    <w:lvl w:ilvl="0" w:tplc="461E80BA">
      <w:start w:val="1"/>
      <w:numFmt w:val="bullet"/>
      <w:lvlText w:val=""/>
      <w:lvlJc w:val="left"/>
      <w:pPr>
        <w:ind w:left="3414" w:hanging="360"/>
      </w:pPr>
      <w:rPr>
        <w:rFonts w:ascii="Wingdings" w:hAnsi="Wingdings" w:cs="Wingdings" w:hint="default"/>
        <w:caps w:val="0"/>
        <w:strike w:val="0"/>
        <w:dstrike w:val="0"/>
        <w:snapToGrid/>
        <w:vanish w:val="0"/>
        <w:color w:val="DC0C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4134" w:hanging="360"/>
      </w:pPr>
      <w:rPr>
        <w:rFonts w:ascii="Courier New" w:hAnsi="Courier New" w:cs="Courier New" w:hint="default"/>
      </w:rPr>
    </w:lvl>
    <w:lvl w:ilvl="2" w:tplc="08090005" w:tentative="1">
      <w:start w:val="1"/>
      <w:numFmt w:val="bullet"/>
      <w:lvlText w:val=""/>
      <w:lvlJc w:val="left"/>
      <w:pPr>
        <w:ind w:left="4854" w:hanging="360"/>
      </w:pPr>
      <w:rPr>
        <w:rFonts w:ascii="Wingdings" w:hAnsi="Wingdings" w:hint="default"/>
      </w:rPr>
    </w:lvl>
    <w:lvl w:ilvl="3" w:tplc="08090001" w:tentative="1">
      <w:start w:val="1"/>
      <w:numFmt w:val="bullet"/>
      <w:lvlText w:val=""/>
      <w:lvlJc w:val="left"/>
      <w:pPr>
        <w:ind w:left="5574" w:hanging="360"/>
      </w:pPr>
      <w:rPr>
        <w:rFonts w:ascii="Symbol" w:hAnsi="Symbol" w:hint="default"/>
      </w:rPr>
    </w:lvl>
    <w:lvl w:ilvl="4" w:tplc="08090003" w:tentative="1">
      <w:start w:val="1"/>
      <w:numFmt w:val="bullet"/>
      <w:lvlText w:val="o"/>
      <w:lvlJc w:val="left"/>
      <w:pPr>
        <w:ind w:left="6294" w:hanging="360"/>
      </w:pPr>
      <w:rPr>
        <w:rFonts w:ascii="Courier New" w:hAnsi="Courier New" w:cs="Courier New" w:hint="default"/>
      </w:rPr>
    </w:lvl>
    <w:lvl w:ilvl="5" w:tplc="08090005" w:tentative="1">
      <w:start w:val="1"/>
      <w:numFmt w:val="bullet"/>
      <w:lvlText w:val=""/>
      <w:lvlJc w:val="left"/>
      <w:pPr>
        <w:ind w:left="7014" w:hanging="360"/>
      </w:pPr>
      <w:rPr>
        <w:rFonts w:ascii="Wingdings" w:hAnsi="Wingdings" w:hint="default"/>
      </w:rPr>
    </w:lvl>
    <w:lvl w:ilvl="6" w:tplc="08090001" w:tentative="1">
      <w:start w:val="1"/>
      <w:numFmt w:val="bullet"/>
      <w:lvlText w:val=""/>
      <w:lvlJc w:val="left"/>
      <w:pPr>
        <w:ind w:left="7734" w:hanging="360"/>
      </w:pPr>
      <w:rPr>
        <w:rFonts w:ascii="Symbol" w:hAnsi="Symbol" w:hint="default"/>
      </w:rPr>
    </w:lvl>
    <w:lvl w:ilvl="7" w:tplc="08090003" w:tentative="1">
      <w:start w:val="1"/>
      <w:numFmt w:val="bullet"/>
      <w:lvlText w:val="o"/>
      <w:lvlJc w:val="left"/>
      <w:pPr>
        <w:ind w:left="8454" w:hanging="360"/>
      </w:pPr>
      <w:rPr>
        <w:rFonts w:ascii="Courier New" w:hAnsi="Courier New" w:cs="Courier New" w:hint="default"/>
      </w:rPr>
    </w:lvl>
    <w:lvl w:ilvl="8" w:tplc="08090005" w:tentative="1">
      <w:start w:val="1"/>
      <w:numFmt w:val="bullet"/>
      <w:lvlText w:val=""/>
      <w:lvlJc w:val="left"/>
      <w:pPr>
        <w:ind w:left="9174" w:hanging="360"/>
      </w:pPr>
      <w:rPr>
        <w:rFonts w:ascii="Wingdings" w:hAnsi="Wingdings" w:hint="default"/>
      </w:rPr>
    </w:lvl>
  </w:abstractNum>
  <w:abstractNum w:abstractNumId="6">
    <w:nsid w:val="6ABA40A6"/>
    <w:multiLevelType w:val="multilevel"/>
    <w:tmpl w:val="A68E3AA8"/>
    <w:lvl w:ilvl="0">
      <w:start w:val="1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4"/>
  </w:num>
  <w:num w:numId="3">
    <w:abstractNumId w:val="2"/>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jP3Lr5qHKkL/D4digUcScY8n4BB/TjjI7WGazKIOR5sa3RK7Opkbj18n6UtO8GOARkK5lskRj/zLGxY+vXtzAA==" w:salt="H4Pbo34swWK/zHqVM5NPF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08/12/2017 10:55"/>
  </w:docVars>
  <w:rsids>
    <w:rsidRoot w:val="007427D5"/>
    <w:rsid w:val="00065C5D"/>
    <w:rsid w:val="00075E48"/>
    <w:rsid w:val="00093322"/>
    <w:rsid w:val="000B51AB"/>
    <w:rsid w:val="00112EA6"/>
    <w:rsid w:val="001267E6"/>
    <w:rsid w:val="00152AFC"/>
    <w:rsid w:val="00172804"/>
    <w:rsid w:val="001B5A90"/>
    <w:rsid w:val="003368E2"/>
    <w:rsid w:val="00341C73"/>
    <w:rsid w:val="004E0633"/>
    <w:rsid w:val="005049C3"/>
    <w:rsid w:val="00524B5B"/>
    <w:rsid w:val="005568B6"/>
    <w:rsid w:val="00563D6C"/>
    <w:rsid w:val="005929EB"/>
    <w:rsid w:val="005C648E"/>
    <w:rsid w:val="006567D7"/>
    <w:rsid w:val="006B6863"/>
    <w:rsid w:val="007258DD"/>
    <w:rsid w:val="007427D5"/>
    <w:rsid w:val="0079233C"/>
    <w:rsid w:val="007F1B6C"/>
    <w:rsid w:val="00804709"/>
    <w:rsid w:val="00897AAF"/>
    <w:rsid w:val="008F1AEA"/>
    <w:rsid w:val="00935C31"/>
    <w:rsid w:val="009877F9"/>
    <w:rsid w:val="009C58CB"/>
    <w:rsid w:val="009C7E12"/>
    <w:rsid w:val="00A007F0"/>
    <w:rsid w:val="00A1141B"/>
    <w:rsid w:val="00A17678"/>
    <w:rsid w:val="00AD19A2"/>
    <w:rsid w:val="00B55AF9"/>
    <w:rsid w:val="00B57C19"/>
    <w:rsid w:val="00BA7E27"/>
    <w:rsid w:val="00C16CED"/>
    <w:rsid w:val="00C604A6"/>
    <w:rsid w:val="00CC1547"/>
    <w:rsid w:val="00CD14A3"/>
    <w:rsid w:val="00D832A0"/>
    <w:rsid w:val="00DA61E5"/>
    <w:rsid w:val="00DA7A3A"/>
    <w:rsid w:val="00DD6556"/>
    <w:rsid w:val="00E86491"/>
    <w:rsid w:val="00EA071A"/>
    <w:rsid w:val="00ED17EC"/>
    <w:rsid w:val="00EF602B"/>
    <w:rsid w:val="00F0656C"/>
    <w:rsid w:val="00F077E2"/>
    <w:rsid w:val="00F7689C"/>
    <w:rsid w:val="00FC58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27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27D5"/>
  </w:style>
  <w:style w:type="paragraph" w:styleId="Footer">
    <w:name w:val="footer"/>
    <w:basedOn w:val="Normal"/>
    <w:link w:val="FooterChar"/>
    <w:uiPriority w:val="99"/>
    <w:unhideWhenUsed/>
    <w:rsid w:val="007427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27D5"/>
  </w:style>
  <w:style w:type="paragraph" w:styleId="ListParagraph">
    <w:name w:val="List Paragraph"/>
    <w:basedOn w:val="Normal"/>
    <w:uiPriority w:val="34"/>
    <w:qFormat/>
    <w:rsid w:val="007427D5"/>
    <w:pPr>
      <w:ind w:left="720"/>
      <w:contextualSpacing/>
    </w:pPr>
  </w:style>
  <w:style w:type="paragraph" w:styleId="BalloonText">
    <w:name w:val="Balloon Text"/>
    <w:basedOn w:val="Normal"/>
    <w:link w:val="BalloonTextChar"/>
    <w:uiPriority w:val="99"/>
    <w:semiHidden/>
    <w:unhideWhenUsed/>
    <w:rsid w:val="00935C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C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27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27D5"/>
  </w:style>
  <w:style w:type="paragraph" w:styleId="Footer">
    <w:name w:val="footer"/>
    <w:basedOn w:val="Normal"/>
    <w:link w:val="FooterChar"/>
    <w:uiPriority w:val="99"/>
    <w:unhideWhenUsed/>
    <w:rsid w:val="007427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27D5"/>
  </w:style>
  <w:style w:type="paragraph" w:styleId="ListParagraph">
    <w:name w:val="List Paragraph"/>
    <w:basedOn w:val="Normal"/>
    <w:uiPriority w:val="34"/>
    <w:qFormat/>
    <w:rsid w:val="007427D5"/>
    <w:pPr>
      <w:ind w:left="720"/>
      <w:contextualSpacing/>
    </w:pPr>
  </w:style>
  <w:style w:type="paragraph" w:styleId="BalloonText">
    <w:name w:val="Balloon Text"/>
    <w:basedOn w:val="Normal"/>
    <w:link w:val="BalloonTextChar"/>
    <w:uiPriority w:val="99"/>
    <w:semiHidden/>
    <w:unhideWhenUsed/>
    <w:rsid w:val="00935C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C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13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48F6E-8BF7-49C4-BAF4-DA1AC451C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2153</Words>
  <Characters>12276</Characters>
  <Application>Microsoft Office Word</Application>
  <DocSecurity>8</DocSecurity>
  <Lines>102</Lines>
  <Paragraphs>28</Paragraphs>
  <ScaleCrop>false</ScaleCrop>
  <HeadingPairs>
    <vt:vector size="2" baseType="variant">
      <vt:variant>
        <vt:lpstr>Title</vt:lpstr>
      </vt:variant>
      <vt:variant>
        <vt:i4>1</vt:i4>
      </vt:variant>
    </vt:vector>
  </HeadingPairs>
  <TitlesOfParts>
    <vt:vector size="1" baseType="lpstr">
      <vt:lpstr>Governance – Strategic Control and Corporate Governance</vt:lpstr>
    </vt:vector>
  </TitlesOfParts>
  <Company>Cleveland Police</Company>
  <LinksUpToDate>false</LinksUpToDate>
  <CharactersWithSpaces>14401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Governance – Strategic Control and Corporate Governance</dc:title>
  <dc:creator>TIAA</dc:creator>
  <cp:lastModifiedBy>SMITH, Hannah (C8653)</cp:lastModifiedBy>
  <cp:revision>2</cp:revision>
  <dcterms:created xsi:type="dcterms:W3CDTF">2017-12-08T10:56:00Z</dcterms:created>
  <dcterms:modified xsi:type="dcterms:W3CDTF">2017-12-08T10:56:00Z</dcterms:modified>
</cp:coreProperties>
</file>