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C627B1" w:rsidRPr="00467789" w:rsidRDefault="001F4243" w:rsidP="00C627B1">
      <w:pPr>
        <w:rPr>
          <w:rFonts w:ascii="Tahoma" w:hAnsi="Tahoma" w:cs="Tahoma"/>
          <w:b/>
          <w:sz w:val="24"/>
          <w:szCs w:val="24"/>
        </w:rPr>
      </w:pPr>
      <w:r w:rsidRPr="001F4243">
        <w:rPr>
          <w:rFonts w:ascii="Tahoma" w:hAnsi="Tahoma" w:cs="Tahoma"/>
          <w:noProof/>
          <w:sz w:val="24"/>
          <w:szCs w:val="24"/>
          <w:lang w:eastAsia="en-GB"/>
        </w:rPr>
        <mc:AlternateContent>
          <mc:Choice Requires="wps">
            <w:drawing>
              <wp:anchor distT="45720" distB="45720" distL="114300" distR="114300" simplePos="0" relativeHeight="251661312" behindDoc="0" locked="0" layoutInCell="1" allowOverlap="1" wp14:anchorId="0797F76C" wp14:editId="6BFBB071">
                <wp:simplePos x="0" y="0"/>
                <wp:positionH relativeFrom="rightMargin">
                  <wp:posOffset>-102318</wp:posOffset>
                </wp:positionH>
                <wp:positionV relativeFrom="page">
                  <wp:posOffset>190472</wp:posOffset>
                </wp:positionV>
                <wp:extent cx="887730" cy="1207770"/>
                <wp:effectExtent l="0" t="0" r="7620" b="12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7730" cy="1207770"/>
                        </a:xfrm>
                        <a:prstGeom prst="rect">
                          <a:avLst/>
                        </a:prstGeom>
                        <a:solidFill>
                          <a:srgbClr val="FFFFFF"/>
                        </a:solidFill>
                        <a:ln w="9525">
                          <a:noFill/>
                          <a:miter lim="800000"/>
                          <a:headEnd/>
                          <a:tailEnd/>
                        </a:ln>
                      </wps:spPr>
                      <wps:txbx>
                        <w:txbxContent>
                          <w:p w:rsidR="001F4243" w:rsidRPr="001F4243" w:rsidRDefault="001F4243">
                            <w:pPr>
                              <w:rPr>
                                <w:rFonts w:ascii="Tahoma" w:hAnsi="Tahoma" w:cs="Tahoma"/>
                                <w:sz w:val="32"/>
                                <w:szCs w:val="32"/>
                              </w:rPr>
                            </w:pPr>
                            <w:r w:rsidRPr="001F4243">
                              <w:rPr>
                                <w:rFonts w:ascii="Tahoma" w:hAnsi="Tahoma" w:cs="Tahoma"/>
                                <w:sz w:val="32"/>
                                <w:szCs w:val="32"/>
                              </w:rPr>
                              <w:t>Item 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797F76C" id="_x0000_t202" coordsize="21600,21600" o:spt="202" path="m,l,21600r21600,l21600,xe">
                <v:stroke joinstyle="miter"/>
                <v:path gradientshapeok="t" o:connecttype="rect"/>
              </v:shapetype>
              <v:shape id="Text Box 2" o:spid="_x0000_s1026" type="#_x0000_t202" style="position:absolute;margin-left:-8.05pt;margin-top:15pt;width:69.9pt;height:95.1pt;z-index:251661312;visibility:visible;mso-wrap-style:square;mso-width-percent:0;mso-height-percent:200;mso-wrap-distance-left:9pt;mso-wrap-distance-top:3.6pt;mso-wrap-distance-right:9pt;mso-wrap-distance-bottom:3.6pt;mso-position-horizontal:absolute;mso-position-horizontal-relative:right-margin-area;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bjDIAIAAB0EAAAOAAAAZHJzL2Uyb0RvYy54bWysU21v2yAQ/j5p/wHxfbHjJXNqxam6dJkm&#10;dS9Sux+AMY7RgGNAYne/vgdO06j7No0PiOOOh+eeu1tfj1qRo3BegqnpfJZTIgyHVpp9TX8+7N6t&#10;KPGBmZYpMKKmj8LT683bN+vBVqKAHlQrHEEQ46vB1rQPwVZZ5nkvNPMzsMKgswOnWUDT7bPWsQHR&#10;tcqKPP+QDeBa64AL7/H2dnLSTcLvOsHD967zIhBVU+QW0u7S3sQ926xZtXfM9pKfaLB/YKGZNPjp&#10;GeqWBUYOTv4FpSV34KELMw46g66TXKQcMJt5/iqb+55ZkXJBcbw9y+T/Hyz/dvzhiGxrWsxLSgzT&#10;WKQHMQbyEUZSRH0G6ysMu7cYGEa8xjqnXL29A/7LEwPbnpm9uHEOhl6wFvnN48vs4umE4yNIM3yF&#10;Fr9hhwAJaOycjuKhHATRsU6P59pEKhwvV6uyfI8ejq55kZdlmYqXser5tXU+fBagSTzU1GHtEzo7&#10;3vkQ2bDqOSR+5kHJdieVSobbN1vlyJFhn+zSSgm8ClOGDDW9WhbLhGwgvk8tpGXAPlZSI9M8rqmz&#10;ohqfTJtCApNqOiMTZU7yREUmbcLYjBgYNWugfUShHEz9ivOFhx7cH0oG7NWa+t8H5gQl6otBsa/m&#10;i0Vs7mQslmWBhrv0NJceZjhC1TRQMh23IQ1E0sHeYFF2Mun1wuTEFXswyXial9jkl3aKepnqzRMA&#10;AAD//wMAUEsDBBQABgAIAAAAIQAMd4bq3gAAAAoBAAAPAAAAZHJzL2Rvd25yZXYueG1sTI9NSwMx&#10;FEX3gv8hPMFdm0yKVabzphSLGxeCVdBlOslMhuaLJJ2O/950pcvHO9x7brOdrSGTimn0DqFaMiDK&#10;dV6ObkD4/HhZPAFJWTgpjHcK4Ucl2La3N42opb+4dzUd8kBKiEu1QNA5h5rS1GllRVr6oFz59T5a&#10;kcsZByqjuJRwayhnbE2tGF1p0CKoZ6260+FsEb6sHuU+vn330kz71373EOYYEO/v5t0GSFZz/oPh&#10;ql/UoS1OR392MhGDsKjWVUERVqxsugJ89QjkiMA540Dbhv6f0P4CAAD//wMAUEsBAi0AFAAGAAgA&#10;AAAhALaDOJL+AAAA4QEAABMAAAAAAAAAAAAAAAAAAAAAAFtDb250ZW50X1R5cGVzXS54bWxQSwEC&#10;LQAUAAYACAAAACEAOP0h/9YAAACUAQAACwAAAAAAAAAAAAAAAAAvAQAAX3JlbHMvLnJlbHNQSwEC&#10;LQAUAAYACAAAACEAHAG4wyACAAAdBAAADgAAAAAAAAAAAAAAAAAuAgAAZHJzL2Uyb0RvYy54bWxQ&#10;SwECLQAUAAYACAAAACEADHeG6t4AAAAKAQAADwAAAAAAAAAAAAAAAAB6BAAAZHJzL2Rvd25yZXYu&#10;eG1sUEsFBgAAAAAEAAQA8wAAAIUFAAAAAA==&#10;" stroked="f">
                <v:textbox style="mso-fit-shape-to-text:t">
                  <w:txbxContent>
                    <w:p w:rsidR="001F4243" w:rsidRPr="001F4243" w:rsidRDefault="001F4243">
                      <w:pPr>
                        <w:rPr>
                          <w:rFonts w:ascii="Tahoma" w:hAnsi="Tahoma" w:cs="Tahoma"/>
                          <w:sz w:val="32"/>
                          <w:szCs w:val="32"/>
                        </w:rPr>
                      </w:pPr>
                      <w:bookmarkStart w:id="1" w:name="_GoBack"/>
                      <w:r w:rsidRPr="001F4243">
                        <w:rPr>
                          <w:rFonts w:ascii="Tahoma" w:hAnsi="Tahoma" w:cs="Tahoma"/>
                          <w:sz w:val="32"/>
                          <w:szCs w:val="32"/>
                        </w:rPr>
                        <w:t>Item 4</w:t>
                      </w:r>
                      <w:bookmarkEnd w:id="1"/>
                    </w:p>
                  </w:txbxContent>
                </v:textbox>
                <w10:wrap type="square" anchorx="margin" anchory="page"/>
              </v:shape>
            </w:pict>
          </mc:Fallback>
        </mc:AlternateContent>
      </w:r>
      <w:r w:rsidR="00467789" w:rsidRPr="00467789">
        <w:rPr>
          <w:rFonts w:ascii="Tahoma" w:hAnsi="Tahoma" w:cs="Tahoma"/>
          <w:noProof/>
          <w:sz w:val="24"/>
          <w:szCs w:val="24"/>
          <w:lang w:eastAsia="en-GB"/>
        </w:rPr>
        <w:drawing>
          <wp:anchor distT="0" distB="0" distL="114300" distR="114300" simplePos="0" relativeHeight="251659264" behindDoc="0" locked="0" layoutInCell="1" allowOverlap="1" wp14:anchorId="62BD132D" wp14:editId="0A957E24">
            <wp:simplePos x="0" y="0"/>
            <wp:positionH relativeFrom="margin">
              <wp:posOffset>0</wp:posOffset>
            </wp:positionH>
            <wp:positionV relativeFrom="page">
              <wp:posOffset>171119</wp:posOffset>
            </wp:positionV>
            <wp:extent cx="2571750" cy="1085850"/>
            <wp:effectExtent l="0" t="0" r="0" b="0"/>
            <wp:wrapSquare wrapText="bothSides"/>
            <wp:docPr id="4" name="Picture 4" descr="CP logo - landscape no p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P logo - landscape no pp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71750" cy="1085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627B1" w:rsidRPr="00467789" w:rsidRDefault="00467789" w:rsidP="00C627B1">
      <w:pPr>
        <w:rPr>
          <w:rFonts w:ascii="Tahoma" w:hAnsi="Tahoma" w:cs="Tahoma"/>
          <w:b/>
          <w:sz w:val="24"/>
          <w:szCs w:val="24"/>
        </w:rPr>
      </w:pPr>
      <w:r>
        <w:rPr>
          <w:rFonts w:ascii="Tahoma" w:hAnsi="Tahoma" w:cs="Tahoma"/>
          <w:b/>
          <w:sz w:val="24"/>
          <w:szCs w:val="24"/>
        </w:rPr>
        <w:br/>
      </w:r>
      <w:r w:rsidRPr="00467789">
        <w:rPr>
          <w:rFonts w:ascii="Tahoma" w:hAnsi="Tahoma" w:cs="Tahoma"/>
          <w:b/>
          <w:sz w:val="24"/>
          <w:szCs w:val="24"/>
        </w:rPr>
        <w:t>Report to the Chair and Members of the Audit Committee</w:t>
      </w:r>
      <w:r w:rsidRPr="00467789">
        <w:rPr>
          <w:rFonts w:ascii="Tahoma" w:hAnsi="Tahoma" w:cs="Tahoma"/>
          <w:b/>
          <w:sz w:val="24"/>
          <w:szCs w:val="24"/>
        </w:rPr>
        <w:br/>
      </w:r>
      <w:r w:rsidR="00495C46" w:rsidRPr="00467789">
        <w:rPr>
          <w:rFonts w:ascii="Tahoma" w:hAnsi="Tahoma" w:cs="Tahoma"/>
          <w:b/>
          <w:sz w:val="24"/>
          <w:szCs w:val="24"/>
        </w:rPr>
        <w:t>14</w:t>
      </w:r>
      <w:r w:rsidR="00495C46" w:rsidRPr="00467789">
        <w:rPr>
          <w:rFonts w:ascii="Tahoma" w:hAnsi="Tahoma" w:cs="Tahoma"/>
          <w:b/>
          <w:sz w:val="24"/>
          <w:szCs w:val="24"/>
          <w:vertAlign w:val="superscript"/>
        </w:rPr>
        <w:t>th</w:t>
      </w:r>
      <w:r w:rsidR="00495C46" w:rsidRPr="00467789">
        <w:rPr>
          <w:rFonts w:ascii="Tahoma" w:hAnsi="Tahoma" w:cs="Tahoma"/>
          <w:b/>
          <w:sz w:val="24"/>
          <w:szCs w:val="24"/>
        </w:rPr>
        <w:t xml:space="preserve"> </w:t>
      </w:r>
      <w:r w:rsidR="00642E5E" w:rsidRPr="00467789">
        <w:rPr>
          <w:rFonts w:ascii="Tahoma" w:hAnsi="Tahoma" w:cs="Tahoma"/>
          <w:b/>
          <w:sz w:val="24"/>
          <w:szCs w:val="24"/>
        </w:rPr>
        <w:t>November</w:t>
      </w:r>
      <w:r w:rsidR="00C627B1" w:rsidRPr="00467789">
        <w:rPr>
          <w:rFonts w:ascii="Tahoma" w:hAnsi="Tahoma" w:cs="Tahoma"/>
          <w:b/>
          <w:sz w:val="24"/>
          <w:szCs w:val="24"/>
        </w:rPr>
        <w:t xml:space="preserve"> 2019 </w:t>
      </w:r>
    </w:p>
    <w:p w:rsidR="00C627B1" w:rsidRPr="00467789" w:rsidRDefault="00C627B1" w:rsidP="00C627B1">
      <w:pPr>
        <w:rPr>
          <w:rFonts w:ascii="Tahoma" w:hAnsi="Tahoma" w:cs="Tahoma"/>
          <w:b/>
          <w:sz w:val="24"/>
          <w:szCs w:val="24"/>
        </w:rPr>
      </w:pPr>
      <w:r w:rsidRPr="00467789">
        <w:rPr>
          <w:rFonts w:ascii="Tahoma" w:hAnsi="Tahoma" w:cs="Tahoma"/>
          <w:b/>
          <w:sz w:val="24"/>
          <w:szCs w:val="24"/>
        </w:rPr>
        <w:t xml:space="preserve">Executive &amp; Presenting Officer: </w:t>
      </w:r>
      <w:r w:rsidR="00495C46" w:rsidRPr="00467789">
        <w:rPr>
          <w:rFonts w:ascii="Tahoma" w:hAnsi="Tahoma" w:cs="Tahoma"/>
          <w:b/>
          <w:sz w:val="24"/>
          <w:szCs w:val="24"/>
        </w:rPr>
        <w:t>DCC Arundale</w:t>
      </w:r>
    </w:p>
    <w:p w:rsidR="00C627B1" w:rsidRPr="00467789" w:rsidRDefault="00C627B1" w:rsidP="00C627B1">
      <w:pPr>
        <w:rPr>
          <w:rFonts w:ascii="Tahoma" w:hAnsi="Tahoma" w:cs="Tahoma"/>
          <w:b/>
          <w:sz w:val="24"/>
          <w:szCs w:val="24"/>
        </w:rPr>
      </w:pPr>
      <w:r w:rsidRPr="00467789">
        <w:rPr>
          <w:rFonts w:ascii="Tahoma" w:hAnsi="Tahoma" w:cs="Tahoma"/>
          <w:b/>
          <w:sz w:val="24"/>
          <w:szCs w:val="24"/>
        </w:rPr>
        <w:t xml:space="preserve">Status: For information </w:t>
      </w:r>
    </w:p>
    <w:p w:rsidR="00C627B1" w:rsidRPr="00467789" w:rsidRDefault="00C627B1" w:rsidP="00C627B1">
      <w:pPr>
        <w:rPr>
          <w:rFonts w:ascii="Tahoma" w:hAnsi="Tahoma" w:cs="Tahoma"/>
          <w:b/>
          <w:sz w:val="24"/>
          <w:szCs w:val="24"/>
        </w:rPr>
      </w:pPr>
      <w:r w:rsidRPr="00467789">
        <w:rPr>
          <w:rFonts w:ascii="Tahoma" w:hAnsi="Tahoma" w:cs="Tahoma"/>
          <w:b/>
          <w:sz w:val="24"/>
          <w:szCs w:val="24"/>
        </w:rPr>
        <w:t>Civil Claim Statistics</w:t>
      </w:r>
    </w:p>
    <w:p w:rsidR="00C627B1" w:rsidRPr="00467789" w:rsidRDefault="00C627B1" w:rsidP="00467789">
      <w:pPr>
        <w:pStyle w:val="ListParagraph"/>
        <w:numPr>
          <w:ilvl w:val="0"/>
          <w:numId w:val="1"/>
        </w:numPr>
        <w:ind w:left="851" w:hanging="851"/>
        <w:rPr>
          <w:rFonts w:ascii="Tahoma" w:hAnsi="Tahoma" w:cs="Tahoma"/>
          <w:b/>
          <w:sz w:val="24"/>
          <w:szCs w:val="24"/>
        </w:rPr>
      </w:pPr>
      <w:r w:rsidRPr="00467789">
        <w:rPr>
          <w:rFonts w:ascii="Tahoma" w:hAnsi="Tahoma" w:cs="Tahoma"/>
          <w:b/>
          <w:sz w:val="24"/>
          <w:szCs w:val="24"/>
        </w:rPr>
        <w:t xml:space="preserve">Purpose </w:t>
      </w:r>
      <w:r w:rsidR="00467789">
        <w:rPr>
          <w:rFonts w:ascii="Tahoma" w:hAnsi="Tahoma" w:cs="Tahoma"/>
          <w:b/>
          <w:sz w:val="24"/>
          <w:szCs w:val="24"/>
        </w:rPr>
        <w:br/>
      </w:r>
    </w:p>
    <w:p w:rsidR="00C627B1" w:rsidRPr="00467789" w:rsidRDefault="00C627B1" w:rsidP="00467789">
      <w:pPr>
        <w:pStyle w:val="ListParagraph"/>
        <w:numPr>
          <w:ilvl w:val="1"/>
          <w:numId w:val="1"/>
        </w:numPr>
        <w:ind w:left="851" w:hanging="851"/>
        <w:rPr>
          <w:rFonts w:ascii="Tahoma" w:hAnsi="Tahoma" w:cs="Tahoma"/>
          <w:sz w:val="24"/>
          <w:szCs w:val="24"/>
        </w:rPr>
      </w:pPr>
      <w:r w:rsidRPr="00467789">
        <w:rPr>
          <w:rFonts w:ascii="Tahoma" w:hAnsi="Tahoma" w:cs="Tahoma"/>
          <w:sz w:val="24"/>
          <w:szCs w:val="24"/>
        </w:rPr>
        <w:t>This is a report covering the period of 28</w:t>
      </w:r>
      <w:r w:rsidRPr="00467789">
        <w:rPr>
          <w:rFonts w:ascii="Tahoma" w:hAnsi="Tahoma" w:cs="Tahoma"/>
          <w:sz w:val="24"/>
          <w:szCs w:val="24"/>
          <w:vertAlign w:val="superscript"/>
        </w:rPr>
        <w:t>th</w:t>
      </w:r>
      <w:r w:rsidRPr="00467789">
        <w:rPr>
          <w:rFonts w:ascii="Tahoma" w:hAnsi="Tahoma" w:cs="Tahoma"/>
          <w:sz w:val="24"/>
          <w:szCs w:val="24"/>
        </w:rPr>
        <w:t xml:space="preserve"> February 2019</w:t>
      </w:r>
      <w:r w:rsidR="00753B28" w:rsidRPr="00467789">
        <w:rPr>
          <w:rFonts w:ascii="Tahoma" w:hAnsi="Tahoma" w:cs="Tahoma"/>
          <w:sz w:val="24"/>
          <w:szCs w:val="24"/>
        </w:rPr>
        <w:t xml:space="preserve"> – 31</w:t>
      </w:r>
      <w:r w:rsidR="00753B28" w:rsidRPr="00467789">
        <w:rPr>
          <w:rFonts w:ascii="Tahoma" w:hAnsi="Tahoma" w:cs="Tahoma"/>
          <w:sz w:val="24"/>
          <w:szCs w:val="24"/>
          <w:vertAlign w:val="superscript"/>
        </w:rPr>
        <w:t>st</w:t>
      </w:r>
      <w:r w:rsidR="00753B28" w:rsidRPr="00467789">
        <w:rPr>
          <w:rFonts w:ascii="Tahoma" w:hAnsi="Tahoma" w:cs="Tahoma"/>
          <w:sz w:val="24"/>
          <w:szCs w:val="24"/>
        </w:rPr>
        <w:t xml:space="preserve"> August 2019</w:t>
      </w:r>
      <w:r w:rsidRPr="00467789">
        <w:rPr>
          <w:rFonts w:ascii="Tahoma" w:hAnsi="Tahoma" w:cs="Tahoma"/>
          <w:sz w:val="24"/>
          <w:szCs w:val="24"/>
        </w:rPr>
        <w:t xml:space="preserve"> (6 months) and its purpose is to advise members of the number and types of civil claims against the Force received during the period and the amount paid out for those claims finalised during the period together with reasons for settlement.</w:t>
      </w:r>
    </w:p>
    <w:p w:rsidR="00C627B1" w:rsidRPr="00467789" w:rsidRDefault="00C627B1" w:rsidP="00507B2F">
      <w:pPr>
        <w:pStyle w:val="ListParagraph"/>
        <w:jc w:val="both"/>
        <w:rPr>
          <w:rFonts w:ascii="Tahoma" w:hAnsi="Tahoma" w:cs="Tahoma"/>
          <w:sz w:val="24"/>
          <w:szCs w:val="24"/>
        </w:rPr>
      </w:pPr>
    </w:p>
    <w:p w:rsidR="00C627B1" w:rsidRPr="00467789" w:rsidRDefault="00C627B1" w:rsidP="00467789">
      <w:pPr>
        <w:pStyle w:val="ListParagraph"/>
        <w:numPr>
          <w:ilvl w:val="0"/>
          <w:numId w:val="1"/>
        </w:numPr>
        <w:ind w:left="851" w:hanging="851"/>
        <w:jc w:val="both"/>
        <w:rPr>
          <w:rFonts w:ascii="Tahoma" w:hAnsi="Tahoma" w:cs="Tahoma"/>
          <w:b/>
          <w:sz w:val="24"/>
          <w:szCs w:val="24"/>
        </w:rPr>
      </w:pPr>
      <w:r w:rsidRPr="00467789">
        <w:rPr>
          <w:rFonts w:ascii="Tahoma" w:hAnsi="Tahoma" w:cs="Tahoma"/>
          <w:b/>
          <w:sz w:val="24"/>
          <w:szCs w:val="24"/>
        </w:rPr>
        <w:t>Recommendations</w:t>
      </w:r>
      <w:r w:rsidR="00467789">
        <w:rPr>
          <w:rFonts w:ascii="Tahoma" w:hAnsi="Tahoma" w:cs="Tahoma"/>
          <w:b/>
          <w:sz w:val="24"/>
          <w:szCs w:val="24"/>
        </w:rPr>
        <w:br/>
      </w:r>
    </w:p>
    <w:p w:rsidR="00C627B1" w:rsidRPr="00467789" w:rsidRDefault="00C627B1" w:rsidP="00467789">
      <w:pPr>
        <w:pStyle w:val="ListParagraph"/>
        <w:numPr>
          <w:ilvl w:val="1"/>
          <w:numId w:val="1"/>
        </w:numPr>
        <w:ind w:left="851" w:hanging="851"/>
        <w:rPr>
          <w:rFonts w:ascii="Tahoma" w:hAnsi="Tahoma" w:cs="Tahoma"/>
          <w:sz w:val="24"/>
          <w:szCs w:val="24"/>
        </w:rPr>
      </w:pPr>
      <w:r w:rsidRPr="00467789">
        <w:rPr>
          <w:rFonts w:ascii="Tahoma" w:hAnsi="Tahoma" w:cs="Tahoma"/>
          <w:sz w:val="24"/>
          <w:szCs w:val="24"/>
        </w:rPr>
        <w:t>It is recommended that Members note the content of the report.</w:t>
      </w:r>
      <w:r w:rsidR="00467789">
        <w:rPr>
          <w:rFonts w:ascii="Tahoma" w:hAnsi="Tahoma" w:cs="Tahoma"/>
          <w:sz w:val="24"/>
          <w:szCs w:val="24"/>
        </w:rPr>
        <w:br/>
      </w:r>
    </w:p>
    <w:p w:rsidR="00C627B1" w:rsidRPr="00467789" w:rsidRDefault="00C627B1" w:rsidP="00467789">
      <w:pPr>
        <w:pStyle w:val="ListParagraph"/>
        <w:numPr>
          <w:ilvl w:val="0"/>
          <w:numId w:val="1"/>
        </w:numPr>
        <w:ind w:left="851" w:hanging="851"/>
        <w:rPr>
          <w:rFonts w:ascii="Tahoma" w:hAnsi="Tahoma" w:cs="Tahoma"/>
          <w:b/>
          <w:sz w:val="24"/>
          <w:szCs w:val="24"/>
        </w:rPr>
      </w:pPr>
      <w:r w:rsidRPr="00467789">
        <w:rPr>
          <w:rFonts w:ascii="Tahoma" w:hAnsi="Tahoma" w:cs="Tahoma"/>
          <w:b/>
          <w:sz w:val="24"/>
          <w:szCs w:val="24"/>
        </w:rPr>
        <w:t xml:space="preserve">Number &amp; Types of Claims Received </w:t>
      </w:r>
      <w:r w:rsidR="00467789">
        <w:rPr>
          <w:rFonts w:ascii="Tahoma" w:hAnsi="Tahoma" w:cs="Tahoma"/>
          <w:b/>
          <w:sz w:val="24"/>
          <w:szCs w:val="24"/>
        </w:rPr>
        <w:br/>
      </w:r>
    </w:p>
    <w:p w:rsidR="00C627B1" w:rsidRPr="00467789" w:rsidRDefault="00C627B1" w:rsidP="00467789">
      <w:pPr>
        <w:pStyle w:val="ListParagraph"/>
        <w:numPr>
          <w:ilvl w:val="1"/>
          <w:numId w:val="1"/>
        </w:numPr>
        <w:ind w:left="851" w:hanging="851"/>
        <w:rPr>
          <w:rFonts w:ascii="Tahoma" w:hAnsi="Tahoma" w:cs="Tahoma"/>
          <w:sz w:val="24"/>
          <w:szCs w:val="24"/>
        </w:rPr>
      </w:pPr>
      <w:r w:rsidRPr="00467789">
        <w:rPr>
          <w:rFonts w:ascii="Tahoma" w:hAnsi="Tahoma" w:cs="Tahoma"/>
          <w:sz w:val="24"/>
          <w:szCs w:val="24"/>
        </w:rPr>
        <w:t xml:space="preserve">There were </w:t>
      </w:r>
      <w:r w:rsidR="000D579A" w:rsidRPr="00467789">
        <w:rPr>
          <w:rFonts w:ascii="Tahoma" w:hAnsi="Tahoma" w:cs="Tahoma"/>
          <w:sz w:val="24"/>
          <w:szCs w:val="24"/>
        </w:rPr>
        <w:t>35</w:t>
      </w:r>
      <w:r w:rsidRPr="00467789">
        <w:rPr>
          <w:rFonts w:ascii="Tahoma" w:hAnsi="Tahoma" w:cs="Tahoma"/>
          <w:sz w:val="24"/>
          <w:szCs w:val="24"/>
        </w:rPr>
        <w:t xml:space="preserve"> cla</w:t>
      </w:r>
      <w:r w:rsidR="00B935C0" w:rsidRPr="00467789">
        <w:rPr>
          <w:rFonts w:ascii="Tahoma" w:hAnsi="Tahoma" w:cs="Tahoma"/>
          <w:sz w:val="24"/>
          <w:szCs w:val="24"/>
        </w:rPr>
        <w:t>ims received during the period. This is</w:t>
      </w:r>
      <w:r w:rsidR="00005A19" w:rsidRPr="00467789">
        <w:rPr>
          <w:rFonts w:ascii="Tahoma" w:hAnsi="Tahoma" w:cs="Tahoma"/>
          <w:sz w:val="24"/>
          <w:szCs w:val="24"/>
        </w:rPr>
        <w:t xml:space="preserve"> compared to the previous</w:t>
      </w:r>
      <w:r w:rsidR="00B935C0" w:rsidRPr="00467789">
        <w:rPr>
          <w:rFonts w:ascii="Tahoma" w:hAnsi="Tahoma" w:cs="Tahoma"/>
          <w:sz w:val="24"/>
          <w:szCs w:val="24"/>
        </w:rPr>
        <w:t xml:space="preserve"> period, in which there were 47 </w:t>
      </w:r>
      <w:r w:rsidR="00005A19" w:rsidRPr="00467789">
        <w:rPr>
          <w:rFonts w:ascii="Tahoma" w:hAnsi="Tahoma" w:cs="Tahoma"/>
          <w:sz w:val="24"/>
          <w:szCs w:val="24"/>
        </w:rPr>
        <w:t xml:space="preserve">claims received. </w:t>
      </w:r>
      <w:r w:rsidR="00467789">
        <w:rPr>
          <w:rFonts w:ascii="Tahoma" w:hAnsi="Tahoma" w:cs="Tahoma"/>
          <w:sz w:val="24"/>
          <w:szCs w:val="24"/>
        </w:rPr>
        <w:br/>
      </w:r>
    </w:p>
    <w:p w:rsidR="00C627B1" w:rsidRPr="00467789" w:rsidRDefault="00C627B1" w:rsidP="00C627B1">
      <w:pPr>
        <w:pStyle w:val="ListParagraph"/>
        <w:rPr>
          <w:rFonts w:ascii="Tahoma" w:hAnsi="Tahoma" w:cs="Tahoma"/>
          <w:sz w:val="24"/>
          <w:szCs w:val="24"/>
        </w:rPr>
      </w:pPr>
      <w:r w:rsidRPr="00467789">
        <w:rPr>
          <w:rFonts w:ascii="Tahoma" w:hAnsi="Tahoma" w:cs="Tahoma"/>
          <w:noProof/>
          <w:sz w:val="24"/>
          <w:szCs w:val="24"/>
          <w:lang w:eastAsia="en-GB"/>
        </w:rPr>
        <w:drawing>
          <wp:inline distT="0" distB="0" distL="0" distR="0" wp14:anchorId="5687ECC5" wp14:editId="37931A48">
            <wp:extent cx="5509260" cy="3200400"/>
            <wp:effectExtent l="0" t="0" r="15240" b="19050"/>
            <wp:docPr id="1" name="Chart 1" title="Claims Recieved "/>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C627B1" w:rsidRPr="00467789" w:rsidRDefault="00C627B1" w:rsidP="00C627B1">
      <w:pPr>
        <w:pStyle w:val="ListParagraph"/>
        <w:rPr>
          <w:rFonts w:ascii="Tahoma" w:hAnsi="Tahoma" w:cs="Tahoma"/>
          <w:sz w:val="24"/>
          <w:szCs w:val="24"/>
        </w:rPr>
      </w:pPr>
    </w:p>
    <w:p w:rsidR="00C627B1" w:rsidRPr="00467789" w:rsidRDefault="00C627B1" w:rsidP="00C627B1">
      <w:pPr>
        <w:pStyle w:val="ListParagraph"/>
        <w:rPr>
          <w:rFonts w:ascii="Tahoma" w:hAnsi="Tahoma" w:cs="Tahoma"/>
          <w:sz w:val="24"/>
          <w:szCs w:val="24"/>
        </w:rPr>
      </w:pPr>
    </w:p>
    <w:p w:rsidR="00C627B1" w:rsidRPr="00467789" w:rsidRDefault="00C627B1" w:rsidP="00467789">
      <w:pPr>
        <w:pStyle w:val="ListParagraph"/>
        <w:numPr>
          <w:ilvl w:val="1"/>
          <w:numId w:val="1"/>
        </w:numPr>
        <w:ind w:left="851" w:hanging="851"/>
        <w:rPr>
          <w:rFonts w:ascii="Tahoma" w:hAnsi="Tahoma" w:cs="Tahoma"/>
          <w:sz w:val="24"/>
          <w:szCs w:val="24"/>
        </w:rPr>
      </w:pPr>
      <w:r w:rsidRPr="00467789">
        <w:rPr>
          <w:rFonts w:ascii="Tahoma" w:hAnsi="Tahoma" w:cs="Tahoma"/>
          <w:sz w:val="24"/>
          <w:szCs w:val="24"/>
        </w:rPr>
        <w:t xml:space="preserve">Employers Liability claims are those made by Force employees and police officers following injuries sustained at work. </w:t>
      </w:r>
    </w:p>
    <w:p w:rsidR="00C627B1" w:rsidRPr="00467789" w:rsidRDefault="00C627B1" w:rsidP="00467789">
      <w:pPr>
        <w:pStyle w:val="ListParagraph"/>
        <w:ind w:left="851" w:hanging="851"/>
        <w:rPr>
          <w:rFonts w:ascii="Tahoma" w:hAnsi="Tahoma" w:cs="Tahoma"/>
          <w:sz w:val="24"/>
          <w:szCs w:val="24"/>
        </w:rPr>
      </w:pPr>
    </w:p>
    <w:p w:rsidR="00C627B1" w:rsidRPr="00467789" w:rsidRDefault="00C627B1" w:rsidP="00467789">
      <w:pPr>
        <w:pStyle w:val="ListParagraph"/>
        <w:numPr>
          <w:ilvl w:val="1"/>
          <w:numId w:val="1"/>
        </w:numPr>
        <w:ind w:left="851" w:hanging="851"/>
        <w:rPr>
          <w:rFonts w:ascii="Tahoma" w:hAnsi="Tahoma" w:cs="Tahoma"/>
          <w:sz w:val="24"/>
          <w:szCs w:val="24"/>
        </w:rPr>
      </w:pPr>
      <w:r w:rsidRPr="00467789">
        <w:rPr>
          <w:rFonts w:ascii="Tahoma" w:hAnsi="Tahoma" w:cs="Tahoma"/>
          <w:sz w:val="24"/>
          <w:szCs w:val="24"/>
        </w:rPr>
        <w:t>Public Liability claims include those made by members of the public who are accidentally injured or whose property is accidentally damaged / lost as a result of police activities. They also include those made by arrested persons alleging false imprisonment, assault, malicious prosecution, misfeasance and trespass to property. (This is not an exhaustive list.)</w:t>
      </w:r>
    </w:p>
    <w:p w:rsidR="00C627B1" w:rsidRPr="00467789" w:rsidRDefault="00C627B1" w:rsidP="00467789">
      <w:pPr>
        <w:pStyle w:val="ListParagraph"/>
        <w:ind w:left="851" w:hanging="851"/>
        <w:rPr>
          <w:rFonts w:ascii="Tahoma" w:hAnsi="Tahoma" w:cs="Tahoma"/>
          <w:sz w:val="24"/>
          <w:szCs w:val="24"/>
        </w:rPr>
      </w:pPr>
    </w:p>
    <w:p w:rsidR="00C627B1" w:rsidRPr="00467789" w:rsidRDefault="00C627B1" w:rsidP="00467789">
      <w:pPr>
        <w:pStyle w:val="ListParagraph"/>
        <w:numPr>
          <w:ilvl w:val="1"/>
          <w:numId w:val="1"/>
        </w:numPr>
        <w:ind w:left="851" w:hanging="851"/>
        <w:rPr>
          <w:rFonts w:ascii="Tahoma" w:hAnsi="Tahoma" w:cs="Tahoma"/>
          <w:sz w:val="24"/>
          <w:szCs w:val="24"/>
        </w:rPr>
      </w:pPr>
      <w:r w:rsidRPr="00467789">
        <w:rPr>
          <w:rFonts w:ascii="Tahoma" w:hAnsi="Tahoma" w:cs="Tahoma"/>
          <w:sz w:val="24"/>
          <w:szCs w:val="24"/>
        </w:rPr>
        <w:t xml:space="preserve">Motor Liability claims are those made by members of the public and police officers following damage and injuries sustained in road accidents involving a police vehicle. </w:t>
      </w:r>
    </w:p>
    <w:p w:rsidR="00C627B1" w:rsidRPr="00467789" w:rsidRDefault="00C627B1" w:rsidP="00467789">
      <w:pPr>
        <w:pStyle w:val="ListParagraph"/>
        <w:ind w:left="851" w:hanging="851"/>
        <w:rPr>
          <w:rFonts w:ascii="Tahoma" w:hAnsi="Tahoma" w:cs="Tahoma"/>
          <w:sz w:val="24"/>
          <w:szCs w:val="24"/>
        </w:rPr>
      </w:pPr>
    </w:p>
    <w:p w:rsidR="00C627B1" w:rsidRPr="00467789" w:rsidRDefault="00C627B1" w:rsidP="00467789">
      <w:pPr>
        <w:pStyle w:val="ListParagraph"/>
        <w:numPr>
          <w:ilvl w:val="1"/>
          <w:numId w:val="1"/>
        </w:numPr>
        <w:ind w:left="851" w:hanging="851"/>
        <w:rPr>
          <w:rFonts w:ascii="Tahoma" w:hAnsi="Tahoma" w:cs="Tahoma"/>
          <w:sz w:val="24"/>
          <w:szCs w:val="24"/>
        </w:rPr>
      </w:pPr>
      <w:r w:rsidRPr="00467789">
        <w:rPr>
          <w:rFonts w:ascii="Tahoma" w:hAnsi="Tahoma" w:cs="Tahoma"/>
          <w:sz w:val="24"/>
          <w:szCs w:val="24"/>
        </w:rPr>
        <w:t xml:space="preserve">Non tribunal employment matters are those claims made by police officers for pay, overtime and other allowances which they believe should have been paid during their service. </w:t>
      </w:r>
    </w:p>
    <w:p w:rsidR="00C627B1" w:rsidRPr="00467789" w:rsidRDefault="00C627B1" w:rsidP="00467789">
      <w:pPr>
        <w:pStyle w:val="ListParagraph"/>
        <w:ind w:left="851" w:hanging="851"/>
        <w:rPr>
          <w:rFonts w:ascii="Tahoma" w:hAnsi="Tahoma" w:cs="Tahoma"/>
          <w:sz w:val="24"/>
          <w:szCs w:val="24"/>
        </w:rPr>
      </w:pPr>
    </w:p>
    <w:p w:rsidR="00C627B1" w:rsidRPr="00467789" w:rsidRDefault="00C627B1" w:rsidP="00467789">
      <w:pPr>
        <w:pStyle w:val="ListParagraph"/>
        <w:numPr>
          <w:ilvl w:val="1"/>
          <w:numId w:val="1"/>
        </w:numPr>
        <w:ind w:left="851" w:hanging="851"/>
        <w:rPr>
          <w:rFonts w:ascii="Tahoma" w:hAnsi="Tahoma" w:cs="Tahoma"/>
          <w:sz w:val="24"/>
          <w:szCs w:val="24"/>
        </w:rPr>
      </w:pPr>
      <w:r w:rsidRPr="00467789">
        <w:rPr>
          <w:rFonts w:ascii="Tahoma" w:hAnsi="Tahoma" w:cs="Tahoma"/>
          <w:sz w:val="24"/>
          <w:szCs w:val="24"/>
        </w:rPr>
        <w:t xml:space="preserve">The time limit for bringing claims involving injury is three years and, for those not involving injury, it is six years. The Court can sometimes extend the time limit. </w:t>
      </w:r>
    </w:p>
    <w:p w:rsidR="00C627B1" w:rsidRPr="00467789" w:rsidRDefault="00C627B1" w:rsidP="00467789">
      <w:pPr>
        <w:pStyle w:val="ListParagraph"/>
        <w:ind w:left="851" w:hanging="851"/>
        <w:rPr>
          <w:rFonts w:ascii="Tahoma" w:hAnsi="Tahoma" w:cs="Tahoma"/>
          <w:sz w:val="24"/>
          <w:szCs w:val="24"/>
        </w:rPr>
      </w:pPr>
    </w:p>
    <w:p w:rsidR="00C627B1" w:rsidRPr="00467789" w:rsidRDefault="00C627B1" w:rsidP="00467789">
      <w:pPr>
        <w:pStyle w:val="ListParagraph"/>
        <w:numPr>
          <w:ilvl w:val="1"/>
          <w:numId w:val="1"/>
        </w:numPr>
        <w:ind w:left="851" w:hanging="851"/>
        <w:rPr>
          <w:rFonts w:ascii="Tahoma" w:hAnsi="Tahoma" w:cs="Tahoma"/>
          <w:sz w:val="24"/>
          <w:szCs w:val="24"/>
        </w:rPr>
      </w:pPr>
      <w:r w:rsidRPr="00467789">
        <w:rPr>
          <w:rFonts w:ascii="Tahoma" w:hAnsi="Tahoma" w:cs="Tahoma"/>
          <w:sz w:val="24"/>
          <w:szCs w:val="24"/>
        </w:rPr>
        <w:t>The following Chart notes how many claims have been received during the period and the incident date for each claim. Please note that where claims for long term injuries such as post-traumatic stress disorder or noise-induced hearing loss, the date of diagnosis has been recorded as the incident date.</w:t>
      </w:r>
    </w:p>
    <w:p w:rsidR="00C627B1" w:rsidRPr="00467789" w:rsidRDefault="00C627B1" w:rsidP="00C627B1">
      <w:pPr>
        <w:ind w:left="360"/>
        <w:rPr>
          <w:rFonts w:ascii="Tahoma" w:hAnsi="Tahoma" w:cs="Tahoma"/>
          <w:sz w:val="24"/>
          <w:szCs w:val="24"/>
        </w:rPr>
      </w:pPr>
      <w:r w:rsidRPr="00467789">
        <w:rPr>
          <w:rFonts w:ascii="Tahoma" w:hAnsi="Tahoma" w:cs="Tahoma"/>
          <w:noProof/>
          <w:sz w:val="24"/>
          <w:szCs w:val="24"/>
          <w:lang w:eastAsia="en-GB"/>
        </w:rPr>
        <w:drawing>
          <wp:inline distT="0" distB="0" distL="0" distR="0" wp14:anchorId="55246AAA" wp14:editId="711CD119">
            <wp:extent cx="5509260" cy="3223260"/>
            <wp:effectExtent l="0" t="0" r="15240" b="1524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627B1" w:rsidRPr="00467789" w:rsidRDefault="00C627B1" w:rsidP="00467789">
      <w:pPr>
        <w:ind w:left="851" w:hanging="851"/>
        <w:rPr>
          <w:rFonts w:ascii="Tahoma" w:hAnsi="Tahoma" w:cs="Tahoma"/>
          <w:b/>
          <w:sz w:val="24"/>
          <w:szCs w:val="24"/>
        </w:rPr>
      </w:pPr>
      <w:r w:rsidRPr="00467789">
        <w:rPr>
          <w:rFonts w:ascii="Tahoma" w:hAnsi="Tahoma" w:cs="Tahoma"/>
          <w:b/>
          <w:sz w:val="24"/>
          <w:szCs w:val="24"/>
        </w:rPr>
        <w:lastRenderedPageBreak/>
        <w:t xml:space="preserve">4. </w:t>
      </w:r>
      <w:r w:rsidRPr="00467789">
        <w:rPr>
          <w:rFonts w:ascii="Tahoma" w:hAnsi="Tahoma" w:cs="Tahoma"/>
          <w:b/>
          <w:sz w:val="24"/>
          <w:szCs w:val="24"/>
        </w:rPr>
        <w:tab/>
        <w:t xml:space="preserve">Numbers of Claims Finalised &amp; Results </w:t>
      </w:r>
    </w:p>
    <w:p w:rsidR="00C627B1" w:rsidRPr="00467789" w:rsidRDefault="00C627B1" w:rsidP="00467789">
      <w:pPr>
        <w:ind w:left="709" w:hanging="709"/>
        <w:jc w:val="both"/>
        <w:rPr>
          <w:rFonts w:ascii="Tahoma" w:hAnsi="Tahoma" w:cs="Tahoma"/>
          <w:sz w:val="24"/>
          <w:szCs w:val="24"/>
        </w:rPr>
      </w:pPr>
      <w:r w:rsidRPr="00467789">
        <w:rPr>
          <w:rFonts w:ascii="Tahoma" w:hAnsi="Tahoma" w:cs="Tahoma"/>
          <w:sz w:val="24"/>
          <w:szCs w:val="24"/>
        </w:rPr>
        <w:t xml:space="preserve">4.1 </w:t>
      </w:r>
      <w:r w:rsidR="00467789">
        <w:rPr>
          <w:rFonts w:ascii="Tahoma" w:hAnsi="Tahoma" w:cs="Tahoma"/>
          <w:sz w:val="24"/>
          <w:szCs w:val="24"/>
        </w:rPr>
        <w:t xml:space="preserve"> </w:t>
      </w:r>
      <w:r w:rsidRPr="00467789">
        <w:rPr>
          <w:rFonts w:ascii="Tahoma" w:hAnsi="Tahoma" w:cs="Tahoma"/>
          <w:sz w:val="24"/>
          <w:szCs w:val="24"/>
        </w:rPr>
        <w:t xml:space="preserve">Of the </w:t>
      </w:r>
      <w:r w:rsidR="00215B18" w:rsidRPr="00467789">
        <w:rPr>
          <w:rFonts w:ascii="Tahoma" w:hAnsi="Tahoma" w:cs="Tahoma"/>
          <w:sz w:val="24"/>
          <w:szCs w:val="24"/>
        </w:rPr>
        <w:t>12</w:t>
      </w:r>
      <w:r w:rsidRPr="00467789">
        <w:rPr>
          <w:rFonts w:ascii="Tahoma" w:hAnsi="Tahoma" w:cs="Tahoma"/>
          <w:sz w:val="24"/>
          <w:szCs w:val="24"/>
        </w:rPr>
        <w:t xml:space="preserve"> cases finalised during the period, </w:t>
      </w:r>
      <w:r w:rsidR="0068396A" w:rsidRPr="00467789">
        <w:rPr>
          <w:rFonts w:ascii="Tahoma" w:hAnsi="Tahoma" w:cs="Tahoma"/>
          <w:sz w:val="24"/>
          <w:szCs w:val="24"/>
        </w:rPr>
        <w:t xml:space="preserve">6 </w:t>
      </w:r>
      <w:r w:rsidRPr="00467789">
        <w:rPr>
          <w:rFonts w:ascii="Tahoma" w:hAnsi="Tahoma" w:cs="Tahoma"/>
          <w:sz w:val="24"/>
          <w:szCs w:val="24"/>
        </w:rPr>
        <w:t>were successfully defended/withdrawn (</w:t>
      </w:r>
      <w:r w:rsidR="0068396A" w:rsidRPr="00467789">
        <w:rPr>
          <w:rFonts w:ascii="Tahoma" w:hAnsi="Tahoma" w:cs="Tahoma"/>
          <w:sz w:val="24"/>
          <w:szCs w:val="24"/>
        </w:rPr>
        <w:t>50</w:t>
      </w:r>
      <w:r w:rsidRPr="00467789">
        <w:rPr>
          <w:rFonts w:ascii="Tahoma" w:hAnsi="Tahoma" w:cs="Tahoma"/>
          <w:sz w:val="24"/>
          <w:szCs w:val="24"/>
        </w:rPr>
        <w:t>%). This is to be compared with</w:t>
      </w:r>
      <w:r w:rsidR="00CA4F5C" w:rsidRPr="00467789">
        <w:rPr>
          <w:rFonts w:ascii="Tahoma" w:hAnsi="Tahoma" w:cs="Tahoma"/>
          <w:sz w:val="24"/>
          <w:szCs w:val="24"/>
        </w:rPr>
        <w:t xml:space="preserve"> the last period where 25 cases were finalised and 18 were successfully defended/withdrawn (</w:t>
      </w:r>
      <w:r w:rsidR="00215B18" w:rsidRPr="00467789">
        <w:rPr>
          <w:rFonts w:ascii="Tahoma" w:hAnsi="Tahoma" w:cs="Tahoma"/>
          <w:sz w:val="24"/>
          <w:szCs w:val="24"/>
        </w:rPr>
        <w:t>72</w:t>
      </w:r>
      <w:r w:rsidR="00CA4F5C" w:rsidRPr="00467789">
        <w:rPr>
          <w:rFonts w:ascii="Tahoma" w:hAnsi="Tahoma" w:cs="Tahoma"/>
          <w:sz w:val="24"/>
          <w:szCs w:val="24"/>
        </w:rPr>
        <w:t xml:space="preserve">%). </w:t>
      </w:r>
    </w:p>
    <w:p w:rsidR="00DC30A2" w:rsidRPr="00467789" w:rsidRDefault="00DC30A2" w:rsidP="00C627B1">
      <w:pPr>
        <w:ind w:left="360"/>
        <w:rPr>
          <w:rFonts w:ascii="Tahoma" w:hAnsi="Tahoma" w:cs="Tahoma"/>
          <w:sz w:val="24"/>
          <w:szCs w:val="24"/>
        </w:rPr>
      </w:pPr>
    </w:p>
    <w:p w:rsidR="00C627B1" w:rsidRPr="00467789" w:rsidRDefault="00C627B1" w:rsidP="00C627B1">
      <w:pPr>
        <w:ind w:left="360"/>
        <w:rPr>
          <w:rFonts w:ascii="Tahoma" w:hAnsi="Tahoma" w:cs="Tahoma"/>
          <w:sz w:val="24"/>
          <w:szCs w:val="24"/>
        </w:rPr>
      </w:pPr>
      <w:r w:rsidRPr="00467789">
        <w:rPr>
          <w:rFonts w:ascii="Tahoma" w:hAnsi="Tahoma" w:cs="Tahoma"/>
          <w:noProof/>
          <w:sz w:val="24"/>
          <w:szCs w:val="24"/>
          <w:lang w:eastAsia="en-GB"/>
        </w:rPr>
        <w:drawing>
          <wp:inline distT="0" distB="0" distL="0" distR="0" wp14:anchorId="7CD0C3C8" wp14:editId="6FF3CF08">
            <wp:extent cx="5509260" cy="3223260"/>
            <wp:effectExtent l="0" t="0" r="15240" b="1524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627B1" w:rsidRPr="00467789" w:rsidRDefault="00C627B1" w:rsidP="00C627B1">
      <w:pPr>
        <w:ind w:left="360"/>
        <w:rPr>
          <w:rFonts w:ascii="Tahoma" w:hAnsi="Tahoma" w:cs="Tahoma"/>
          <w:sz w:val="24"/>
          <w:szCs w:val="24"/>
        </w:rPr>
      </w:pPr>
    </w:p>
    <w:p w:rsidR="00C627B1" w:rsidRPr="00467789" w:rsidRDefault="00C627B1" w:rsidP="00C627B1">
      <w:pPr>
        <w:ind w:left="360"/>
        <w:rPr>
          <w:rFonts w:ascii="Tahoma" w:hAnsi="Tahoma" w:cs="Tahoma"/>
          <w:sz w:val="24"/>
          <w:szCs w:val="24"/>
        </w:rPr>
      </w:pPr>
      <w:r w:rsidRPr="00467789">
        <w:rPr>
          <w:rFonts w:ascii="Tahoma" w:hAnsi="Tahoma" w:cs="Tahoma"/>
          <w:noProof/>
          <w:sz w:val="24"/>
          <w:szCs w:val="24"/>
          <w:lang w:eastAsia="en-GB"/>
        </w:rPr>
        <w:drawing>
          <wp:inline distT="0" distB="0" distL="0" distR="0" wp14:anchorId="775A5E03" wp14:editId="60D59FE2">
            <wp:extent cx="5509260" cy="3223260"/>
            <wp:effectExtent l="0" t="0" r="15240" b="1524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627B1" w:rsidRPr="00467789" w:rsidRDefault="00C627B1" w:rsidP="002C6C26">
      <w:pPr>
        <w:rPr>
          <w:rFonts w:ascii="Tahoma" w:hAnsi="Tahoma" w:cs="Tahoma"/>
          <w:sz w:val="24"/>
          <w:szCs w:val="24"/>
        </w:rPr>
      </w:pPr>
    </w:p>
    <w:p w:rsidR="00C627B1" w:rsidRPr="00467789" w:rsidRDefault="00C627B1" w:rsidP="00467789">
      <w:pPr>
        <w:ind w:left="709" w:hanging="709"/>
        <w:rPr>
          <w:rFonts w:ascii="Tahoma" w:hAnsi="Tahoma" w:cs="Tahoma"/>
          <w:sz w:val="24"/>
          <w:szCs w:val="24"/>
        </w:rPr>
      </w:pPr>
      <w:r w:rsidRPr="00467789">
        <w:rPr>
          <w:rFonts w:ascii="Tahoma" w:hAnsi="Tahoma" w:cs="Tahoma"/>
          <w:sz w:val="24"/>
          <w:szCs w:val="24"/>
        </w:rPr>
        <w:lastRenderedPageBreak/>
        <w:t>4.2</w:t>
      </w:r>
      <w:r w:rsidRPr="00467789">
        <w:rPr>
          <w:rFonts w:ascii="Tahoma" w:hAnsi="Tahoma" w:cs="Tahoma"/>
          <w:sz w:val="24"/>
          <w:szCs w:val="24"/>
        </w:rPr>
        <w:tab/>
        <w:t xml:space="preserve">In relation to the </w:t>
      </w:r>
      <w:r w:rsidR="00215B18" w:rsidRPr="00467789">
        <w:rPr>
          <w:rFonts w:ascii="Tahoma" w:hAnsi="Tahoma" w:cs="Tahoma"/>
          <w:sz w:val="24"/>
          <w:szCs w:val="24"/>
        </w:rPr>
        <w:t>6</w:t>
      </w:r>
      <w:r w:rsidRPr="00467789">
        <w:rPr>
          <w:rFonts w:ascii="Tahoma" w:hAnsi="Tahoma" w:cs="Tahoma"/>
          <w:sz w:val="24"/>
          <w:szCs w:val="24"/>
        </w:rPr>
        <w:t xml:space="preserve"> cases which were settled, the reasons for settlement were as follows:</w:t>
      </w:r>
    </w:p>
    <w:tbl>
      <w:tblPr>
        <w:tblStyle w:val="TableGrid"/>
        <w:tblW w:w="0" w:type="auto"/>
        <w:tblInd w:w="360" w:type="dxa"/>
        <w:tblLook w:val="04A0" w:firstRow="1" w:lastRow="0" w:firstColumn="1" w:lastColumn="0" w:noHBand="0" w:noVBand="1"/>
      </w:tblPr>
      <w:tblGrid>
        <w:gridCol w:w="6390"/>
        <w:gridCol w:w="2266"/>
      </w:tblGrid>
      <w:tr w:rsidR="00C627B1" w:rsidRPr="00467789" w:rsidTr="00C627B1">
        <w:tc>
          <w:tcPr>
            <w:tcW w:w="6552"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b/>
                <w:sz w:val="24"/>
                <w:szCs w:val="24"/>
              </w:rPr>
            </w:pPr>
            <w:r w:rsidRPr="00467789">
              <w:rPr>
                <w:rFonts w:ascii="Tahoma" w:hAnsi="Tahoma" w:cs="Tahoma"/>
                <w:b/>
                <w:sz w:val="24"/>
                <w:szCs w:val="24"/>
              </w:rPr>
              <w:t xml:space="preserve">Reasons for settlement </w:t>
            </w:r>
            <w:r w:rsidRPr="00467789">
              <w:rPr>
                <w:rStyle w:val="FootnoteReference"/>
                <w:rFonts w:ascii="Tahoma" w:hAnsi="Tahoma" w:cs="Tahoma"/>
                <w:b/>
                <w:sz w:val="24"/>
                <w:szCs w:val="24"/>
              </w:rPr>
              <w:footnoteReference w:id="1"/>
            </w:r>
          </w:p>
        </w:tc>
        <w:tc>
          <w:tcPr>
            <w:tcW w:w="2330" w:type="dxa"/>
            <w:tcBorders>
              <w:top w:val="single" w:sz="4" w:space="0" w:color="auto"/>
              <w:left w:val="single" w:sz="4" w:space="0" w:color="auto"/>
              <w:bottom w:val="single" w:sz="4" w:space="0" w:color="auto"/>
              <w:right w:val="single" w:sz="4" w:space="0" w:color="auto"/>
            </w:tcBorders>
          </w:tcPr>
          <w:p w:rsidR="00C627B1" w:rsidRPr="00467789" w:rsidRDefault="00C627B1">
            <w:pPr>
              <w:rPr>
                <w:rFonts w:ascii="Tahoma" w:hAnsi="Tahoma" w:cs="Tahoma"/>
                <w:sz w:val="24"/>
                <w:szCs w:val="24"/>
              </w:rPr>
            </w:pPr>
          </w:p>
        </w:tc>
      </w:tr>
      <w:tr w:rsidR="00C627B1" w:rsidRPr="00467789" w:rsidTr="00C627B1">
        <w:tc>
          <w:tcPr>
            <w:tcW w:w="6552"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sz w:val="24"/>
                <w:szCs w:val="24"/>
              </w:rPr>
            </w:pPr>
            <w:r w:rsidRPr="00467789">
              <w:rPr>
                <w:rFonts w:ascii="Tahoma" w:hAnsi="Tahoma" w:cs="Tahoma"/>
                <w:sz w:val="24"/>
                <w:szCs w:val="24"/>
              </w:rPr>
              <w:t xml:space="preserve">Misfeasance in the public office </w:t>
            </w:r>
          </w:p>
        </w:tc>
        <w:tc>
          <w:tcPr>
            <w:tcW w:w="2330" w:type="dxa"/>
            <w:tcBorders>
              <w:top w:val="single" w:sz="4" w:space="0" w:color="auto"/>
              <w:left w:val="single" w:sz="4" w:space="0" w:color="auto"/>
              <w:bottom w:val="single" w:sz="4" w:space="0" w:color="auto"/>
              <w:right w:val="single" w:sz="4" w:space="0" w:color="auto"/>
            </w:tcBorders>
            <w:hideMark/>
          </w:tcPr>
          <w:p w:rsidR="00C627B1" w:rsidRPr="00467789" w:rsidRDefault="00412EAE">
            <w:pPr>
              <w:rPr>
                <w:rFonts w:ascii="Tahoma" w:hAnsi="Tahoma" w:cs="Tahoma"/>
                <w:sz w:val="24"/>
                <w:szCs w:val="24"/>
              </w:rPr>
            </w:pPr>
            <w:r w:rsidRPr="00467789">
              <w:rPr>
                <w:rFonts w:ascii="Tahoma" w:hAnsi="Tahoma" w:cs="Tahoma"/>
                <w:sz w:val="24"/>
                <w:szCs w:val="24"/>
              </w:rPr>
              <w:t>1</w:t>
            </w:r>
          </w:p>
        </w:tc>
      </w:tr>
      <w:tr w:rsidR="00C627B1" w:rsidRPr="00467789" w:rsidTr="00C627B1">
        <w:tc>
          <w:tcPr>
            <w:tcW w:w="6552"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sz w:val="24"/>
                <w:szCs w:val="24"/>
              </w:rPr>
            </w:pPr>
            <w:r w:rsidRPr="00467789">
              <w:rPr>
                <w:rFonts w:ascii="Tahoma" w:hAnsi="Tahoma" w:cs="Tahoma"/>
                <w:sz w:val="24"/>
                <w:szCs w:val="24"/>
              </w:rPr>
              <w:t>Property damage</w:t>
            </w:r>
          </w:p>
        </w:tc>
        <w:tc>
          <w:tcPr>
            <w:tcW w:w="2330" w:type="dxa"/>
            <w:tcBorders>
              <w:top w:val="single" w:sz="4" w:space="0" w:color="auto"/>
              <w:left w:val="single" w:sz="4" w:space="0" w:color="auto"/>
              <w:bottom w:val="single" w:sz="4" w:space="0" w:color="auto"/>
              <w:right w:val="single" w:sz="4" w:space="0" w:color="auto"/>
            </w:tcBorders>
            <w:hideMark/>
          </w:tcPr>
          <w:p w:rsidR="00C627B1" w:rsidRPr="00467789" w:rsidRDefault="00412EAE">
            <w:pPr>
              <w:rPr>
                <w:rFonts w:ascii="Tahoma" w:hAnsi="Tahoma" w:cs="Tahoma"/>
                <w:sz w:val="24"/>
                <w:szCs w:val="24"/>
              </w:rPr>
            </w:pPr>
            <w:r w:rsidRPr="00467789">
              <w:rPr>
                <w:rFonts w:ascii="Tahoma" w:hAnsi="Tahoma" w:cs="Tahoma"/>
                <w:sz w:val="24"/>
                <w:szCs w:val="24"/>
              </w:rPr>
              <w:t>1</w:t>
            </w:r>
          </w:p>
        </w:tc>
      </w:tr>
      <w:tr w:rsidR="00C627B1" w:rsidRPr="00467789" w:rsidTr="00C627B1">
        <w:tc>
          <w:tcPr>
            <w:tcW w:w="6552"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sz w:val="24"/>
                <w:szCs w:val="24"/>
              </w:rPr>
            </w:pPr>
            <w:r w:rsidRPr="00467789">
              <w:rPr>
                <w:rFonts w:ascii="Tahoma" w:hAnsi="Tahoma" w:cs="Tahoma"/>
                <w:sz w:val="24"/>
                <w:szCs w:val="24"/>
              </w:rPr>
              <w:t xml:space="preserve">Assault/ battery </w:t>
            </w:r>
          </w:p>
        </w:tc>
        <w:tc>
          <w:tcPr>
            <w:tcW w:w="2330" w:type="dxa"/>
            <w:tcBorders>
              <w:top w:val="single" w:sz="4" w:space="0" w:color="auto"/>
              <w:left w:val="single" w:sz="4" w:space="0" w:color="auto"/>
              <w:bottom w:val="single" w:sz="4" w:space="0" w:color="auto"/>
              <w:right w:val="single" w:sz="4" w:space="0" w:color="auto"/>
            </w:tcBorders>
            <w:hideMark/>
          </w:tcPr>
          <w:p w:rsidR="00C627B1" w:rsidRPr="00467789" w:rsidRDefault="00412EAE">
            <w:pPr>
              <w:rPr>
                <w:rFonts w:ascii="Tahoma" w:hAnsi="Tahoma" w:cs="Tahoma"/>
                <w:sz w:val="24"/>
                <w:szCs w:val="24"/>
              </w:rPr>
            </w:pPr>
            <w:r w:rsidRPr="00467789">
              <w:rPr>
                <w:rFonts w:ascii="Tahoma" w:hAnsi="Tahoma" w:cs="Tahoma"/>
                <w:sz w:val="24"/>
                <w:szCs w:val="24"/>
              </w:rPr>
              <w:t>1</w:t>
            </w:r>
          </w:p>
        </w:tc>
      </w:tr>
      <w:tr w:rsidR="00C627B1" w:rsidRPr="00467789" w:rsidTr="00C627B1">
        <w:tc>
          <w:tcPr>
            <w:tcW w:w="6552" w:type="dxa"/>
            <w:tcBorders>
              <w:top w:val="single" w:sz="4" w:space="0" w:color="auto"/>
              <w:left w:val="single" w:sz="4" w:space="0" w:color="auto"/>
              <w:bottom w:val="single" w:sz="4" w:space="0" w:color="auto"/>
              <w:right w:val="single" w:sz="4" w:space="0" w:color="auto"/>
            </w:tcBorders>
            <w:hideMark/>
          </w:tcPr>
          <w:p w:rsidR="00C627B1" w:rsidRPr="00467789" w:rsidRDefault="00C627B1" w:rsidP="00412EAE">
            <w:pPr>
              <w:rPr>
                <w:rFonts w:ascii="Tahoma" w:hAnsi="Tahoma" w:cs="Tahoma"/>
                <w:sz w:val="24"/>
                <w:szCs w:val="24"/>
              </w:rPr>
            </w:pPr>
            <w:r w:rsidRPr="00467789">
              <w:rPr>
                <w:rFonts w:ascii="Tahoma" w:hAnsi="Tahoma" w:cs="Tahoma"/>
                <w:sz w:val="24"/>
                <w:szCs w:val="24"/>
              </w:rPr>
              <w:t xml:space="preserve">Breach of </w:t>
            </w:r>
            <w:r w:rsidR="00412EAE" w:rsidRPr="00467789">
              <w:rPr>
                <w:rFonts w:ascii="Tahoma" w:hAnsi="Tahoma" w:cs="Tahoma"/>
                <w:sz w:val="24"/>
                <w:szCs w:val="24"/>
              </w:rPr>
              <w:t>Human Rights</w:t>
            </w:r>
          </w:p>
        </w:tc>
        <w:tc>
          <w:tcPr>
            <w:tcW w:w="2330" w:type="dxa"/>
            <w:tcBorders>
              <w:top w:val="single" w:sz="4" w:space="0" w:color="auto"/>
              <w:left w:val="single" w:sz="4" w:space="0" w:color="auto"/>
              <w:bottom w:val="single" w:sz="4" w:space="0" w:color="auto"/>
              <w:right w:val="single" w:sz="4" w:space="0" w:color="auto"/>
            </w:tcBorders>
            <w:hideMark/>
          </w:tcPr>
          <w:p w:rsidR="00C627B1" w:rsidRPr="00467789" w:rsidRDefault="00412EAE">
            <w:pPr>
              <w:rPr>
                <w:rFonts w:ascii="Tahoma" w:hAnsi="Tahoma" w:cs="Tahoma"/>
                <w:sz w:val="24"/>
                <w:szCs w:val="24"/>
              </w:rPr>
            </w:pPr>
            <w:r w:rsidRPr="00467789">
              <w:rPr>
                <w:rFonts w:ascii="Tahoma" w:hAnsi="Tahoma" w:cs="Tahoma"/>
                <w:sz w:val="24"/>
                <w:szCs w:val="24"/>
              </w:rPr>
              <w:t>2</w:t>
            </w:r>
          </w:p>
        </w:tc>
      </w:tr>
      <w:tr w:rsidR="00C627B1" w:rsidRPr="00467789" w:rsidTr="00C627B1">
        <w:tc>
          <w:tcPr>
            <w:tcW w:w="6552" w:type="dxa"/>
            <w:tcBorders>
              <w:top w:val="single" w:sz="4" w:space="0" w:color="auto"/>
              <w:left w:val="single" w:sz="4" w:space="0" w:color="auto"/>
              <w:bottom w:val="single" w:sz="4" w:space="0" w:color="auto"/>
              <w:right w:val="single" w:sz="4" w:space="0" w:color="auto"/>
            </w:tcBorders>
            <w:hideMark/>
          </w:tcPr>
          <w:p w:rsidR="00C627B1" w:rsidRPr="00467789" w:rsidRDefault="00DC30A2">
            <w:pPr>
              <w:rPr>
                <w:rFonts w:ascii="Tahoma" w:hAnsi="Tahoma" w:cs="Tahoma"/>
                <w:sz w:val="24"/>
                <w:szCs w:val="24"/>
              </w:rPr>
            </w:pPr>
            <w:r w:rsidRPr="00467789">
              <w:rPr>
                <w:rFonts w:ascii="Tahoma" w:hAnsi="Tahoma" w:cs="Tahoma"/>
                <w:sz w:val="24"/>
                <w:szCs w:val="24"/>
              </w:rPr>
              <w:t xml:space="preserve">Failure to pay overtime allowance </w:t>
            </w:r>
          </w:p>
        </w:tc>
        <w:tc>
          <w:tcPr>
            <w:tcW w:w="2330" w:type="dxa"/>
            <w:tcBorders>
              <w:top w:val="single" w:sz="4" w:space="0" w:color="auto"/>
              <w:left w:val="single" w:sz="4" w:space="0" w:color="auto"/>
              <w:bottom w:val="single" w:sz="4" w:space="0" w:color="auto"/>
              <w:right w:val="single" w:sz="4" w:space="0" w:color="auto"/>
            </w:tcBorders>
            <w:hideMark/>
          </w:tcPr>
          <w:p w:rsidR="00C627B1" w:rsidRPr="00467789" w:rsidRDefault="00412EAE">
            <w:pPr>
              <w:rPr>
                <w:rFonts w:ascii="Tahoma" w:hAnsi="Tahoma" w:cs="Tahoma"/>
                <w:sz w:val="24"/>
                <w:szCs w:val="24"/>
              </w:rPr>
            </w:pPr>
            <w:r w:rsidRPr="00467789">
              <w:rPr>
                <w:rFonts w:ascii="Tahoma" w:hAnsi="Tahoma" w:cs="Tahoma"/>
                <w:sz w:val="24"/>
                <w:szCs w:val="24"/>
              </w:rPr>
              <w:t>1</w:t>
            </w:r>
          </w:p>
        </w:tc>
      </w:tr>
    </w:tbl>
    <w:p w:rsidR="00C627B1" w:rsidRPr="00467789" w:rsidRDefault="00C627B1" w:rsidP="00C627B1">
      <w:pPr>
        <w:ind w:left="360"/>
        <w:rPr>
          <w:rFonts w:ascii="Tahoma" w:hAnsi="Tahoma" w:cs="Tahoma"/>
          <w:sz w:val="24"/>
          <w:szCs w:val="24"/>
        </w:rPr>
      </w:pPr>
    </w:p>
    <w:p w:rsidR="00C627B1" w:rsidRPr="00467789" w:rsidRDefault="00C627B1" w:rsidP="00467789">
      <w:pPr>
        <w:ind w:left="709" w:hanging="709"/>
        <w:rPr>
          <w:rFonts w:ascii="Tahoma" w:hAnsi="Tahoma" w:cs="Tahoma"/>
          <w:sz w:val="24"/>
          <w:szCs w:val="24"/>
        </w:rPr>
      </w:pPr>
      <w:r w:rsidRPr="00467789">
        <w:rPr>
          <w:rFonts w:ascii="Tahoma" w:hAnsi="Tahoma" w:cs="Tahoma"/>
          <w:sz w:val="24"/>
          <w:szCs w:val="24"/>
        </w:rPr>
        <w:t xml:space="preserve">4.3 </w:t>
      </w:r>
      <w:r w:rsidR="00467789">
        <w:rPr>
          <w:rFonts w:ascii="Tahoma" w:hAnsi="Tahoma" w:cs="Tahoma"/>
          <w:sz w:val="24"/>
          <w:szCs w:val="24"/>
        </w:rPr>
        <w:tab/>
      </w:r>
      <w:r w:rsidRPr="00467789">
        <w:rPr>
          <w:rFonts w:ascii="Tahoma" w:hAnsi="Tahoma" w:cs="Tahoma"/>
          <w:sz w:val="24"/>
          <w:szCs w:val="24"/>
        </w:rPr>
        <w:t>Feedback is provided on a case by case basis to ensure assistance is given in managing risks. At the strategic level the Force takes its ‘risk’ around civil litigation very seriously and works tirelessly to ensure that ‘liability’ is reduced wherever possible and that the ‘lessons learnt’ from finalised cases are integrated into operational and organisational planning and delivery. For example, lessons learnt from motor claims are taken to the Driver Standards Gold Group.</w:t>
      </w:r>
    </w:p>
    <w:p w:rsidR="00C627B1" w:rsidRPr="00467789" w:rsidRDefault="00C627B1" w:rsidP="00467789">
      <w:pPr>
        <w:ind w:left="709" w:hanging="709"/>
        <w:jc w:val="both"/>
        <w:rPr>
          <w:rFonts w:ascii="Tahoma" w:hAnsi="Tahoma" w:cs="Tahoma"/>
          <w:b/>
          <w:sz w:val="24"/>
          <w:szCs w:val="24"/>
        </w:rPr>
      </w:pPr>
      <w:r w:rsidRPr="00467789">
        <w:rPr>
          <w:rFonts w:ascii="Tahoma" w:hAnsi="Tahoma" w:cs="Tahoma"/>
          <w:b/>
          <w:sz w:val="24"/>
          <w:szCs w:val="24"/>
        </w:rPr>
        <w:t xml:space="preserve">5. </w:t>
      </w:r>
      <w:r w:rsidR="00467789">
        <w:rPr>
          <w:rFonts w:ascii="Tahoma" w:hAnsi="Tahoma" w:cs="Tahoma"/>
          <w:b/>
          <w:sz w:val="24"/>
          <w:szCs w:val="24"/>
        </w:rPr>
        <w:t xml:space="preserve">      </w:t>
      </w:r>
      <w:r w:rsidRPr="00467789">
        <w:rPr>
          <w:rFonts w:ascii="Tahoma" w:hAnsi="Tahoma" w:cs="Tahoma"/>
          <w:b/>
          <w:sz w:val="24"/>
          <w:szCs w:val="24"/>
        </w:rPr>
        <w:t>Sums paid out on Finalised Cases</w:t>
      </w:r>
    </w:p>
    <w:p w:rsidR="00C627B1" w:rsidRPr="00467789" w:rsidRDefault="00C627B1" w:rsidP="00467789">
      <w:pPr>
        <w:ind w:left="709" w:hanging="709"/>
        <w:jc w:val="both"/>
        <w:rPr>
          <w:rFonts w:ascii="Tahoma" w:hAnsi="Tahoma" w:cs="Tahoma"/>
          <w:sz w:val="24"/>
          <w:szCs w:val="24"/>
        </w:rPr>
      </w:pPr>
      <w:r w:rsidRPr="00467789">
        <w:rPr>
          <w:rFonts w:ascii="Tahoma" w:hAnsi="Tahoma" w:cs="Tahoma"/>
          <w:sz w:val="24"/>
          <w:szCs w:val="24"/>
        </w:rPr>
        <w:t xml:space="preserve">5.1 </w:t>
      </w:r>
      <w:r w:rsidR="00467789">
        <w:rPr>
          <w:rFonts w:ascii="Tahoma" w:hAnsi="Tahoma" w:cs="Tahoma"/>
          <w:sz w:val="24"/>
          <w:szCs w:val="24"/>
        </w:rPr>
        <w:t xml:space="preserve">    </w:t>
      </w:r>
      <w:r w:rsidRPr="00467789">
        <w:rPr>
          <w:rFonts w:ascii="Tahoma" w:hAnsi="Tahoma" w:cs="Tahoma"/>
          <w:sz w:val="24"/>
          <w:szCs w:val="24"/>
        </w:rPr>
        <w:t xml:space="preserve">The Chart below summarises the payments made on claims finalised during the period. </w:t>
      </w:r>
    </w:p>
    <w:p w:rsidR="00C627B1" w:rsidRPr="00467789" w:rsidRDefault="00C627B1" w:rsidP="00C627B1">
      <w:pPr>
        <w:ind w:left="360"/>
        <w:rPr>
          <w:rFonts w:ascii="Tahoma" w:hAnsi="Tahoma" w:cs="Tahoma"/>
          <w:sz w:val="24"/>
          <w:szCs w:val="24"/>
        </w:rPr>
      </w:pPr>
      <w:r w:rsidRPr="00467789">
        <w:rPr>
          <w:rFonts w:ascii="Tahoma" w:hAnsi="Tahoma" w:cs="Tahoma"/>
          <w:noProof/>
          <w:sz w:val="24"/>
          <w:szCs w:val="24"/>
          <w:lang w:eastAsia="en-GB"/>
        </w:rPr>
        <w:drawing>
          <wp:inline distT="0" distB="0" distL="0" distR="0" wp14:anchorId="12ECEDB3" wp14:editId="2667A2A7">
            <wp:extent cx="5509260" cy="3223260"/>
            <wp:effectExtent l="0" t="0" r="15240" b="1524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627B1" w:rsidRPr="00467789" w:rsidRDefault="00C627B1" w:rsidP="00C627B1">
      <w:pPr>
        <w:ind w:left="360"/>
        <w:rPr>
          <w:rFonts w:ascii="Tahoma" w:hAnsi="Tahoma" w:cs="Tahoma"/>
          <w:sz w:val="24"/>
          <w:szCs w:val="24"/>
        </w:rPr>
      </w:pPr>
    </w:p>
    <w:p w:rsidR="00C627B1" w:rsidRPr="00467789" w:rsidRDefault="00C627B1" w:rsidP="00467789">
      <w:pPr>
        <w:tabs>
          <w:tab w:val="left" w:pos="709"/>
        </w:tabs>
        <w:ind w:left="851" w:hanging="851"/>
        <w:rPr>
          <w:rFonts w:ascii="Tahoma" w:hAnsi="Tahoma" w:cs="Tahoma"/>
          <w:b/>
          <w:sz w:val="24"/>
          <w:szCs w:val="24"/>
        </w:rPr>
      </w:pPr>
      <w:r w:rsidRPr="00467789">
        <w:rPr>
          <w:rFonts w:ascii="Tahoma" w:hAnsi="Tahoma" w:cs="Tahoma"/>
          <w:b/>
          <w:sz w:val="24"/>
          <w:szCs w:val="24"/>
        </w:rPr>
        <w:lastRenderedPageBreak/>
        <w:t xml:space="preserve">6. </w:t>
      </w:r>
      <w:r w:rsidR="00467789">
        <w:rPr>
          <w:rFonts w:ascii="Tahoma" w:hAnsi="Tahoma" w:cs="Tahoma"/>
          <w:b/>
          <w:sz w:val="24"/>
          <w:szCs w:val="24"/>
        </w:rPr>
        <w:t xml:space="preserve">       </w:t>
      </w:r>
      <w:r w:rsidRPr="00467789">
        <w:rPr>
          <w:rFonts w:ascii="Tahoma" w:hAnsi="Tahoma" w:cs="Tahoma"/>
          <w:b/>
          <w:sz w:val="24"/>
          <w:szCs w:val="24"/>
        </w:rPr>
        <w:t>Trends by Financial Years</w:t>
      </w:r>
    </w:p>
    <w:p w:rsidR="00C627B1" w:rsidRPr="00467789" w:rsidRDefault="00C627B1" w:rsidP="00467789">
      <w:pPr>
        <w:ind w:left="851" w:hanging="851"/>
        <w:rPr>
          <w:rFonts w:ascii="Tahoma" w:hAnsi="Tahoma" w:cs="Tahoma"/>
          <w:sz w:val="24"/>
          <w:szCs w:val="24"/>
        </w:rPr>
      </w:pPr>
      <w:r w:rsidRPr="00467789">
        <w:rPr>
          <w:rFonts w:ascii="Tahoma" w:hAnsi="Tahoma" w:cs="Tahoma"/>
          <w:sz w:val="24"/>
          <w:szCs w:val="24"/>
        </w:rPr>
        <w:t xml:space="preserve">6.1 </w:t>
      </w:r>
      <w:r w:rsidR="00467789">
        <w:rPr>
          <w:rFonts w:ascii="Tahoma" w:hAnsi="Tahoma" w:cs="Tahoma"/>
          <w:sz w:val="24"/>
          <w:szCs w:val="24"/>
        </w:rPr>
        <w:t xml:space="preserve">     </w:t>
      </w:r>
      <w:r w:rsidRPr="00467789">
        <w:rPr>
          <w:rFonts w:ascii="Tahoma" w:hAnsi="Tahoma" w:cs="Tahoma"/>
          <w:sz w:val="24"/>
          <w:szCs w:val="24"/>
        </w:rPr>
        <w:t xml:space="preserve">The table below summarises the fluctuations over recent years. </w:t>
      </w:r>
    </w:p>
    <w:tbl>
      <w:tblPr>
        <w:tblStyle w:val="TableGrid"/>
        <w:tblW w:w="0" w:type="auto"/>
        <w:tblInd w:w="360" w:type="dxa"/>
        <w:tblLook w:val="04A0" w:firstRow="1" w:lastRow="0" w:firstColumn="1" w:lastColumn="0" w:noHBand="0" w:noVBand="1"/>
      </w:tblPr>
      <w:tblGrid>
        <w:gridCol w:w="2156"/>
        <w:gridCol w:w="2151"/>
        <w:gridCol w:w="2152"/>
        <w:gridCol w:w="2197"/>
      </w:tblGrid>
      <w:tr w:rsidR="00C627B1" w:rsidRPr="00467789" w:rsidTr="00C627B1">
        <w:tc>
          <w:tcPr>
            <w:tcW w:w="2310"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b/>
                <w:sz w:val="20"/>
                <w:szCs w:val="24"/>
              </w:rPr>
            </w:pPr>
            <w:r w:rsidRPr="00467789">
              <w:rPr>
                <w:rFonts w:ascii="Tahoma" w:hAnsi="Tahoma" w:cs="Tahoma"/>
                <w:b/>
                <w:sz w:val="20"/>
                <w:szCs w:val="24"/>
              </w:rPr>
              <w:t>Financial Year</w:t>
            </w:r>
          </w:p>
        </w:tc>
        <w:tc>
          <w:tcPr>
            <w:tcW w:w="2310"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b/>
                <w:sz w:val="20"/>
                <w:szCs w:val="24"/>
              </w:rPr>
            </w:pPr>
            <w:r w:rsidRPr="00467789">
              <w:rPr>
                <w:rFonts w:ascii="Tahoma" w:hAnsi="Tahoma" w:cs="Tahoma"/>
                <w:b/>
                <w:sz w:val="20"/>
                <w:szCs w:val="24"/>
              </w:rPr>
              <w:t xml:space="preserve">Claims received </w:t>
            </w:r>
          </w:p>
        </w:tc>
        <w:tc>
          <w:tcPr>
            <w:tcW w:w="2311"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b/>
                <w:sz w:val="20"/>
                <w:szCs w:val="24"/>
              </w:rPr>
            </w:pPr>
            <w:r w:rsidRPr="00467789">
              <w:rPr>
                <w:rFonts w:ascii="Tahoma" w:hAnsi="Tahoma" w:cs="Tahoma"/>
                <w:b/>
                <w:sz w:val="20"/>
                <w:szCs w:val="24"/>
              </w:rPr>
              <w:t>Total sum paid on finalised cases</w:t>
            </w:r>
            <w:r w:rsidRPr="00467789">
              <w:rPr>
                <w:rStyle w:val="FootnoteReference"/>
                <w:rFonts w:ascii="Tahoma" w:hAnsi="Tahoma" w:cs="Tahoma"/>
                <w:b/>
                <w:sz w:val="20"/>
                <w:szCs w:val="24"/>
              </w:rPr>
              <w:footnoteReference w:id="2"/>
            </w:r>
          </w:p>
        </w:tc>
        <w:tc>
          <w:tcPr>
            <w:tcW w:w="2311"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b/>
                <w:sz w:val="20"/>
                <w:szCs w:val="24"/>
              </w:rPr>
            </w:pPr>
            <w:r w:rsidRPr="00467789">
              <w:rPr>
                <w:rFonts w:ascii="Tahoma" w:hAnsi="Tahoma" w:cs="Tahoma"/>
                <w:b/>
                <w:sz w:val="20"/>
                <w:szCs w:val="24"/>
              </w:rPr>
              <w:t>Percentage of cases successfully defended</w:t>
            </w:r>
          </w:p>
        </w:tc>
      </w:tr>
      <w:tr w:rsidR="00C627B1" w:rsidRPr="00467789" w:rsidTr="00C627B1">
        <w:tc>
          <w:tcPr>
            <w:tcW w:w="2310"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sz w:val="20"/>
                <w:szCs w:val="24"/>
              </w:rPr>
            </w:pPr>
            <w:r w:rsidRPr="00467789">
              <w:rPr>
                <w:rFonts w:ascii="Tahoma" w:hAnsi="Tahoma" w:cs="Tahoma"/>
                <w:sz w:val="20"/>
                <w:szCs w:val="24"/>
              </w:rPr>
              <w:t>01/04/09 – 31/03/10</w:t>
            </w:r>
          </w:p>
        </w:tc>
        <w:tc>
          <w:tcPr>
            <w:tcW w:w="2310"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sz w:val="20"/>
                <w:szCs w:val="24"/>
              </w:rPr>
            </w:pPr>
            <w:r w:rsidRPr="00467789">
              <w:rPr>
                <w:rFonts w:ascii="Tahoma" w:hAnsi="Tahoma" w:cs="Tahoma"/>
                <w:sz w:val="20"/>
                <w:szCs w:val="24"/>
              </w:rPr>
              <w:t>136</w:t>
            </w:r>
          </w:p>
        </w:tc>
        <w:tc>
          <w:tcPr>
            <w:tcW w:w="2311"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sz w:val="20"/>
                <w:szCs w:val="24"/>
              </w:rPr>
            </w:pPr>
            <w:r w:rsidRPr="00467789">
              <w:rPr>
                <w:rFonts w:ascii="Tahoma" w:hAnsi="Tahoma" w:cs="Tahoma"/>
                <w:sz w:val="20"/>
                <w:szCs w:val="24"/>
              </w:rPr>
              <w:t>£386,797</w:t>
            </w:r>
          </w:p>
        </w:tc>
        <w:tc>
          <w:tcPr>
            <w:tcW w:w="2311"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sz w:val="20"/>
                <w:szCs w:val="24"/>
              </w:rPr>
            </w:pPr>
            <w:r w:rsidRPr="00467789">
              <w:rPr>
                <w:rFonts w:ascii="Tahoma" w:hAnsi="Tahoma" w:cs="Tahoma"/>
                <w:sz w:val="20"/>
                <w:szCs w:val="24"/>
              </w:rPr>
              <w:t>38%</w:t>
            </w:r>
          </w:p>
        </w:tc>
      </w:tr>
      <w:tr w:rsidR="00C627B1" w:rsidRPr="00467789" w:rsidTr="00C627B1">
        <w:tc>
          <w:tcPr>
            <w:tcW w:w="2310"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sz w:val="20"/>
                <w:szCs w:val="24"/>
              </w:rPr>
            </w:pPr>
            <w:r w:rsidRPr="00467789">
              <w:rPr>
                <w:rFonts w:ascii="Tahoma" w:hAnsi="Tahoma" w:cs="Tahoma"/>
                <w:sz w:val="20"/>
                <w:szCs w:val="24"/>
              </w:rPr>
              <w:t>01/04/10 – 31/03/11</w:t>
            </w:r>
          </w:p>
        </w:tc>
        <w:tc>
          <w:tcPr>
            <w:tcW w:w="2310"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sz w:val="20"/>
                <w:szCs w:val="24"/>
              </w:rPr>
            </w:pPr>
            <w:r w:rsidRPr="00467789">
              <w:rPr>
                <w:rFonts w:ascii="Tahoma" w:hAnsi="Tahoma" w:cs="Tahoma"/>
                <w:sz w:val="20"/>
                <w:szCs w:val="24"/>
              </w:rPr>
              <w:t>129</w:t>
            </w:r>
          </w:p>
        </w:tc>
        <w:tc>
          <w:tcPr>
            <w:tcW w:w="2311"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sz w:val="20"/>
                <w:szCs w:val="24"/>
              </w:rPr>
            </w:pPr>
            <w:r w:rsidRPr="00467789">
              <w:rPr>
                <w:rFonts w:ascii="Tahoma" w:hAnsi="Tahoma" w:cs="Tahoma"/>
                <w:sz w:val="20"/>
                <w:szCs w:val="24"/>
              </w:rPr>
              <w:t>£635,125</w:t>
            </w:r>
          </w:p>
        </w:tc>
        <w:tc>
          <w:tcPr>
            <w:tcW w:w="2311"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sz w:val="20"/>
                <w:szCs w:val="24"/>
              </w:rPr>
            </w:pPr>
            <w:r w:rsidRPr="00467789">
              <w:rPr>
                <w:rFonts w:ascii="Tahoma" w:hAnsi="Tahoma" w:cs="Tahoma"/>
                <w:sz w:val="20"/>
                <w:szCs w:val="24"/>
              </w:rPr>
              <w:t>47%</w:t>
            </w:r>
          </w:p>
        </w:tc>
      </w:tr>
      <w:tr w:rsidR="00C627B1" w:rsidRPr="00467789" w:rsidTr="00C627B1">
        <w:tc>
          <w:tcPr>
            <w:tcW w:w="2310"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sz w:val="20"/>
                <w:szCs w:val="24"/>
              </w:rPr>
            </w:pPr>
            <w:r w:rsidRPr="00467789">
              <w:rPr>
                <w:rFonts w:ascii="Tahoma" w:hAnsi="Tahoma" w:cs="Tahoma"/>
                <w:sz w:val="20"/>
                <w:szCs w:val="24"/>
              </w:rPr>
              <w:t>01/04/11 – 31/03/12</w:t>
            </w:r>
          </w:p>
        </w:tc>
        <w:tc>
          <w:tcPr>
            <w:tcW w:w="2310"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sz w:val="20"/>
                <w:szCs w:val="24"/>
              </w:rPr>
            </w:pPr>
            <w:r w:rsidRPr="00467789">
              <w:rPr>
                <w:rFonts w:ascii="Tahoma" w:hAnsi="Tahoma" w:cs="Tahoma"/>
                <w:sz w:val="20"/>
                <w:szCs w:val="24"/>
              </w:rPr>
              <w:t>134</w:t>
            </w:r>
          </w:p>
        </w:tc>
        <w:tc>
          <w:tcPr>
            <w:tcW w:w="2311"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sz w:val="20"/>
                <w:szCs w:val="24"/>
              </w:rPr>
            </w:pPr>
            <w:r w:rsidRPr="00467789">
              <w:rPr>
                <w:rFonts w:ascii="Tahoma" w:hAnsi="Tahoma" w:cs="Tahoma"/>
                <w:sz w:val="20"/>
                <w:szCs w:val="24"/>
              </w:rPr>
              <w:t>£471,901</w:t>
            </w:r>
          </w:p>
        </w:tc>
        <w:tc>
          <w:tcPr>
            <w:tcW w:w="2311"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sz w:val="20"/>
                <w:szCs w:val="24"/>
              </w:rPr>
            </w:pPr>
            <w:r w:rsidRPr="00467789">
              <w:rPr>
                <w:rFonts w:ascii="Tahoma" w:hAnsi="Tahoma" w:cs="Tahoma"/>
                <w:sz w:val="20"/>
                <w:szCs w:val="24"/>
              </w:rPr>
              <w:t>51%</w:t>
            </w:r>
          </w:p>
        </w:tc>
      </w:tr>
      <w:tr w:rsidR="00C627B1" w:rsidRPr="00467789" w:rsidTr="00C627B1">
        <w:tc>
          <w:tcPr>
            <w:tcW w:w="2310"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sz w:val="20"/>
                <w:szCs w:val="24"/>
              </w:rPr>
            </w:pPr>
            <w:r w:rsidRPr="00467789">
              <w:rPr>
                <w:rFonts w:ascii="Tahoma" w:hAnsi="Tahoma" w:cs="Tahoma"/>
                <w:sz w:val="20"/>
                <w:szCs w:val="24"/>
              </w:rPr>
              <w:t>01/04/12 – 31/03/13</w:t>
            </w:r>
          </w:p>
        </w:tc>
        <w:tc>
          <w:tcPr>
            <w:tcW w:w="2310"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sz w:val="20"/>
                <w:szCs w:val="24"/>
              </w:rPr>
            </w:pPr>
            <w:r w:rsidRPr="00467789">
              <w:rPr>
                <w:rFonts w:ascii="Tahoma" w:hAnsi="Tahoma" w:cs="Tahoma"/>
                <w:sz w:val="20"/>
                <w:szCs w:val="24"/>
              </w:rPr>
              <w:t>99</w:t>
            </w:r>
          </w:p>
        </w:tc>
        <w:tc>
          <w:tcPr>
            <w:tcW w:w="2311"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sz w:val="20"/>
                <w:szCs w:val="24"/>
              </w:rPr>
            </w:pPr>
            <w:r w:rsidRPr="00467789">
              <w:rPr>
                <w:rFonts w:ascii="Tahoma" w:hAnsi="Tahoma" w:cs="Tahoma"/>
                <w:sz w:val="20"/>
                <w:szCs w:val="24"/>
              </w:rPr>
              <w:t>£558,123</w:t>
            </w:r>
          </w:p>
        </w:tc>
        <w:tc>
          <w:tcPr>
            <w:tcW w:w="2311"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sz w:val="20"/>
                <w:szCs w:val="24"/>
              </w:rPr>
            </w:pPr>
            <w:r w:rsidRPr="00467789">
              <w:rPr>
                <w:rFonts w:ascii="Tahoma" w:hAnsi="Tahoma" w:cs="Tahoma"/>
                <w:sz w:val="20"/>
                <w:szCs w:val="24"/>
              </w:rPr>
              <w:t>65%</w:t>
            </w:r>
          </w:p>
        </w:tc>
      </w:tr>
      <w:tr w:rsidR="00C627B1" w:rsidRPr="00467789" w:rsidTr="00C627B1">
        <w:tc>
          <w:tcPr>
            <w:tcW w:w="2310"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sz w:val="20"/>
                <w:szCs w:val="24"/>
              </w:rPr>
            </w:pPr>
            <w:r w:rsidRPr="00467789">
              <w:rPr>
                <w:rFonts w:ascii="Tahoma" w:hAnsi="Tahoma" w:cs="Tahoma"/>
                <w:sz w:val="20"/>
                <w:szCs w:val="24"/>
              </w:rPr>
              <w:t>01/04/13 – 31/03/14</w:t>
            </w:r>
          </w:p>
        </w:tc>
        <w:tc>
          <w:tcPr>
            <w:tcW w:w="2310"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sz w:val="20"/>
                <w:szCs w:val="24"/>
              </w:rPr>
            </w:pPr>
            <w:r w:rsidRPr="00467789">
              <w:rPr>
                <w:rFonts w:ascii="Tahoma" w:hAnsi="Tahoma" w:cs="Tahoma"/>
                <w:sz w:val="20"/>
                <w:szCs w:val="24"/>
              </w:rPr>
              <w:t>122</w:t>
            </w:r>
          </w:p>
        </w:tc>
        <w:tc>
          <w:tcPr>
            <w:tcW w:w="2311"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sz w:val="20"/>
                <w:szCs w:val="24"/>
              </w:rPr>
            </w:pPr>
            <w:r w:rsidRPr="00467789">
              <w:rPr>
                <w:rFonts w:ascii="Tahoma" w:hAnsi="Tahoma" w:cs="Tahoma"/>
                <w:sz w:val="20"/>
                <w:szCs w:val="24"/>
              </w:rPr>
              <w:t>£567,983</w:t>
            </w:r>
          </w:p>
        </w:tc>
        <w:tc>
          <w:tcPr>
            <w:tcW w:w="2311"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sz w:val="20"/>
                <w:szCs w:val="24"/>
              </w:rPr>
            </w:pPr>
            <w:r w:rsidRPr="00467789">
              <w:rPr>
                <w:rFonts w:ascii="Tahoma" w:hAnsi="Tahoma" w:cs="Tahoma"/>
                <w:sz w:val="20"/>
                <w:szCs w:val="24"/>
              </w:rPr>
              <w:t>58%</w:t>
            </w:r>
          </w:p>
        </w:tc>
      </w:tr>
      <w:tr w:rsidR="00C627B1" w:rsidRPr="00467789" w:rsidTr="00C627B1">
        <w:tc>
          <w:tcPr>
            <w:tcW w:w="2310"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sz w:val="20"/>
                <w:szCs w:val="24"/>
              </w:rPr>
            </w:pPr>
            <w:r w:rsidRPr="00467789">
              <w:rPr>
                <w:rFonts w:ascii="Tahoma" w:hAnsi="Tahoma" w:cs="Tahoma"/>
                <w:sz w:val="20"/>
                <w:szCs w:val="24"/>
              </w:rPr>
              <w:t>01/04/14 – 31/03/15</w:t>
            </w:r>
          </w:p>
        </w:tc>
        <w:tc>
          <w:tcPr>
            <w:tcW w:w="2310"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sz w:val="20"/>
                <w:szCs w:val="24"/>
              </w:rPr>
            </w:pPr>
            <w:r w:rsidRPr="00467789">
              <w:rPr>
                <w:rFonts w:ascii="Tahoma" w:hAnsi="Tahoma" w:cs="Tahoma"/>
                <w:sz w:val="20"/>
                <w:szCs w:val="24"/>
              </w:rPr>
              <w:t>105</w:t>
            </w:r>
          </w:p>
        </w:tc>
        <w:tc>
          <w:tcPr>
            <w:tcW w:w="2311"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sz w:val="20"/>
                <w:szCs w:val="24"/>
              </w:rPr>
            </w:pPr>
            <w:r w:rsidRPr="00467789">
              <w:rPr>
                <w:rFonts w:ascii="Tahoma" w:hAnsi="Tahoma" w:cs="Tahoma"/>
                <w:sz w:val="20"/>
                <w:szCs w:val="24"/>
              </w:rPr>
              <w:t>£562,551</w:t>
            </w:r>
          </w:p>
        </w:tc>
        <w:tc>
          <w:tcPr>
            <w:tcW w:w="2311"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sz w:val="20"/>
                <w:szCs w:val="24"/>
              </w:rPr>
            </w:pPr>
            <w:r w:rsidRPr="00467789">
              <w:rPr>
                <w:rFonts w:ascii="Tahoma" w:hAnsi="Tahoma" w:cs="Tahoma"/>
                <w:sz w:val="20"/>
                <w:szCs w:val="24"/>
              </w:rPr>
              <w:t>61%</w:t>
            </w:r>
          </w:p>
        </w:tc>
      </w:tr>
      <w:tr w:rsidR="00C627B1" w:rsidRPr="00467789" w:rsidTr="00C627B1">
        <w:tc>
          <w:tcPr>
            <w:tcW w:w="2310"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sz w:val="20"/>
                <w:szCs w:val="24"/>
              </w:rPr>
            </w:pPr>
            <w:r w:rsidRPr="00467789">
              <w:rPr>
                <w:rFonts w:ascii="Tahoma" w:hAnsi="Tahoma" w:cs="Tahoma"/>
                <w:sz w:val="20"/>
                <w:szCs w:val="24"/>
              </w:rPr>
              <w:t>01/04/15 – 31/03/16</w:t>
            </w:r>
          </w:p>
        </w:tc>
        <w:tc>
          <w:tcPr>
            <w:tcW w:w="2310"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sz w:val="20"/>
                <w:szCs w:val="24"/>
              </w:rPr>
            </w:pPr>
            <w:r w:rsidRPr="00467789">
              <w:rPr>
                <w:rFonts w:ascii="Tahoma" w:hAnsi="Tahoma" w:cs="Tahoma"/>
                <w:sz w:val="20"/>
                <w:szCs w:val="24"/>
              </w:rPr>
              <w:t>115</w:t>
            </w:r>
          </w:p>
        </w:tc>
        <w:tc>
          <w:tcPr>
            <w:tcW w:w="2311"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sz w:val="20"/>
                <w:szCs w:val="24"/>
              </w:rPr>
            </w:pPr>
            <w:r w:rsidRPr="00467789">
              <w:rPr>
                <w:rFonts w:ascii="Tahoma" w:hAnsi="Tahoma" w:cs="Tahoma"/>
                <w:sz w:val="20"/>
                <w:szCs w:val="24"/>
              </w:rPr>
              <w:t>£473,966</w:t>
            </w:r>
          </w:p>
        </w:tc>
        <w:tc>
          <w:tcPr>
            <w:tcW w:w="2311"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sz w:val="20"/>
                <w:szCs w:val="24"/>
              </w:rPr>
            </w:pPr>
            <w:r w:rsidRPr="00467789">
              <w:rPr>
                <w:rFonts w:ascii="Tahoma" w:hAnsi="Tahoma" w:cs="Tahoma"/>
                <w:sz w:val="20"/>
                <w:szCs w:val="24"/>
              </w:rPr>
              <w:t>58%</w:t>
            </w:r>
          </w:p>
        </w:tc>
      </w:tr>
      <w:tr w:rsidR="00C627B1" w:rsidRPr="00467789" w:rsidTr="00C627B1">
        <w:tc>
          <w:tcPr>
            <w:tcW w:w="2310"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sz w:val="20"/>
                <w:szCs w:val="24"/>
              </w:rPr>
            </w:pPr>
            <w:r w:rsidRPr="00467789">
              <w:rPr>
                <w:rFonts w:ascii="Tahoma" w:hAnsi="Tahoma" w:cs="Tahoma"/>
                <w:sz w:val="20"/>
                <w:szCs w:val="24"/>
              </w:rPr>
              <w:t>01/04/16 – 31/03/17</w:t>
            </w:r>
          </w:p>
        </w:tc>
        <w:tc>
          <w:tcPr>
            <w:tcW w:w="2310"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sz w:val="20"/>
                <w:szCs w:val="24"/>
              </w:rPr>
            </w:pPr>
            <w:r w:rsidRPr="00467789">
              <w:rPr>
                <w:rFonts w:ascii="Tahoma" w:hAnsi="Tahoma" w:cs="Tahoma"/>
                <w:sz w:val="20"/>
                <w:szCs w:val="24"/>
              </w:rPr>
              <w:t>90</w:t>
            </w:r>
          </w:p>
        </w:tc>
        <w:tc>
          <w:tcPr>
            <w:tcW w:w="2311"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sz w:val="20"/>
                <w:szCs w:val="24"/>
              </w:rPr>
            </w:pPr>
            <w:r w:rsidRPr="00467789">
              <w:rPr>
                <w:rFonts w:ascii="Tahoma" w:hAnsi="Tahoma" w:cs="Tahoma"/>
                <w:sz w:val="20"/>
                <w:szCs w:val="24"/>
              </w:rPr>
              <w:t>£468,690</w:t>
            </w:r>
          </w:p>
        </w:tc>
        <w:tc>
          <w:tcPr>
            <w:tcW w:w="2311"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sz w:val="20"/>
                <w:szCs w:val="24"/>
              </w:rPr>
            </w:pPr>
            <w:r w:rsidRPr="00467789">
              <w:rPr>
                <w:rFonts w:ascii="Tahoma" w:hAnsi="Tahoma" w:cs="Tahoma"/>
                <w:sz w:val="20"/>
                <w:szCs w:val="24"/>
              </w:rPr>
              <w:t>61%</w:t>
            </w:r>
          </w:p>
        </w:tc>
      </w:tr>
      <w:tr w:rsidR="00C627B1" w:rsidRPr="00467789" w:rsidTr="00C627B1">
        <w:tc>
          <w:tcPr>
            <w:tcW w:w="2310"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sz w:val="20"/>
                <w:szCs w:val="24"/>
              </w:rPr>
            </w:pPr>
            <w:r w:rsidRPr="00467789">
              <w:rPr>
                <w:rFonts w:ascii="Tahoma" w:hAnsi="Tahoma" w:cs="Tahoma"/>
                <w:sz w:val="20"/>
                <w:szCs w:val="24"/>
              </w:rPr>
              <w:t>01/04/17 – 31/03/18</w:t>
            </w:r>
          </w:p>
        </w:tc>
        <w:tc>
          <w:tcPr>
            <w:tcW w:w="2310"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sz w:val="20"/>
                <w:szCs w:val="24"/>
              </w:rPr>
            </w:pPr>
            <w:r w:rsidRPr="00467789">
              <w:rPr>
                <w:rFonts w:ascii="Tahoma" w:hAnsi="Tahoma" w:cs="Tahoma"/>
                <w:sz w:val="20"/>
                <w:szCs w:val="24"/>
              </w:rPr>
              <w:t>92</w:t>
            </w:r>
          </w:p>
        </w:tc>
        <w:tc>
          <w:tcPr>
            <w:tcW w:w="2311"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sz w:val="20"/>
                <w:szCs w:val="24"/>
              </w:rPr>
            </w:pPr>
            <w:r w:rsidRPr="00467789">
              <w:rPr>
                <w:rFonts w:ascii="Tahoma" w:hAnsi="Tahoma" w:cs="Tahoma"/>
                <w:sz w:val="20"/>
                <w:szCs w:val="24"/>
              </w:rPr>
              <w:t>£659,684</w:t>
            </w:r>
          </w:p>
        </w:tc>
        <w:tc>
          <w:tcPr>
            <w:tcW w:w="2311"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sz w:val="20"/>
                <w:szCs w:val="24"/>
              </w:rPr>
            </w:pPr>
            <w:r w:rsidRPr="00467789">
              <w:rPr>
                <w:rFonts w:ascii="Tahoma" w:hAnsi="Tahoma" w:cs="Tahoma"/>
                <w:sz w:val="20"/>
                <w:szCs w:val="24"/>
              </w:rPr>
              <w:t>83%</w:t>
            </w:r>
          </w:p>
        </w:tc>
      </w:tr>
      <w:tr w:rsidR="00C627B1" w:rsidRPr="00467789" w:rsidTr="00C627B1">
        <w:tc>
          <w:tcPr>
            <w:tcW w:w="2310"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sz w:val="20"/>
                <w:szCs w:val="24"/>
              </w:rPr>
            </w:pPr>
            <w:r w:rsidRPr="00467789">
              <w:rPr>
                <w:rFonts w:ascii="Tahoma" w:hAnsi="Tahoma" w:cs="Tahoma"/>
                <w:sz w:val="20"/>
                <w:szCs w:val="24"/>
              </w:rPr>
              <w:t>01/04/18 – 31/03/19</w:t>
            </w:r>
          </w:p>
        </w:tc>
        <w:tc>
          <w:tcPr>
            <w:tcW w:w="2310"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sz w:val="20"/>
                <w:szCs w:val="24"/>
              </w:rPr>
            </w:pPr>
            <w:r w:rsidRPr="00467789">
              <w:rPr>
                <w:rFonts w:ascii="Tahoma" w:hAnsi="Tahoma" w:cs="Tahoma"/>
                <w:sz w:val="20"/>
                <w:szCs w:val="24"/>
              </w:rPr>
              <w:t>89</w:t>
            </w:r>
          </w:p>
        </w:tc>
        <w:tc>
          <w:tcPr>
            <w:tcW w:w="2311"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sz w:val="20"/>
                <w:szCs w:val="24"/>
              </w:rPr>
            </w:pPr>
            <w:r w:rsidRPr="00467789">
              <w:rPr>
                <w:rFonts w:ascii="Tahoma" w:hAnsi="Tahoma" w:cs="Tahoma"/>
                <w:sz w:val="20"/>
                <w:szCs w:val="24"/>
              </w:rPr>
              <w:t>£309,686</w:t>
            </w:r>
          </w:p>
        </w:tc>
        <w:tc>
          <w:tcPr>
            <w:tcW w:w="2311" w:type="dxa"/>
            <w:tcBorders>
              <w:top w:val="single" w:sz="4" w:space="0" w:color="auto"/>
              <w:left w:val="single" w:sz="4" w:space="0" w:color="auto"/>
              <w:bottom w:val="single" w:sz="4" w:space="0" w:color="auto"/>
              <w:right w:val="single" w:sz="4" w:space="0" w:color="auto"/>
            </w:tcBorders>
            <w:hideMark/>
          </w:tcPr>
          <w:p w:rsidR="00C627B1" w:rsidRPr="00467789" w:rsidRDefault="00C627B1">
            <w:pPr>
              <w:rPr>
                <w:rFonts w:ascii="Tahoma" w:hAnsi="Tahoma" w:cs="Tahoma"/>
                <w:sz w:val="20"/>
                <w:szCs w:val="24"/>
              </w:rPr>
            </w:pPr>
            <w:r w:rsidRPr="00467789">
              <w:rPr>
                <w:rFonts w:ascii="Tahoma" w:hAnsi="Tahoma" w:cs="Tahoma"/>
                <w:sz w:val="20"/>
                <w:szCs w:val="24"/>
              </w:rPr>
              <w:t>76%</w:t>
            </w:r>
          </w:p>
        </w:tc>
      </w:tr>
      <w:tr w:rsidR="00F541F1" w:rsidRPr="00467789" w:rsidTr="00C627B1">
        <w:tc>
          <w:tcPr>
            <w:tcW w:w="2310" w:type="dxa"/>
            <w:tcBorders>
              <w:top w:val="single" w:sz="4" w:space="0" w:color="auto"/>
              <w:left w:val="single" w:sz="4" w:space="0" w:color="auto"/>
              <w:bottom w:val="single" w:sz="4" w:space="0" w:color="auto"/>
              <w:right w:val="single" w:sz="4" w:space="0" w:color="auto"/>
            </w:tcBorders>
          </w:tcPr>
          <w:p w:rsidR="00F541F1" w:rsidRPr="00467789" w:rsidRDefault="00F541F1" w:rsidP="00975BE8">
            <w:pPr>
              <w:rPr>
                <w:rFonts w:ascii="Tahoma" w:hAnsi="Tahoma" w:cs="Tahoma"/>
                <w:sz w:val="20"/>
                <w:szCs w:val="24"/>
              </w:rPr>
            </w:pPr>
            <w:r w:rsidRPr="00467789">
              <w:rPr>
                <w:rFonts w:ascii="Tahoma" w:hAnsi="Tahoma" w:cs="Tahoma"/>
                <w:sz w:val="20"/>
                <w:szCs w:val="24"/>
              </w:rPr>
              <w:t xml:space="preserve">01/04/19 – </w:t>
            </w:r>
            <w:r w:rsidR="00975BE8" w:rsidRPr="00467789">
              <w:rPr>
                <w:rFonts w:ascii="Tahoma" w:hAnsi="Tahoma" w:cs="Tahoma"/>
                <w:sz w:val="20"/>
                <w:szCs w:val="24"/>
              </w:rPr>
              <w:t xml:space="preserve">Date </w:t>
            </w:r>
          </w:p>
        </w:tc>
        <w:tc>
          <w:tcPr>
            <w:tcW w:w="2310" w:type="dxa"/>
            <w:tcBorders>
              <w:top w:val="single" w:sz="4" w:space="0" w:color="auto"/>
              <w:left w:val="single" w:sz="4" w:space="0" w:color="auto"/>
              <w:bottom w:val="single" w:sz="4" w:space="0" w:color="auto"/>
              <w:right w:val="single" w:sz="4" w:space="0" w:color="auto"/>
            </w:tcBorders>
          </w:tcPr>
          <w:p w:rsidR="00F541F1" w:rsidRPr="00467789" w:rsidRDefault="00975BE8">
            <w:pPr>
              <w:rPr>
                <w:rFonts w:ascii="Tahoma" w:hAnsi="Tahoma" w:cs="Tahoma"/>
                <w:sz w:val="20"/>
                <w:szCs w:val="24"/>
              </w:rPr>
            </w:pPr>
            <w:r w:rsidRPr="00467789">
              <w:rPr>
                <w:rFonts w:ascii="Tahoma" w:hAnsi="Tahoma" w:cs="Tahoma"/>
                <w:sz w:val="20"/>
                <w:szCs w:val="24"/>
              </w:rPr>
              <w:t>37</w:t>
            </w:r>
          </w:p>
        </w:tc>
        <w:tc>
          <w:tcPr>
            <w:tcW w:w="2311" w:type="dxa"/>
            <w:tcBorders>
              <w:top w:val="single" w:sz="4" w:space="0" w:color="auto"/>
              <w:left w:val="single" w:sz="4" w:space="0" w:color="auto"/>
              <w:bottom w:val="single" w:sz="4" w:space="0" w:color="auto"/>
              <w:right w:val="single" w:sz="4" w:space="0" w:color="auto"/>
            </w:tcBorders>
          </w:tcPr>
          <w:p w:rsidR="00F541F1" w:rsidRPr="00467789" w:rsidRDefault="00EF25B5" w:rsidP="00CF36FE">
            <w:pPr>
              <w:rPr>
                <w:rFonts w:ascii="Tahoma" w:hAnsi="Tahoma" w:cs="Tahoma"/>
                <w:sz w:val="20"/>
                <w:szCs w:val="24"/>
              </w:rPr>
            </w:pPr>
            <w:r w:rsidRPr="00467789">
              <w:rPr>
                <w:rFonts w:ascii="Tahoma" w:hAnsi="Tahoma" w:cs="Tahoma"/>
                <w:sz w:val="20"/>
                <w:szCs w:val="24"/>
              </w:rPr>
              <w:t>£</w:t>
            </w:r>
            <w:r w:rsidR="00CF36FE" w:rsidRPr="00467789">
              <w:rPr>
                <w:rFonts w:ascii="Tahoma" w:hAnsi="Tahoma" w:cs="Tahoma"/>
                <w:sz w:val="20"/>
                <w:szCs w:val="24"/>
              </w:rPr>
              <w:t>116,944</w:t>
            </w:r>
          </w:p>
        </w:tc>
        <w:tc>
          <w:tcPr>
            <w:tcW w:w="2311" w:type="dxa"/>
            <w:tcBorders>
              <w:top w:val="single" w:sz="4" w:space="0" w:color="auto"/>
              <w:left w:val="single" w:sz="4" w:space="0" w:color="auto"/>
              <w:bottom w:val="single" w:sz="4" w:space="0" w:color="auto"/>
              <w:right w:val="single" w:sz="4" w:space="0" w:color="auto"/>
            </w:tcBorders>
          </w:tcPr>
          <w:p w:rsidR="00F541F1" w:rsidRPr="00467789" w:rsidRDefault="0068396A">
            <w:pPr>
              <w:rPr>
                <w:rFonts w:ascii="Tahoma" w:hAnsi="Tahoma" w:cs="Tahoma"/>
                <w:sz w:val="20"/>
                <w:szCs w:val="24"/>
              </w:rPr>
            </w:pPr>
            <w:r w:rsidRPr="00467789">
              <w:rPr>
                <w:rFonts w:ascii="Tahoma" w:hAnsi="Tahoma" w:cs="Tahoma"/>
                <w:sz w:val="20"/>
                <w:szCs w:val="24"/>
              </w:rPr>
              <w:t>46%</w:t>
            </w:r>
          </w:p>
        </w:tc>
      </w:tr>
    </w:tbl>
    <w:p w:rsidR="00C627B1" w:rsidRPr="00467789" w:rsidRDefault="00C627B1" w:rsidP="00C627B1">
      <w:pPr>
        <w:ind w:left="360"/>
        <w:rPr>
          <w:rFonts w:ascii="Tahoma" w:hAnsi="Tahoma" w:cs="Tahoma"/>
          <w:sz w:val="24"/>
          <w:szCs w:val="24"/>
        </w:rPr>
      </w:pPr>
    </w:p>
    <w:p w:rsidR="00C627B1" w:rsidRPr="00467789" w:rsidRDefault="00C627B1" w:rsidP="00467789">
      <w:pPr>
        <w:ind w:left="851" w:hanging="851"/>
        <w:jc w:val="both"/>
        <w:rPr>
          <w:rFonts w:ascii="Tahoma" w:hAnsi="Tahoma" w:cs="Tahoma"/>
          <w:b/>
          <w:sz w:val="24"/>
          <w:szCs w:val="24"/>
        </w:rPr>
      </w:pPr>
      <w:r w:rsidRPr="00467789">
        <w:rPr>
          <w:rFonts w:ascii="Tahoma" w:hAnsi="Tahoma" w:cs="Tahoma"/>
          <w:b/>
          <w:sz w:val="24"/>
          <w:szCs w:val="24"/>
        </w:rPr>
        <w:t xml:space="preserve">7. </w:t>
      </w:r>
      <w:r w:rsidR="00467789">
        <w:rPr>
          <w:rFonts w:ascii="Tahoma" w:hAnsi="Tahoma" w:cs="Tahoma"/>
          <w:b/>
          <w:sz w:val="24"/>
          <w:szCs w:val="24"/>
        </w:rPr>
        <w:t xml:space="preserve">       </w:t>
      </w:r>
      <w:r w:rsidRPr="00467789">
        <w:rPr>
          <w:rFonts w:ascii="Tahoma" w:hAnsi="Tahoma" w:cs="Tahoma"/>
          <w:b/>
          <w:sz w:val="24"/>
          <w:szCs w:val="24"/>
        </w:rPr>
        <w:t>Exception Reports</w:t>
      </w:r>
    </w:p>
    <w:p w:rsidR="00C627B1" w:rsidRPr="00467789" w:rsidRDefault="00C627B1" w:rsidP="00467789">
      <w:pPr>
        <w:ind w:left="720" w:hanging="11"/>
        <w:jc w:val="both"/>
        <w:rPr>
          <w:rFonts w:ascii="Tahoma" w:hAnsi="Tahoma" w:cs="Tahoma"/>
          <w:sz w:val="24"/>
          <w:szCs w:val="24"/>
        </w:rPr>
      </w:pPr>
      <w:r w:rsidRPr="00467789">
        <w:rPr>
          <w:rFonts w:ascii="Tahoma" w:hAnsi="Tahoma" w:cs="Tahoma"/>
          <w:sz w:val="24"/>
          <w:szCs w:val="24"/>
        </w:rPr>
        <w:t>The Chief Constable has agreed to provide the Police and Crime Commissioner (PCC) with an exception report following the settlement of a civil claim case which meets either of the following criteria:</w:t>
      </w:r>
    </w:p>
    <w:p w:rsidR="00C627B1" w:rsidRPr="00467789" w:rsidRDefault="00C627B1" w:rsidP="00F66641">
      <w:pPr>
        <w:pStyle w:val="ListParagraph"/>
        <w:numPr>
          <w:ilvl w:val="0"/>
          <w:numId w:val="2"/>
        </w:numPr>
        <w:ind w:hanging="731"/>
        <w:jc w:val="both"/>
        <w:rPr>
          <w:rFonts w:ascii="Tahoma" w:hAnsi="Tahoma" w:cs="Tahoma"/>
          <w:sz w:val="24"/>
          <w:szCs w:val="24"/>
        </w:rPr>
      </w:pPr>
      <w:r w:rsidRPr="00467789">
        <w:rPr>
          <w:rFonts w:ascii="Tahoma" w:hAnsi="Tahoma" w:cs="Tahoma"/>
          <w:sz w:val="24"/>
          <w:szCs w:val="24"/>
        </w:rPr>
        <w:t>The case has been defended by the Force but has been lost at trial</w:t>
      </w:r>
    </w:p>
    <w:p w:rsidR="00C627B1" w:rsidRPr="00467789" w:rsidRDefault="00C627B1" w:rsidP="00F66641">
      <w:pPr>
        <w:pStyle w:val="ListParagraph"/>
        <w:numPr>
          <w:ilvl w:val="0"/>
          <w:numId w:val="2"/>
        </w:numPr>
        <w:ind w:hanging="731"/>
        <w:jc w:val="both"/>
        <w:rPr>
          <w:rFonts w:ascii="Tahoma" w:hAnsi="Tahoma" w:cs="Tahoma"/>
          <w:sz w:val="24"/>
          <w:szCs w:val="24"/>
        </w:rPr>
      </w:pPr>
      <w:r w:rsidRPr="00467789">
        <w:rPr>
          <w:rFonts w:ascii="Tahoma" w:hAnsi="Tahoma" w:cs="Tahoma"/>
          <w:sz w:val="24"/>
          <w:szCs w:val="24"/>
        </w:rPr>
        <w:t>The amount payable in finalising the case is above the insurance ‘excess’ for that claim.</w:t>
      </w:r>
    </w:p>
    <w:p w:rsidR="00005A19" w:rsidRPr="00467789" w:rsidRDefault="00C627B1" w:rsidP="00F66641">
      <w:pPr>
        <w:ind w:left="720"/>
        <w:jc w:val="both"/>
        <w:rPr>
          <w:rFonts w:ascii="Tahoma" w:hAnsi="Tahoma" w:cs="Tahoma"/>
          <w:sz w:val="24"/>
          <w:szCs w:val="24"/>
        </w:rPr>
      </w:pPr>
      <w:r w:rsidRPr="00467789">
        <w:rPr>
          <w:rFonts w:ascii="Tahoma" w:hAnsi="Tahoma" w:cs="Tahoma"/>
          <w:sz w:val="24"/>
          <w:szCs w:val="24"/>
        </w:rPr>
        <w:t>In addition, it was agreed that the exception reports submitted to the PCC would be appended to the Civil Claims report presented to the Audit Committee for their information.</w:t>
      </w:r>
      <w:r w:rsidR="00005A19" w:rsidRPr="00467789">
        <w:rPr>
          <w:rFonts w:ascii="Tahoma" w:hAnsi="Tahoma" w:cs="Tahoma"/>
          <w:sz w:val="24"/>
          <w:szCs w:val="24"/>
        </w:rPr>
        <w:t xml:space="preserve"> There are no Exception Reports for this period. </w:t>
      </w:r>
    </w:p>
    <w:p w:rsidR="00C627B1" w:rsidRPr="00467789" w:rsidRDefault="00C627B1" w:rsidP="00F66641">
      <w:pPr>
        <w:ind w:left="720" w:hanging="720"/>
        <w:jc w:val="both"/>
        <w:rPr>
          <w:rFonts w:ascii="Tahoma" w:hAnsi="Tahoma" w:cs="Tahoma"/>
          <w:b/>
          <w:sz w:val="24"/>
          <w:szCs w:val="24"/>
        </w:rPr>
      </w:pPr>
      <w:r w:rsidRPr="00467789">
        <w:rPr>
          <w:rFonts w:ascii="Tahoma" w:hAnsi="Tahoma" w:cs="Tahoma"/>
          <w:b/>
          <w:sz w:val="24"/>
          <w:szCs w:val="24"/>
        </w:rPr>
        <w:t xml:space="preserve">8. </w:t>
      </w:r>
      <w:r w:rsidR="00F66641">
        <w:rPr>
          <w:rFonts w:ascii="Tahoma" w:hAnsi="Tahoma" w:cs="Tahoma"/>
          <w:b/>
          <w:sz w:val="24"/>
          <w:szCs w:val="24"/>
        </w:rPr>
        <w:tab/>
      </w:r>
      <w:r w:rsidRPr="00467789">
        <w:rPr>
          <w:rFonts w:ascii="Tahoma" w:hAnsi="Tahoma" w:cs="Tahoma"/>
          <w:b/>
          <w:sz w:val="24"/>
          <w:szCs w:val="24"/>
        </w:rPr>
        <w:t xml:space="preserve">Implications </w:t>
      </w:r>
    </w:p>
    <w:p w:rsidR="00C627B1" w:rsidRPr="00467789" w:rsidRDefault="00C627B1" w:rsidP="00034366">
      <w:pPr>
        <w:ind w:left="720"/>
        <w:jc w:val="both"/>
        <w:rPr>
          <w:rFonts w:ascii="Tahoma" w:hAnsi="Tahoma" w:cs="Tahoma"/>
          <w:sz w:val="24"/>
          <w:szCs w:val="24"/>
          <w:u w:val="single"/>
        </w:rPr>
      </w:pPr>
      <w:r w:rsidRPr="00467789">
        <w:rPr>
          <w:rFonts w:ascii="Tahoma" w:hAnsi="Tahoma" w:cs="Tahoma"/>
          <w:sz w:val="24"/>
          <w:szCs w:val="24"/>
          <w:u w:val="single"/>
        </w:rPr>
        <w:t>Finance</w:t>
      </w:r>
    </w:p>
    <w:p w:rsidR="00C627B1" w:rsidRPr="00467789" w:rsidRDefault="00C627B1" w:rsidP="00F66641">
      <w:pPr>
        <w:ind w:left="720" w:hanging="720"/>
        <w:jc w:val="both"/>
        <w:rPr>
          <w:rFonts w:ascii="Tahoma" w:hAnsi="Tahoma" w:cs="Tahoma"/>
          <w:sz w:val="24"/>
          <w:szCs w:val="24"/>
        </w:rPr>
      </w:pPr>
      <w:r w:rsidRPr="00467789">
        <w:rPr>
          <w:rFonts w:ascii="Tahoma" w:hAnsi="Tahoma" w:cs="Tahoma"/>
          <w:sz w:val="24"/>
          <w:szCs w:val="24"/>
        </w:rPr>
        <w:t xml:space="preserve">8.1 </w:t>
      </w:r>
      <w:r w:rsidR="00F66641">
        <w:rPr>
          <w:rFonts w:ascii="Tahoma" w:hAnsi="Tahoma" w:cs="Tahoma"/>
          <w:sz w:val="24"/>
          <w:szCs w:val="24"/>
        </w:rPr>
        <w:tab/>
      </w:r>
      <w:r w:rsidRPr="00467789">
        <w:rPr>
          <w:rFonts w:ascii="Tahoma" w:hAnsi="Tahoma" w:cs="Tahoma"/>
          <w:sz w:val="24"/>
          <w:szCs w:val="24"/>
        </w:rPr>
        <w:t>In relation to insured risks, none of the claims finalised exceeded the ‘excess’.</w:t>
      </w:r>
    </w:p>
    <w:p w:rsidR="00C627B1" w:rsidRPr="00467789" w:rsidRDefault="00C627B1" w:rsidP="00F66641">
      <w:pPr>
        <w:ind w:left="720" w:hanging="720"/>
        <w:jc w:val="both"/>
        <w:rPr>
          <w:rFonts w:ascii="Tahoma" w:hAnsi="Tahoma" w:cs="Tahoma"/>
          <w:sz w:val="24"/>
          <w:szCs w:val="24"/>
        </w:rPr>
      </w:pPr>
      <w:r w:rsidRPr="00467789">
        <w:rPr>
          <w:rFonts w:ascii="Tahoma" w:hAnsi="Tahoma" w:cs="Tahoma"/>
          <w:sz w:val="24"/>
          <w:szCs w:val="24"/>
        </w:rPr>
        <w:t xml:space="preserve">8.2 </w:t>
      </w:r>
      <w:r w:rsidR="00F66641">
        <w:rPr>
          <w:rFonts w:ascii="Tahoma" w:hAnsi="Tahoma" w:cs="Tahoma"/>
          <w:sz w:val="24"/>
          <w:szCs w:val="24"/>
        </w:rPr>
        <w:tab/>
      </w:r>
      <w:r w:rsidRPr="00467789">
        <w:rPr>
          <w:rFonts w:ascii="Tahoma" w:hAnsi="Tahoma" w:cs="Tahoma"/>
          <w:sz w:val="24"/>
          <w:szCs w:val="24"/>
        </w:rPr>
        <w:t>Although the sums paid out for insured risks outweigh the sums recovered, savings (in terms of potential damages) have been made in those cases successfully defended and savings (in terms of solicitor’s costs) have been made by dealing with claims in-house.</w:t>
      </w:r>
    </w:p>
    <w:p w:rsidR="00C627B1" w:rsidRPr="00467789" w:rsidRDefault="00C627B1" w:rsidP="00F66641">
      <w:pPr>
        <w:ind w:left="720"/>
        <w:jc w:val="both"/>
        <w:rPr>
          <w:rFonts w:ascii="Tahoma" w:hAnsi="Tahoma" w:cs="Tahoma"/>
          <w:sz w:val="24"/>
          <w:szCs w:val="24"/>
          <w:u w:val="single"/>
        </w:rPr>
      </w:pPr>
      <w:r w:rsidRPr="00467789">
        <w:rPr>
          <w:rFonts w:ascii="Tahoma" w:hAnsi="Tahoma" w:cs="Tahoma"/>
          <w:sz w:val="24"/>
          <w:szCs w:val="24"/>
          <w:u w:val="single"/>
        </w:rPr>
        <w:t>Diversity &amp; Equal Opportunities</w:t>
      </w:r>
    </w:p>
    <w:p w:rsidR="00C627B1" w:rsidRPr="00467789" w:rsidRDefault="00F66641" w:rsidP="00F66641">
      <w:pPr>
        <w:ind w:left="720" w:hanging="720"/>
        <w:jc w:val="both"/>
        <w:rPr>
          <w:rFonts w:ascii="Tahoma" w:hAnsi="Tahoma" w:cs="Tahoma"/>
          <w:sz w:val="24"/>
          <w:szCs w:val="24"/>
        </w:rPr>
      </w:pPr>
      <w:r>
        <w:rPr>
          <w:rFonts w:ascii="Tahoma" w:hAnsi="Tahoma" w:cs="Tahoma"/>
          <w:sz w:val="24"/>
          <w:szCs w:val="24"/>
        </w:rPr>
        <w:t>8.3</w:t>
      </w:r>
      <w:r>
        <w:rPr>
          <w:rFonts w:ascii="Tahoma" w:hAnsi="Tahoma" w:cs="Tahoma"/>
          <w:sz w:val="24"/>
          <w:szCs w:val="24"/>
        </w:rPr>
        <w:tab/>
      </w:r>
      <w:r w:rsidR="00C627B1" w:rsidRPr="00467789">
        <w:rPr>
          <w:rFonts w:ascii="Tahoma" w:hAnsi="Tahoma" w:cs="Tahoma"/>
          <w:sz w:val="24"/>
          <w:szCs w:val="24"/>
        </w:rPr>
        <w:t xml:space="preserve">There are no diversity or equal opportunities implications arising from the content of this report. </w:t>
      </w:r>
    </w:p>
    <w:p w:rsidR="00C627B1" w:rsidRPr="00467789" w:rsidRDefault="00C627B1" w:rsidP="00034366">
      <w:pPr>
        <w:ind w:left="720"/>
        <w:jc w:val="both"/>
        <w:rPr>
          <w:rFonts w:ascii="Tahoma" w:hAnsi="Tahoma" w:cs="Tahoma"/>
          <w:sz w:val="24"/>
          <w:szCs w:val="24"/>
        </w:rPr>
      </w:pPr>
    </w:p>
    <w:p w:rsidR="00C627B1" w:rsidRPr="00467789" w:rsidRDefault="00C627B1" w:rsidP="00034366">
      <w:pPr>
        <w:ind w:left="720"/>
        <w:jc w:val="both"/>
        <w:rPr>
          <w:rFonts w:ascii="Tahoma" w:hAnsi="Tahoma" w:cs="Tahoma"/>
          <w:sz w:val="24"/>
          <w:szCs w:val="24"/>
          <w:u w:val="single"/>
        </w:rPr>
      </w:pPr>
      <w:r w:rsidRPr="00467789">
        <w:rPr>
          <w:rFonts w:ascii="Tahoma" w:hAnsi="Tahoma" w:cs="Tahoma"/>
          <w:sz w:val="24"/>
          <w:szCs w:val="24"/>
          <w:u w:val="single"/>
        </w:rPr>
        <w:t>Human Rights Act</w:t>
      </w:r>
    </w:p>
    <w:p w:rsidR="00C627B1" w:rsidRPr="00467789" w:rsidRDefault="00F66641" w:rsidP="00F66641">
      <w:pPr>
        <w:ind w:left="720" w:hanging="720"/>
        <w:jc w:val="both"/>
        <w:rPr>
          <w:rFonts w:ascii="Tahoma" w:hAnsi="Tahoma" w:cs="Tahoma"/>
          <w:sz w:val="24"/>
          <w:szCs w:val="24"/>
        </w:rPr>
      </w:pPr>
      <w:r>
        <w:rPr>
          <w:rFonts w:ascii="Tahoma" w:hAnsi="Tahoma" w:cs="Tahoma"/>
          <w:sz w:val="24"/>
          <w:szCs w:val="24"/>
        </w:rPr>
        <w:t>8.4</w:t>
      </w:r>
      <w:r>
        <w:rPr>
          <w:rFonts w:ascii="Tahoma" w:hAnsi="Tahoma" w:cs="Tahoma"/>
          <w:sz w:val="24"/>
          <w:szCs w:val="24"/>
        </w:rPr>
        <w:tab/>
      </w:r>
      <w:r w:rsidR="00C627B1" w:rsidRPr="00467789">
        <w:rPr>
          <w:rFonts w:ascii="Tahoma" w:hAnsi="Tahoma" w:cs="Tahoma"/>
          <w:sz w:val="24"/>
          <w:szCs w:val="24"/>
        </w:rPr>
        <w:t>There are no Human Rights Act implications arising from the content of this report.</w:t>
      </w:r>
    </w:p>
    <w:p w:rsidR="00C627B1" w:rsidRPr="00467789" w:rsidRDefault="00C627B1" w:rsidP="00034366">
      <w:pPr>
        <w:ind w:left="720"/>
        <w:jc w:val="both"/>
        <w:rPr>
          <w:rFonts w:ascii="Tahoma" w:hAnsi="Tahoma" w:cs="Tahoma"/>
          <w:sz w:val="24"/>
          <w:szCs w:val="24"/>
          <w:u w:val="single"/>
        </w:rPr>
      </w:pPr>
      <w:r w:rsidRPr="00467789">
        <w:rPr>
          <w:rFonts w:ascii="Tahoma" w:hAnsi="Tahoma" w:cs="Tahoma"/>
          <w:sz w:val="24"/>
          <w:szCs w:val="24"/>
          <w:u w:val="single"/>
        </w:rPr>
        <w:t>Sustainability</w:t>
      </w:r>
    </w:p>
    <w:p w:rsidR="00C627B1" w:rsidRPr="00467789" w:rsidRDefault="00F66641" w:rsidP="00F66641">
      <w:pPr>
        <w:ind w:left="720" w:hanging="720"/>
        <w:jc w:val="both"/>
        <w:rPr>
          <w:rFonts w:ascii="Tahoma" w:hAnsi="Tahoma" w:cs="Tahoma"/>
          <w:sz w:val="24"/>
          <w:szCs w:val="24"/>
        </w:rPr>
      </w:pPr>
      <w:r>
        <w:rPr>
          <w:rFonts w:ascii="Tahoma" w:hAnsi="Tahoma" w:cs="Tahoma"/>
          <w:sz w:val="24"/>
          <w:szCs w:val="24"/>
        </w:rPr>
        <w:t>8.5</w:t>
      </w:r>
      <w:r>
        <w:rPr>
          <w:rFonts w:ascii="Tahoma" w:hAnsi="Tahoma" w:cs="Tahoma"/>
          <w:sz w:val="24"/>
          <w:szCs w:val="24"/>
        </w:rPr>
        <w:tab/>
      </w:r>
      <w:r w:rsidR="00C627B1" w:rsidRPr="00467789">
        <w:rPr>
          <w:rFonts w:ascii="Tahoma" w:hAnsi="Tahoma" w:cs="Tahoma"/>
          <w:sz w:val="24"/>
          <w:szCs w:val="24"/>
        </w:rPr>
        <w:t xml:space="preserve">There are no sustainability implications arising from the content of this report. </w:t>
      </w:r>
    </w:p>
    <w:p w:rsidR="00C627B1" w:rsidRPr="00467789" w:rsidRDefault="00C627B1" w:rsidP="00034366">
      <w:pPr>
        <w:ind w:left="720"/>
        <w:jc w:val="both"/>
        <w:rPr>
          <w:rFonts w:ascii="Tahoma" w:hAnsi="Tahoma" w:cs="Tahoma"/>
          <w:sz w:val="24"/>
          <w:szCs w:val="24"/>
          <w:u w:val="single"/>
        </w:rPr>
      </w:pPr>
      <w:r w:rsidRPr="00467789">
        <w:rPr>
          <w:rFonts w:ascii="Tahoma" w:hAnsi="Tahoma" w:cs="Tahoma"/>
          <w:sz w:val="24"/>
          <w:szCs w:val="24"/>
          <w:u w:val="single"/>
        </w:rPr>
        <w:t>Risk</w:t>
      </w:r>
    </w:p>
    <w:p w:rsidR="00C627B1" w:rsidRPr="00467789" w:rsidRDefault="00F66641" w:rsidP="00F66641">
      <w:pPr>
        <w:ind w:left="720" w:hanging="720"/>
        <w:jc w:val="both"/>
        <w:rPr>
          <w:rFonts w:ascii="Tahoma" w:hAnsi="Tahoma" w:cs="Tahoma"/>
          <w:sz w:val="24"/>
          <w:szCs w:val="24"/>
        </w:rPr>
      </w:pPr>
      <w:r>
        <w:rPr>
          <w:rFonts w:ascii="Tahoma" w:hAnsi="Tahoma" w:cs="Tahoma"/>
          <w:sz w:val="24"/>
          <w:szCs w:val="24"/>
        </w:rPr>
        <w:t>8.6</w:t>
      </w:r>
      <w:r>
        <w:rPr>
          <w:rFonts w:ascii="Tahoma" w:hAnsi="Tahoma" w:cs="Tahoma"/>
          <w:sz w:val="24"/>
          <w:szCs w:val="24"/>
        </w:rPr>
        <w:tab/>
      </w:r>
      <w:r w:rsidR="00C627B1" w:rsidRPr="00467789">
        <w:rPr>
          <w:rFonts w:ascii="Tahoma" w:hAnsi="Tahoma" w:cs="Tahoma"/>
          <w:sz w:val="24"/>
          <w:szCs w:val="24"/>
        </w:rPr>
        <w:t>There are reputational and financial risk implications arising from this report as clearly enforcing the law, i.e. exercising statutory powers to arrest, search, detain and prosecute, has inherit risks that should be mitigated against through effective training, review, risk management, ‘lessons learned’ activities and peer review/inspection.</w:t>
      </w:r>
    </w:p>
    <w:p w:rsidR="00C627B1" w:rsidRPr="00467789" w:rsidRDefault="00F66641" w:rsidP="00F66641">
      <w:pPr>
        <w:ind w:left="720" w:hanging="720"/>
        <w:jc w:val="both"/>
        <w:rPr>
          <w:rFonts w:ascii="Tahoma" w:hAnsi="Tahoma" w:cs="Tahoma"/>
          <w:sz w:val="24"/>
          <w:szCs w:val="24"/>
        </w:rPr>
      </w:pPr>
      <w:r>
        <w:rPr>
          <w:rFonts w:ascii="Tahoma" w:hAnsi="Tahoma" w:cs="Tahoma"/>
          <w:sz w:val="24"/>
          <w:szCs w:val="24"/>
        </w:rPr>
        <w:t>8.7</w:t>
      </w:r>
      <w:r>
        <w:rPr>
          <w:rFonts w:ascii="Tahoma" w:hAnsi="Tahoma" w:cs="Tahoma"/>
          <w:sz w:val="24"/>
          <w:szCs w:val="24"/>
        </w:rPr>
        <w:tab/>
      </w:r>
      <w:r w:rsidR="00C627B1" w:rsidRPr="00467789">
        <w:rPr>
          <w:rFonts w:ascii="Tahoma" w:hAnsi="Tahoma" w:cs="Tahoma"/>
          <w:sz w:val="24"/>
          <w:szCs w:val="24"/>
        </w:rPr>
        <w:t xml:space="preserve">The Force has detailed policy and procedures that govern and direct the activities of individuals in areas of risk i.e. police use of motor vehicles, detention in custody, the police use of force and our operational firearms response. In all these areas the regular review of litigation cases and other high profile operations takes place within policy forums to improve professional practice, led by respective chief officers. </w:t>
      </w:r>
    </w:p>
    <w:p w:rsidR="00C627B1" w:rsidRPr="00467789" w:rsidRDefault="00F66641" w:rsidP="00F66641">
      <w:pPr>
        <w:ind w:left="720" w:hanging="720"/>
        <w:jc w:val="both"/>
        <w:rPr>
          <w:rFonts w:ascii="Tahoma" w:hAnsi="Tahoma" w:cs="Tahoma"/>
          <w:sz w:val="24"/>
          <w:szCs w:val="24"/>
        </w:rPr>
      </w:pPr>
      <w:r>
        <w:rPr>
          <w:rFonts w:ascii="Tahoma" w:hAnsi="Tahoma" w:cs="Tahoma"/>
          <w:sz w:val="24"/>
          <w:szCs w:val="24"/>
        </w:rPr>
        <w:t>8.8</w:t>
      </w:r>
      <w:r>
        <w:rPr>
          <w:rFonts w:ascii="Tahoma" w:hAnsi="Tahoma" w:cs="Tahoma"/>
          <w:sz w:val="24"/>
          <w:szCs w:val="24"/>
        </w:rPr>
        <w:tab/>
      </w:r>
      <w:r w:rsidR="00C627B1" w:rsidRPr="00467789">
        <w:rPr>
          <w:rFonts w:ascii="Tahoma" w:hAnsi="Tahoma" w:cs="Tahoma"/>
          <w:sz w:val="24"/>
          <w:szCs w:val="24"/>
        </w:rPr>
        <w:t xml:space="preserve">Finally, our responsibility as an employer is also an area of litigation and cost where we seek to minimise risk and discharge our duties as a lawful, responsible and diligent employer. </w:t>
      </w:r>
    </w:p>
    <w:p w:rsidR="00C627B1" w:rsidRPr="00467789" w:rsidRDefault="00C627B1" w:rsidP="00F66641">
      <w:pPr>
        <w:ind w:left="720" w:hanging="720"/>
        <w:jc w:val="both"/>
        <w:rPr>
          <w:rFonts w:ascii="Tahoma" w:hAnsi="Tahoma" w:cs="Tahoma"/>
          <w:b/>
          <w:sz w:val="24"/>
          <w:szCs w:val="24"/>
        </w:rPr>
      </w:pPr>
      <w:r w:rsidRPr="00467789">
        <w:rPr>
          <w:rFonts w:ascii="Tahoma" w:hAnsi="Tahoma" w:cs="Tahoma"/>
          <w:b/>
          <w:sz w:val="24"/>
          <w:szCs w:val="24"/>
        </w:rPr>
        <w:t xml:space="preserve">9. </w:t>
      </w:r>
      <w:r w:rsidR="00F66641">
        <w:rPr>
          <w:rFonts w:ascii="Tahoma" w:hAnsi="Tahoma" w:cs="Tahoma"/>
          <w:b/>
          <w:sz w:val="24"/>
          <w:szCs w:val="24"/>
        </w:rPr>
        <w:t xml:space="preserve">      </w:t>
      </w:r>
      <w:r w:rsidRPr="00467789">
        <w:rPr>
          <w:rFonts w:ascii="Tahoma" w:hAnsi="Tahoma" w:cs="Tahoma"/>
          <w:b/>
          <w:sz w:val="24"/>
          <w:szCs w:val="24"/>
        </w:rPr>
        <w:t>Conclusions</w:t>
      </w:r>
    </w:p>
    <w:p w:rsidR="00C627B1" w:rsidRPr="00467789" w:rsidRDefault="00C627B1" w:rsidP="00F66641">
      <w:pPr>
        <w:ind w:left="720" w:hanging="720"/>
        <w:jc w:val="both"/>
        <w:rPr>
          <w:rFonts w:ascii="Tahoma" w:hAnsi="Tahoma" w:cs="Tahoma"/>
          <w:sz w:val="24"/>
          <w:szCs w:val="24"/>
        </w:rPr>
      </w:pPr>
      <w:r w:rsidRPr="00467789">
        <w:rPr>
          <w:rFonts w:ascii="Tahoma" w:hAnsi="Tahoma" w:cs="Tahoma"/>
          <w:sz w:val="24"/>
          <w:szCs w:val="24"/>
        </w:rPr>
        <w:t xml:space="preserve">9.1 </w:t>
      </w:r>
      <w:r w:rsidR="00F66641">
        <w:rPr>
          <w:rFonts w:ascii="Tahoma" w:hAnsi="Tahoma" w:cs="Tahoma"/>
          <w:sz w:val="24"/>
          <w:szCs w:val="24"/>
        </w:rPr>
        <w:tab/>
      </w:r>
      <w:r w:rsidRPr="00467789">
        <w:rPr>
          <w:rFonts w:ascii="Tahoma" w:hAnsi="Tahoma" w:cs="Tahoma"/>
          <w:sz w:val="24"/>
          <w:szCs w:val="24"/>
        </w:rPr>
        <w:t xml:space="preserve">Whilst Legal Services have no control over the number of claims received, feedback is provided on a case by case basis to ensure assistance is given to Service Units in managing risks. At the strategic level the Force takes its ‘risk’ around civil litigation very seriously and works tirelessly to ensure that ‘liability’ is reduced wherever possible and that the ‘lesson learnt’ from finalised cases are integrated into operational and organisational planning and delivery. </w:t>
      </w:r>
    </w:p>
    <w:p w:rsidR="00C627B1" w:rsidRPr="00467789" w:rsidRDefault="00C627B1" w:rsidP="00034366">
      <w:pPr>
        <w:ind w:left="720"/>
        <w:jc w:val="both"/>
        <w:rPr>
          <w:rFonts w:ascii="Tahoma" w:hAnsi="Tahoma" w:cs="Tahoma"/>
          <w:sz w:val="24"/>
          <w:szCs w:val="24"/>
        </w:rPr>
      </w:pPr>
    </w:p>
    <w:p w:rsidR="00C627B1" w:rsidRPr="00467789" w:rsidRDefault="00C627B1" w:rsidP="00034366">
      <w:pPr>
        <w:ind w:left="720"/>
        <w:jc w:val="both"/>
        <w:rPr>
          <w:rFonts w:ascii="Tahoma" w:hAnsi="Tahoma" w:cs="Tahoma"/>
          <w:sz w:val="24"/>
          <w:szCs w:val="24"/>
        </w:rPr>
      </w:pPr>
      <w:r w:rsidRPr="00467789">
        <w:rPr>
          <w:rFonts w:ascii="Tahoma" w:hAnsi="Tahoma" w:cs="Tahoma"/>
          <w:sz w:val="24"/>
          <w:szCs w:val="24"/>
        </w:rPr>
        <w:t>Originator of report</w:t>
      </w:r>
    </w:p>
    <w:p w:rsidR="00C627B1" w:rsidRPr="00467789" w:rsidRDefault="00C627B1" w:rsidP="00034366">
      <w:pPr>
        <w:ind w:left="720"/>
        <w:jc w:val="both"/>
        <w:rPr>
          <w:rFonts w:ascii="Tahoma" w:hAnsi="Tahoma" w:cs="Tahoma"/>
          <w:sz w:val="24"/>
          <w:szCs w:val="24"/>
          <w:u w:val="single"/>
        </w:rPr>
      </w:pPr>
      <w:r w:rsidRPr="00467789">
        <w:rPr>
          <w:rFonts w:ascii="Tahoma" w:hAnsi="Tahoma" w:cs="Tahoma"/>
          <w:sz w:val="24"/>
          <w:szCs w:val="24"/>
        </w:rPr>
        <w:t>H Langham</w:t>
      </w:r>
      <w:r w:rsidR="00674A23" w:rsidRPr="00467789">
        <w:rPr>
          <w:rFonts w:ascii="Tahoma" w:hAnsi="Tahoma" w:cs="Tahoma"/>
          <w:sz w:val="24"/>
          <w:szCs w:val="24"/>
        </w:rPr>
        <w:t xml:space="preserve"> &amp; S Rumins</w:t>
      </w:r>
    </w:p>
    <w:p w:rsidR="00C627B1" w:rsidRPr="00467789" w:rsidRDefault="00C627B1" w:rsidP="00034366">
      <w:pPr>
        <w:jc w:val="both"/>
        <w:rPr>
          <w:rFonts w:ascii="Tahoma" w:hAnsi="Tahoma" w:cs="Tahoma"/>
          <w:sz w:val="24"/>
          <w:szCs w:val="24"/>
        </w:rPr>
      </w:pPr>
    </w:p>
    <w:p w:rsidR="008222FE" w:rsidRPr="00467789" w:rsidRDefault="00EE4765">
      <w:pPr>
        <w:rPr>
          <w:rFonts w:ascii="Tahoma" w:hAnsi="Tahoma" w:cs="Tahoma"/>
          <w:sz w:val="24"/>
          <w:szCs w:val="24"/>
        </w:rPr>
      </w:pPr>
    </w:p>
    <w:sectPr w:rsidR="008222FE" w:rsidRPr="00467789" w:rsidSect="00467789">
      <w:pgSz w:w="11906" w:h="16838"/>
      <w:pgMar w:top="1440" w:right="1440" w:bottom="993"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27B1" w:rsidRDefault="00C627B1" w:rsidP="00C627B1">
      <w:pPr>
        <w:spacing w:after="0" w:line="240" w:lineRule="auto"/>
      </w:pPr>
      <w:r>
        <w:separator/>
      </w:r>
    </w:p>
  </w:endnote>
  <w:endnote w:type="continuationSeparator" w:id="0">
    <w:p w:rsidR="00C627B1" w:rsidRDefault="00C627B1" w:rsidP="00C627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27B1" w:rsidRDefault="00C627B1" w:rsidP="00C627B1">
      <w:pPr>
        <w:spacing w:after="0" w:line="240" w:lineRule="auto"/>
      </w:pPr>
      <w:r>
        <w:separator/>
      </w:r>
    </w:p>
  </w:footnote>
  <w:footnote w:type="continuationSeparator" w:id="0">
    <w:p w:rsidR="00C627B1" w:rsidRDefault="00C627B1" w:rsidP="00C627B1">
      <w:pPr>
        <w:spacing w:after="0" w:line="240" w:lineRule="auto"/>
      </w:pPr>
      <w:r>
        <w:continuationSeparator/>
      </w:r>
    </w:p>
  </w:footnote>
  <w:footnote w:id="1">
    <w:p w:rsidR="00C627B1" w:rsidRDefault="00C627B1" w:rsidP="00034366">
      <w:pPr>
        <w:pStyle w:val="FootnoteText"/>
        <w:jc w:val="both"/>
      </w:pPr>
      <w:r>
        <w:rPr>
          <w:rStyle w:val="FootnoteReference"/>
        </w:rPr>
        <w:footnoteRef/>
      </w:r>
      <w:r>
        <w:t xml:space="preserve"> It is important to note that no findings were made by a Judge/Jury in these cases as they were settled before any trial based upon legal advice on the prospects of a successful defence. Furthermore, in some cases liability/compensation may have been split with the claimant or a partner agency.</w:t>
      </w:r>
    </w:p>
  </w:footnote>
  <w:footnote w:id="2">
    <w:p w:rsidR="00C627B1" w:rsidRDefault="00C627B1" w:rsidP="00C627B1">
      <w:pPr>
        <w:pStyle w:val="FootnoteText"/>
      </w:pPr>
      <w:r>
        <w:rPr>
          <w:rStyle w:val="FootnoteReference"/>
        </w:rPr>
        <w:footnoteRef/>
      </w:r>
      <w:r>
        <w:t xml:space="preserve"> See footnote above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440AC1"/>
    <w:multiLevelType w:val="hybridMultilevel"/>
    <w:tmpl w:val="6194EB80"/>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1">
    <w:nsid w:val="318C16DE"/>
    <w:multiLevelType w:val="multilevel"/>
    <w:tmpl w:val="FAA4FC42"/>
    <w:lvl w:ilvl="0">
      <w:start w:val="1"/>
      <w:numFmt w:val="decimal"/>
      <w:lvlText w:val="%1"/>
      <w:lvlJc w:val="left"/>
      <w:pPr>
        <w:ind w:left="1069" w:hanging="360"/>
      </w:pPr>
      <w:rPr>
        <w:rFonts w:ascii="Tahoma" w:eastAsiaTheme="minorHAnsi" w:hAnsi="Tahoma" w:cs="Tahoma"/>
      </w:rPr>
    </w:lvl>
    <w:lvl w:ilvl="1">
      <w:start w:val="1"/>
      <w:numFmt w:val="decimal"/>
      <w:isLgl/>
      <w:lvlText w:val="%1.%2"/>
      <w:lvlJc w:val="left"/>
      <w:pPr>
        <w:ind w:left="1069" w:hanging="360"/>
      </w:p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149" w:hanging="144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LastOpened" w:val="06/11/2019 22:38"/>
  </w:docVars>
  <w:rsids>
    <w:rsidRoot w:val="00C627B1"/>
    <w:rsid w:val="00005A19"/>
    <w:rsid w:val="00034366"/>
    <w:rsid w:val="000854E2"/>
    <w:rsid w:val="000D579A"/>
    <w:rsid w:val="0015285C"/>
    <w:rsid w:val="001900C0"/>
    <w:rsid w:val="001F4243"/>
    <w:rsid w:val="00215B18"/>
    <w:rsid w:val="002B14C7"/>
    <w:rsid w:val="002C6C26"/>
    <w:rsid w:val="002D0BAD"/>
    <w:rsid w:val="0032659A"/>
    <w:rsid w:val="00327820"/>
    <w:rsid w:val="0036459C"/>
    <w:rsid w:val="00412EAE"/>
    <w:rsid w:val="004221DC"/>
    <w:rsid w:val="00435F6E"/>
    <w:rsid w:val="00467789"/>
    <w:rsid w:val="00495C46"/>
    <w:rsid w:val="004B7F4F"/>
    <w:rsid w:val="00507B2F"/>
    <w:rsid w:val="005710C8"/>
    <w:rsid w:val="00642E5E"/>
    <w:rsid w:val="00674A23"/>
    <w:rsid w:val="0068396A"/>
    <w:rsid w:val="006A5AA6"/>
    <w:rsid w:val="006B0278"/>
    <w:rsid w:val="006F25A5"/>
    <w:rsid w:val="007477CB"/>
    <w:rsid w:val="00753B28"/>
    <w:rsid w:val="00963EA7"/>
    <w:rsid w:val="00975BE8"/>
    <w:rsid w:val="00A23F43"/>
    <w:rsid w:val="00A65123"/>
    <w:rsid w:val="00A659E6"/>
    <w:rsid w:val="00A81C96"/>
    <w:rsid w:val="00A91CEA"/>
    <w:rsid w:val="00A96124"/>
    <w:rsid w:val="00AF36B6"/>
    <w:rsid w:val="00B935C0"/>
    <w:rsid w:val="00BE6D49"/>
    <w:rsid w:val="00C627B1"/>
    <w:rsid w:val="00CA4482"/>
    <w:rsid w:val="00CA4F5C"/>
    <w:rsid w:val="00CF36FE"/>
    <w:rsid w:val="00D5487D"/>
    <w:rsid w:val="00D81173"/>
    <w:rsid w:val="00DC30A2"/>
    <w:rsid w:val="00E43F20"/>
    <w:rsid w:val="00E85B1C"/>
    <w:rsid w:val="00EE4765"/>
    <w:rsid w:val="00EE6EC1"/>
    <w:rsid w:val="00EF25B5"/>
    <w:rsid w:val="00F541F1"/>
    <w:rsid w:val="00F666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C8CA4A-DAA9-4959-B3A6-7C86B3EA8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27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627B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627B1"/>
    <w:rPr>
      <w:sz w:val="20"/>
      <w:szCs w:val="20"/>
    </w:rPr>
  </w:style>
  <w:style w:type="paragraph" w:styleId="ListParagraph">
    <w:name w:val="List Paragraph"/>
    <w:basedOn w:val="Normal"/>
    <w:uiPriority w:val="34"/>
    <w:qFormat/>
    <w:rsid w:val="00C627B1"/>
    <w:pPr>
      <w:ind w:left="720"/>
      <w:contextualSpacing/>
    </w:pPr>
  </w:style>
  <w:style w:type="character" w:styleId="FootnoteReference">
    <w:name w:val="footnote reference"/>
    <w:basedOn w:val="DefaultParagraphFont"/>
    <w:uiPriority w:val="99"/>
    <w:semiHidden/>
    <w:unhideWhenUsed/>
    <w:rsid w:val="00C627B1"/>
    <w:rPr>
      <w:vertAlign w:val="superscript"/>
    </w:rPr>
  </w:style>
  <w:style w:type="table" w:styleId="TableGrid">
    <w:name w:val="Table Grid"/>
    <w:basedOn w:val="TableNormal"/>
    <w:uiPriority w:val="59"/>
    <w:rsid w:val="00C627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627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27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4400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hart" Target="charts/chart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4.xml"/><Relationship Id="rId5" Type="http://schemas.openxmlformats.org/officeDocument/2006/relationships/footnotes" Target="footnotes.xml"/><Relationship Id="rId10" Type="http://schemas.openxmlformats.org/officeDocument/2006/relationships/chart" Target="charts/chart3.xm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GB"/>
              <a:t>Claims Recieved</a:t>
            </a:r>
            <a:r>
              <a:rPr lang="en-GB" baseline="0"/>
              <a:t> </a:t>
            </a:r>
            <a:endParaRPr lang="en-GB"/>
          </a:p>
        </c:rich>
      </c:tx>
      <c:layout/>
      <c:overlay val="0"/>
    </c:title>
    <c:autoTitleDeleted val="0"/>
    <c:plotArea>
      <c:layout/>
      <c:barChart>
        <c:barDir val="col"/>
        <c:grouping val="clustered"/>
        <c:varyColors val="0"/>
        <c:ser>
          <c:idx val="0"/>
          <c:order val="0"/>
          <c:tx>
            <c:strRef>
              <c:f>Sheet1!$B$1</c:f>
              <c:strCache>
                <c:ptCount val="1"/>
                <c:pt idx="0">
                  <c:v>Employers Liability Claims </c:v>
                </c:pt>
              </c:strCache>
            </c:strRef>
          </c:tx>
          <c:invertIfNegative val="0"/>
          <c:cat>
            <c:strRef>
              <c:f>Sheet1!$A$2:$A$3</c:f>
              <c:strCache>
                <c:ptCount val="2"/>
                <c:pt idx="0">
                  <c:v>1st September 2018 - 28th February 2019</c:v>
                </c:pt>
                <c:pt idx="1">
                  <c:v>28th February 2019 - 31st August 2019 </c:v>
                </c:pt>
              </c:strCache>
            </c:strRef>
          </c:cat>
          <c:val>
            <c:numRef>
              <c:f>Sheet1!$B$2:$B$3</c:f>
              <c:numCache>
                <c:formatCode>General</c:formatCode>
                <c:ptCount val="2"/>
                <c:pt idx="0">
                  <c:v>6</c:v>
                </c:pt>
                <c:pt idx="1">
                  <c:v>4</c:v>
                </c:pt>
              </c:numCache>
            </c:numRef>
          </c:val>
        </c:ser>
        <c:ser>
          <c:idx val="1"/>
          <c:order val="1"/>
          <c:tx>
            <c:strRef>
              <c:f>Sheet1!$C$1</c:f>
              <c:strCache>
                <c:ptCount val="1"/>
                <c:pt idx="0">
                  <c:v>Public Liability Claims</c:v>
                </c:pt>
              </c:strCache>
            </c:strRef>
          </c:tx>
          <c:invertIfNegative val="0"/>
          <c:cat>
            <c:strRef>
              <c:f>Sheet1!$A$2:$A$3</c:f>
              <c:strCache>
                <c:ptCount val="2"/>
                <c:pt idx="0">
                  <c:v>1st September 2018 - 28th February 2019</c:v>
                </c:pt>
                <c:pt idx="1">
                  <c:v>28th February 2019 - 31st August 2019 </c:v>
                </c:pt>
              </c:strCache>
            </c:strRef>
          </c:cat>
          <c:val>
            <c:numRef>
              <c:f>Sheet1!$C$2:$C$3</c:f>
              <c:numCache>
                <c:formatCode>General</c:formatCode>
                <c:ptCount val="2"/>
                <c:pt idx="0">
                  <c:v>22</c:v>
                </c:pt>
                <c:pt idx="1">
                  <c:v>17</c:v>
                </c:pt>
              </c:numCache>
            </c:numRef>
          </c:val>
        </c:ser>
        <c:ser>
          <c:idx val="2"/>
          <c:order val="2"/>
          <c:tx>
            <c:strRef>
              <c:f>Sheet1!$D$1</c:f>
              <c:strCache>
                <c:ptCount val="1"/>
                <c:pt idx="0">
                  <c:v>Motor Liability Claims </c:v>
                </c:pt>
              </c:strCache>
            </c:strRef>
          </c:tx>
          <c:invertIfNegative val="0"/>
          <c:cat>
            <c:strRef>
              <c:f>Sheet1!$A$2:$A$3</c:f>
              <c:strCache>
                <c:ptCount val="2"/>
                <c:pt idx="0">
                  <c:v>1st September 2018 - 28th February 2019</c:v>
                </c:pt>
                <c:pt idx="1">
                  <c:v>28th February 2019 - 31st August 2019 </c:v>
                </c:pt>
              </c:strCache>
            </c:strRef>
          </c:cat>
          <c:val>
            <c:numRef>
              <c:f>Sheet1!$D$2:$D$3</c:f>
              <c:numCache>
                <c:formatCode>General</c:formatCode>
                <c:ptCount val="2"/>
                <c:pt idx="0">
                  <c:v>17</c:v>
                </c:pt>
                <c:pt idx="1">
                  <c:v>14</c:v>
                </c:pt>
              </c:numCache>
            </c:numRef>
          </c:val>
        </c:ser>
        <c:ser>
          <c:idx val="3"/>
          <c:order val="3"/>
          <c:tx>
            <c:strRef>
              <c:f>Sheet1!$E$1</c:f>
              <c:strCache>
                <c:ptCount val="1"/>
                <c:pt idx="0">
                  <c:v>Non Tribunal Employment Matters</c:v>
                </c:pt>
              </c:strCache>
            </c:strRef>
          </c:tx>
          <c:invertIfNegative val="0"/>
          <c:cat>
            <c:strRef>
              <c:f>Sheet1!$A$2:$A$3</c:f>
              <c:strCache>
                <c:ptCount val="2"/>
                <c:pt idx="0">
                  <c:v>1st September 2018 - 28th February 2019</c:v>
                </c:pt>
                <c:pt idx="1">
                  <c:v>28th February 2019 - 31st August 2019 </c:v>
                </c:pt>
              </c:strCache>
            </c:strRef>
          </c:cat>
          <c:val>
            <c:numRef>
              <c:f>Sheet1!$E$2:$E$3</c:f>
              <c:numCache>
                <c:formatCode>General</c:formatCode>
                <c:ptCount val="2"/>
                <c:pt idx="0">
                  <c:v>2</c:v>
                </c:pt>
                <c:pt idx="1">
                  <c:v>0</c:v>
                </c:pt>
              </c:numCache>
            </c:numRef>
          </c:val>
        </c:ser>
        <c:dLbls>
          <c:showLegendKey val="0"/>
          <c:showVal val="0"/>
          <c:showCatName val="0"/>
          <c:showSerName val="0"/>
          <c:showPercent val="0"/>
          <c:showBubbleSize val="0"/>
        </c:dLbls>
        <c:gapWidth val="150"/>
        <c:axId val="429728520"/>
        <c:axId val="355489992"/>
      </c:barChart>
      <c:catAx>
        <c:axId val="429728520"/>
        <c:scaling>
          <c:orientation val="minMax"/>
        </c:scaling>
        <c:delete val="0"/>
        <c:axPos val="b"/>
        <c:numFmt formatCode="General" sourceLinked="0"/>
        <c:majorTickMark val="none"/>
        <c:minorTickMark val="none"/>
        <c:tickLblPos val="nextTo"/>
        <c:crossAx val="355489992"/>
        <c:crosses val="autoZero"/>
        <c:auto val="1"/>
        <c:lblAlgn val="ctr"/>
        <c:lblOffset val="100"/>
        <c:noMultiLvlLbl val="0"/>
      </c:catAx>
      <c:valAx>
        <c:axId val="355489992"/>
        <c:scaling>
          <c:orientation val="minMax"/>
        </c:scaling>
        <c:delete val="0"/>
        <c:axPos val="l"/>
        <c:majorGridlines/>
        <c:numFmt formatCode="General" sourceLinked="1"/>
        <c:majorTickMark val="none"/>
        <c:minorTickMark val="none"/>
        <c:tickLblPos val="nextTo"/>
        <c:crossAx val="429728520"/>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GB"/>
              <a:t>Incident</a:t>
            </a:r>
            <a:r>
              <a:rPr lang="en-GB" baseline="0"/>
              <a:t> Dates of Claims Recieved During Period</a:t>
            </a:r>
            <a:endParaRPr lang="en-GB"/>
          </a:p>
        </c:rich>
      </c:tx>
      <c:layout/>
      <c:overlay val="0"/>
    </c:title>
    <c:autoTitleDeleted val="0"/>
    <c:plotArea>
      <c:layout/>
      <c:barChart>
        <c:barDir val="col"/>
        <c:grouping val="clustered"/>
        <c:varyColors val="0"/>
        <c:ser>
          <c:idx val="0"/>
          <c:order val="0"/>
          <c:tx>
            <c:strRef>
              <c:f>Sheet1!$B$1</c:f>
              <c:strCache>
                <c:ptCount val="1"/>
                <c:pt idx="0">
                  <c:v>Employers Liability </c:v>
                </c:pt>
              </c:strCache>
            </c:strRef>
          </c:tx>
          <c:invertIfNegative val="0"/>
          <c:cat>
            <c:numRef>
              <c:f>Sheet1!$A$2:$A$27</c:f>
              <c:numCache>
                <c:formatCode>General</c:formatCode>
                <c:ptCount val="26"/>
                <c:pt idx="0">
                  <c:v>1991</c:v>
                </c:pt>
                <c:pt idx="1">
                  <c:v>1994</c:v>
                </c:pt>
                <c:pt idx="2">
                  <c:v>1996</c:v>
                </c:pt>
                <c:pt idx="3">
                  <c:v>1997</c:v>
                </c:pt>
                <c:pt idx="4">
                  <c:v>1998</c:v>
                </c:pt>
                <c:pt idx="5">
                  <c:v>1999</c:v>
                </c:pt>
                <c:pt idx="6">
                  <c:v>2000</c:v>
                </c:pt>
                <c:pt idx="7">
                  <c:v>2001</c:v>
                </c:pt>
                <c:pt idx="8">
                  <c:v>2002</c:v>
                </c:pt>
                <c:pt idx="9">
                  <c:v>2003</c:v>
                </c:pt>
                <c:pt idx="10">
                  <c:v>2004</c:v>
                </c:pt>
                <c:pt idx="11">
                  <c:v>2005</c:v>
                </c:pt>
                <c:pt idx="12">
                  <c:v>2006</c:v>
                </c:pt>
                <c:pt idx="13">
                  <c:v>2007</c:v>
                </c:pt>
                <c:pt idx="14">
                  <c:v>2008</c:v>
                </c:pt>
                <c:pt idx="15">
                  <c:v>2009</c:v>
                </c:pt>
                <c:pt idx="16">
                  <c:v>2010</c:v>
                </c:pt>
                <c:pt idx="17">
                  <c:v>2011</c:v>
                </c:pt>
                <c:pt idx="18">
                  <c:v>2012</c:v>
                </c:pt>
                <c:pt idx="19">
                  <c:v>2013</c:v>
                </c:pt>
                <c:pt idx="20">
                  <c:v>2014</c:v>
                </c:pt>
                <c:pt idx="21">
                  <c:v>2015</c:v>
                </c:pt>
                <c:pt idx="22">
                  <c:v>2016</c:v>
                </c:pt>
                <c:pt idx="23">
                  <c:v>2017</c:v>
                </c:pt>
                <c:pt idx="24">
                  <c:v>2018</c:v>
                </c:pt>
                <c:pt idx="25">
                  <c:v>2019</c:v>
                </c:pt>
              </c:numCache>
            </c:numRef>
          </c:cat>
          <c:val>
            <c:numRef>
              <c:f>Sheet1!$B$2:$B$27</c:f>
              <c:numCache>
                <c:formatCode>General</c:formatCode>
                <c:ptCount val="26"/>
                <c:pt idx="0">
                  <c:v>0</c:v>
                </c:pt>
                <c:pt idx="1">
                  <c:v>0</c:v>
                </c:pt>
                <c:pt idx="2">
                  <c:v>0</c:v>
                </c:pt>
                <c:pt idx="3">
                  <c:v>0</c:v>
                </c:pt>
                <c:pt idx="4">
                  <c:v>0</c:v>
                </c:pt>
                <c:pt idx="5">
                  <c:v>0</c:v>
                </c:pt>
                <c:pt idx="6">
                  <c:v>0</c:v>
                </c:pt>
                <c:pt idx="7">
                  <c:v>1</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2</c:v>
                </c:pt>
                <c:pt idx="25">
                  <c:v>1</c:v>
                </c:pt>
              </c:numCache>
            </c:numRef>
          </c:val>
        </c:ser>
        <c:ser>
          <c:idx val="1"/>
          <c:order val="1"/>
          <c:tx>
            <c:strRef>
              <c:f>Sheet1!$C$1</c:f>
              <c:strCache>
                <c:ptCount val="1"/>
                <c:pt idx="0">
                  <c:v>Public Liability </c:v>
                </c:pt>
              </c:strCache>
            </c:strRef>
          </c:tx>
          <c:invertIfNegative val="0"/>
          <c:cat>
            <c:numRef>
              <c:f>Sheet1!$A$2:$A$27</c:f>
              <c:numCache>
                <c:formatCode>General</c:formatCode>
                <c:ptCount val="26"/>
                <c:pt idx="0">
                  <c:v>1991</c:v>
                </c:pt>
                <c:pt idx="1">
                  <c:v>1994</c:v>
                </c:pt>
                <c:pt idx="2">
                  <c:v>1996</c:v>
                </c:pt>
                <c:pt idx="3">
                  <c:v>1997</c:v>
                </c:pt>
                <c:pt idx="4">
                  <c:v>1998</c:v>
                </c:pt>
                <c:pt idx="5">
                  <c:v>1999</c:v>
                </c:pt>
                <c:pt idx="6">
                  <c:v>2000</c:v>
                </c:pt>
                <c:pt idx="7">
                  <c:v>2001</c:v>
                </c:pt>
                <c:pt idx="8">
                  <c:v>2002</c:v>
                </c:pt>
                <c:pt idx="9">
                  <c:v>2003</c:v>
                </c:pt>
                <c:pt idx="10">
                  <c:v>2004</c:v>
                </c:pt>
                <c:pt idx="11">
                  <c:v>2005</c:v>
                </c:pt>
                <c:pt idx="12">
                  <c:v>2006</c:v>
                </c:pt>
                <c:pt idx="13">
                  <c:v>2007</c:v>
                </c:pt>
                <c:pt idx="14">
                  <c:v>2008</c:v>
                </c:pt>
                <c:pt idx="15">
                  <c:v>2009</c:v>
                </c:pt>
                <c:pt idx="16">
                  <c:v>2010</c:v>
                </c:pt>
                <c:pt idx="17">
                  <c:v>2011</c:v>
                </c:pt>
                <c:pt idx="18">
                  <c:v>2012</c:v>
                </c:pt>
                <c:pt idx="19">
                  <c:v>2013</c:v>
                </c:pt>
                <c:pt idx="20">
                  <c:v>2014</c:v>
                </c:pt>
                <c:pt idx="21">
                  <c:v>2015</c:v>
                </c:pt>
                <c:pt idx="22">
                  <c:v>2016</c:v>
                </c:pt>
                <c:pt idx="23">
                  <c:v>2017</c:v>
                </c:pt>
                <c:pt idx="24">
                  <c:v>2018</c:v>
                </c:pt>
                <c:pt idx="25">
                  <c:v>2019</c:v>
                </c:pt>
              </c:numCache>
            </c:numRef>
          </c:cat>
          <c:val>
            <c:numRef>
              <c:f>Sheet1!$C$2:$C$27</c:f>
              <c:numCache>
                <c:formatCode>General</c:formatCode>
                <c:ptCount val="26"/>
                <c:pt idx="0">
                  <c:v>2</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1</c:v>
                </c:pt>
                <c:pt idx="22">
                  <c:v>2</c:v>
                </c:pt>
                <c:pt idx="23">
                  <c:v>0</c:v>
                </c:pt>
                <c:pt idx="24">
                  <c:v>6</c:v>
                </c:pt>
                <c:pt idx="25">
                  <c:v>6</c:v>
                </c:pt>
              </c:numCache>
            </c:numRef>
          </c:val>
        </c:ser>
        <c:ser>
          <c:idx val="2"/>
          <c:order val="2"/>
          <c:tx>
            <c:strRef>
              <c:f>Sheet1!$D$1</c:f>
              <c:strCache>
                <c:ptCount val="1"/>
                <c:pt idx="0">
                  <c:v>Motor Liability </c:v>
                </c:pt>
              </c:strCache>
            </c:strRef>
          </c:tx>
          <c:invertIfNegative val="0"/>
          <c:cat>
            <c:numRef>
              <c:f>Sheet1!$A$2:$A$27</c:f>
              <c:numCache>
                <c:formatCode>General</c:formatCode>
                <c:ptCount val="26"/>
                <c:pt idx="0">
                  <c:v>1991</c:v>
                </c:pt>
                <c:pt idx="1">
                  <c:v>1994</c:v>
                </c:pt>
                <c:pt idx="2">
                  <c:v>1996</c:v>
                </c:pt>
                <c:pt idx="3">
                  <c:v>1997</c:v>
                </c:pt>
                <c:pt idx="4">
                  <c:v>1998</c:v>
                </c:pt>
                <c:pt idx="5">
                  <c:v>1999</c:v>
                </c:pt>
                <c:pt idx="6">
                  <c:v>2000</c:v>
                </c:pt>
                <c:pt idx="7">
                  <c:v>2001</c:v>
                </c:pt>
                <c:pt idx="8">
                  <c:v>2002</c:v>
                </c:pt>
                <c:pt idx="9">
                  <c:v>2003</c:v>
                </c:pt>
                <c:pt idx="10">
                  <c:v>2004</c:v>
                </c:pt>
                <c:pt idx="11">
                  <c:v>2005</c:v>
                </c:pt>
                <c:pt idx="12">
                  <c:v>2006</c:v>
                </c:pt>
                <c:pt idx="13">
                  <c:v>2007</c:v>
                </c:pt>
                <c:pt idx="14">
                  <c:v>2008</c:v>
                </c:pt>
                <c:pt idx="15">
                  <c:v>2009</c:v>
                </c:pt>
                <c:pt idx="16">
                  <c:v>2010</c:v>
                </c:pt>
                <c:pt idx="17">
                  <c:v>2011</c:v>
                </c:pt>
                <c:pt idx="18">
                  <c:v>2012</c:v>
                </c:pt>
                <c:pt idx="19">
                  <c:v>2013</c:v>
                </c:pt>
                <c:pt idx="20">
                  <c:v>2014</c:v>
                </c:pt>
                <c:pt idx="21">
                  <c:v>2015</c:v>
                </c:pt>
                <c:pt idx="22">
                  <c:v>2016</c:v>
                </c:pt>
                <c:pt idx="23">
                  <c:v>2017</c:v>
                </c:pt>
                <c:pt idx="24">
                  <c:v>2018</c:v>
                </c:pt>
                <c:pt idx="25">
                  <c:v>2019</c:v>
                </c:pt>
              </c:numCache>
            </c:numRef>
          </c:cat>
          <c:val>
            <c:numRef>
              <c:f>Sheet1!$D$2:$D$27</c:f>
              <c:numCache>
                <c:formatCode>General</c:formatCode>
                <c:ptCount val="2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1</c:v>
                </c:pt>
                <c:pt idx="25">
                  <c:v>13</c:v>
                </c:pt>
              </c:numCache>
            </c:numRef>
          </c:val>
        </c:ser>
        <c:ser>
          <c:idx val="3"/>
          <c:order val="3"/>
          <c:tx>
            <c:strRef>
              <c:f>Sheet1!$E$1</c:f>
              <c:strCache>
                <c:ptCount val="1"/>
                <c:pt idx="0">
                  <c:v>NTEM</c:v>
                </c:pt>
              </c:strCache>
            </c:strRef>
          </c:tx>
          <c:invertIfNegative val="0"/>
          <c:cat>
            <c:numRef>
              <c:f>Sheet1!$A$2:$A$27</c:f>
              <c:numCache>
                <c:formatCode>General</c:formatCode>
                <c:ptCount val="26"/>
                <c:pt idx="0">
                  <c:v>1991</c:v>
                </c:pt>
                <c:pt idx="1">
                  <c:v>1994</c:v>
                </c:pt>
                <c:pt idx="2">
                  <c:v>1996</c:v>
                </c:pt>
                <c:pt idx="3">
                  <c:v>1997</c:v>
                </c:pt>
                <c:pt idx="4">
                  <c:v>1998</c:v>
                </c:pt>
                <c:pt idx="5">
                  <c:v>1999</c:v>
                </c:pt>
                <c:pt idx="6">
                  <c:v>2000</c:v>
                </c:pt>
                <c:pt idx="7">
                  <c:v>2001</c:v>
                </c:pt>
                <c:pt idx="8">
                  <c:v>2002</c:v>
                </c:pt>
                <c:pt idx="9">
                  <c:v>2003</c:v>
                </c:pt>
                <c:pt idx="10">
                  <c:v>2004</c:v>
                </c:pt>
                <c:pt idx="11">
                  <c:v>2005</c:v>
                </c:pt>
                <c:pt idx="12">
                  <c:v>2006</c:v>
                </c:pt>
                <c:pt idx="13">
                  <c:v>2007</c:v>
                </c:pt>
                <c:pt idx="14">
                  <c:v>2008</c:v>
                </c:pt>
                <c:pt idx="15">
                  <c:v>2009</c:v>
                </c:pt>
                <c:pt idx="16">
                  <c:v>2010</c:v>
                </c:pt>
                <c:pt idx="17">
                  <c:v>2011</c:v>
                </c:pt>
                <c:pt idx="18">
                  <c:v>2012</c:v>
                </c:pt>
                <c:pt idx="19">
                  <c:v>2013</c:v>
                </c:pt>
                <c:pt idx="20">
                  <c:v>2014</c:v>
                </c:pt>
                <c:pt idx="21">
                  <c:v>2015</c:v>
                </c:pt>
                <c:pt idx="22">
                  <c:v>2016</c:v>
                </c:pt>
                <c:pt idx="23">
                  <c:v>2017</c:v>
                </c:pt>
                <c:pt idx="24">
                  <c:v>2018</c:v>
                </c:pt>
                <c:pt idx="25">
                  <c:v>2019</c:v>
                </c:pt>
              </c:numCache>
            </c:numRef>
          </c:cat>
          <c:val>
            <c:numRef>
              <c:f>Sheet1!$E$2:$E$27</c:f>
              <c:numCache>
                <c:formatCode>General</c:formatCode>
                <c:ptCount val="26"/>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numCache>
            </c:numRef>
          </c:val>
        </c:ser>
        <c:dLbls>
          <c:showLegendKey val="0"/>
          <c:showVal val="0"/>
          <c:showCatName val="0"/>
          <c:showSerName val="0"/>
          <c:showPercent val="0"/>
          <c:showBubbleSize val="0"/>
        </c:dLbls>
        <c:gapWidth val="150"/>
        <c:axId val="434490160"/>
        <c:axId val="434486632"/>
      </c:barChart>
      <c:catAx>
        <c:axId val="434490160"/>
        <c:scaling>
          <c:orientation val="minMax"/>
        </c:scaling>
        <c:delete val="0"/>
        <c:axPos val="b"/>
        <c:numFmt formatCode="General" sourceLinked="1"/>
        <c:majorTickMark val="none"/>
        <c:minorTickMark val="none"/>
        <c:tickLblPos val="nextTo"/>
        <c:txPr>
          <a:bodyPr rot="-5400000" vert="horz"/>
          <a:lstStyle/>
          <a:p>
            <a:pPr>
              <a:defRPr/>
            </a:pPr>
            <a:endParaRPr lang="en-US"/>
          </a:p>
        </c:txPr>
        <c:crossAx val="434486632"/>
        <c:crosses val="autoZero"/>
        <c:auto val="1"/>
        <c:lblAlgn val="ctr"/>
        <c:lblOffset val="100"/>
        <c:noMultiLvlLbl val="0"/>
      </c:catAx>
      <c:valAx>
        <c:axId val="434486632"/>
        <c:scaling>
          <c:orientation val="minMax"/>
        </c:scaling>
        <c:delete val="0"/>
        <c:axPos val="l"/>
        <c:majorGridlines/>
        <c:numFmt formatCode="General" sourceLinked="1"/>
        <c:majorTickMark val="none"/>
        <c:minorTickMark val="none"/>
        <c:tickLblPos val="nextTo"/>
        <c:crossAx val="434490160"/>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GB"/>
              <a:t>Claims</a:t>
            </a:r>
            <a:r>
              <a:rPr lang="en-GB" baseline="0"/>
              <a:t> Finalised 28/02/2019 - 31/08/2019</a:t>
            </a:r>
            <a:endParaRPr lang="en-GB"/>
          </a:p>
        </c:rich>
      </c:tx>
      <c:layout/>
      <c:overlay val="0"/>
    </c:title>
    <c:autoTitleDeleted val="0"/>
    <c:plotArea>
      <c:layout/>
      <c:barChart>
        <c:barDir val="col"/>
        <c:grouping val="clustered"/>
        <c:varyColors val="0"/>
        <c:ser>
          <c:idx val="0"/>
          <c:order val="0"/>
          <c:tx>
            <c:strRef>
              <c:f>Sheet1!$B$1</c:f>
              <c:strCache>
                <c:ptCount val="1"/>
                <c:pt idx="0">
                  <c:v>Employers Liability</c:v>
                </c:pt>
              </c:strCache>
            </c:strRef>
          </c:tx>
          <c:invertIfNegative val="0"/>
          <c:cat>
            <c:strRef>
              <c:f>Sheet1!$A$2:$A$5</c:f>
              <c:strCache>
                <c:ptCount val="4"/>
                <c:pt idx="0">
                  <c:v>Negotiated Settlement </c:v>
                </c:pt>
                <c:pt idx="1">
                  <c:v>Claimant Won Trial</c:v>
                </c:pt>
                <c:pt idx="2">
                  <c:v>Chief Won Trial</c:v>
                </c:pt>
                <c:pt idx="3">
                  <c:v>Claim Withdrawn</c:v>
                </c:pt>
              </c:strCache>
            </c:strRef>
          </c:cat>
          <c:val>
            <c:numRef>
              <c:f>Sheet1!$B$2:$B$5</c:f>
              <c:numCache>
                <c:formatCode>General</c:formatCode>
                <c:ptCount val="4"/>
                <c:pt idx="0">
                  <c:v>1</c:v>
                </c:pt>
                <c:pt idx="1">
                  <c:v>0</c:v>
                </c:pt>
                <c:pt idx="2">
                  <c:v>0</c:v>
                </c:pt>
                <c:pt idx="3">
                  <c:v>1</c:v>
                </c:pt>
              </c:numCache>
            </c:numRef>
          </c:val>
        </c:ser>
        <c:ser>
          <c:idx val="1"/>
          <c:order val="1"/>
          <c:tx>
            <c:strRef>
              <c:f>Sheet1!$C$1</c:f>
              <c:strCache>
                <c:ptCount val="1"/>
                <c:pt idx="0">
                  <c:v>Public Liability</c:v>
                </c:pt>
              </c:strCache>
            </c:strRef>
          </c:tx>
          <c:invertIfNegative val="0"/>
          <c:cat>
            <c:strRef>
              <c:f>Sheet1!$A$2:$A$5</c:f>
              <c:strCache>
                <c:ptCount val="4"/>
                <c:pt idx="0">
                  <c:v>Negotiated Settlement </c:v>
                </c:pt>
                <c:pt idx="1">
                  <c:v>Claimant Won Trial</c:v>
                </c:pt>
                <c:pt idx="2">
                  <c:v>Chief Won Trial</c:v>
                </c:pt>
                <c:pt idx="3">
                  <c:v>Claim Withdrawn</c:v>
                </c:pt>
              </c:strCache>
            </c:strRef>
          </c:cat>
          <c:val>
            <c:numRef>
              <c:f>Sheet1!$C$2:$C$5</c:f>
              <c:numCache>
                <c:formatCode>General</c:formatCode>
                <c:ptCount val="4"/>
                <c:pt idx="0">
                  <c:v>5</c:v>
                </c:pt>
                <c:pt idx="1">
                  <c:v>0</c:v>
                </c:pt>
                <c:pt idx="2">
                  <c:v>0</c:v>
                </c:pt>
                <c:pt idx="3">
                  <c:v>3</c:v>
                </c:pt>
              </c:numCache>
            </c:numRef>
          </c:val>
        </c:ser>
        <c:ser>
          <c:idx val="2"/>
          <c:order val="2"/>
          <c:tx>
            <c:strRef>
              <c:f>Sheet1!$D$1</c:f>
              <c:strCache>
                <c:ptCount val="1"/>
                <c:pt idx="0">
                  <c:v>Motor Claims</c:v>
                </c:pt>
              </c:strCache>
            </c:strRef>
          </c:tx>
          <c:invertIfNegative val="0"/>
          <c:cat>
            <c:strRef>
              <c:f>Sheet1!$A$2:$A$5</c:f>
              <c:strCache>
                <c:ptCount val="4"/>
                <c:pt idx="0">
                  <c:v>Negotiated Settlement </c:v>
                </c:pt>
                <c:pt idx="1">
                  <c:v>Claimant Won Trial</c:v>
                </c:pt>
                <c:pt idx="2">
                  <c:v>Chief Won Trial</c:v>
                </c:pt>
                <c:pt idx="3">
                  <c:v>Claim Withdrawn</c:v>
                </c:pt>
              </c:strCache>
            </c:strRef>
          </c:cat>
          <c:val>
            <c:numRef>
              <c:f>Sheet1!$D$2:$D$5</c:f>
              <c:numCache>
                <c:formatCode>General</c:formatCode>
                <c:ptCount val="4"/>
                <c:pt idx="0">
                  <c:v>0</c:v>
                </c:pt>
                <c:pt idx="1">
                  <c:v>0</c:v>
                </c:pt>
                <c:pt idx="2">
                  <c:v>0</c:v>
                </c:pt>
                <c:pt idx="3">
                  <c:v>2</c:v>
                </c:pt>
              </c:numCache>
            </c:numRef>
          </c:val>
        </c:ser>
        <c:ser>
          <c:idx val="3"/>
          <c:order val="3"/>
          <c:tx>
            <c:strRef>
              <c:f>Sheet1!$E$1</c:f>
              <c:strCache>
                <c:ptCount val="1"/>
                <c:pt idx="0">
                  <c:v>Non Employmment Tribunal Claim</c:v>
                </c:pt>
              </c:strCache>
            </c:strRef>
          </c:tx>
          <c:invertIfNegative val="0"/>
          <c:cat>
            <c:strRef>
              <c:f>Sheet1!$A$2:$A$5</c:f>
              <c:strCache>
                <c:ptCount val="4"/>
                <c:pt idx="0">
                  <c:v>Negotiated Settlement </c:v>
                </c:pt>
                <c:pt idx="1">
                  <c:v>Claimant Won Trial</c:v>
                </c:pt>
                <c:pt idx="2">
                  <c:v>Chief Won Trial</c:v>
                </c:pt>
                <c:pt idx="3">
                  <c:v>Claim Withdrawn</c:v>
                </c:pt>
              </c:strCache>
            </c:strRef>
          </c:cat>
          <c:val>
            <c:numRef>
              <c:f>Sheet1!$E$2:$E$5</c:f>
              <c:numCache>
                <c:formatCode>General</c:formatCode>
                <c:ptCount val="4"/>
                <c:pt idx="0">
                  <c:v>0</c:v>
                </c:pt>
                <c:pt idx="1">
                  <c:v>0</c:v>
                </c:pt>
                <c:pt idx="2">
                  <c:v>0</c:v>
                </c:pt>
                <c:pt idx="3">
                  <c:v>0</c:v>
                </c:pt>
              </c:numCache>
            </c:numRef>
          </c:val>
        </c:ser>
        <c:dLbls>
          <c:showLegendKey val="0"/>
          <c:showVal val="0"/>
          <c:showCatName val="0"/>
          <c:showSerName val="0"/>
          <c:showPercent val="0"/>
          <c:showBubbleSize val="0"/>
        </c:dLbls>
        <c:gapWidth val="150"/>
        <c:axId val="434487416"/>
        <c:axId val="434489376"/>
      </c:barChart>
      <c:catAx>
        <c:axId val="434487416"/>
        <c:scaling>
          <c:orientation val="minMax"/>
        </c:scaling>
        <c:delete val="0"/>
        <c:axPos val="b"/>
        <c:numFmt formatCode="General" sourceLinked="0"/>
        <c:majorTickMark val="none"/>
        <c:minorTickMark val="none"/>
        <c:tickLblPos val="nextTo"/>
        <c:crossAx val="434489376"/>
        <c:crosses val="autoZero"/>
        <c:auto val="1"/>
        <c:lblAlgn val="ctr"/>
        <c:lblOffset val="100"/>
        <c:noMultiLvlLbl val="0"/>
      </c:catAx>
      <c:valAx>
        <c:axId val="434489376"/>
        <c:scaling>
          <c:orientation val="minMax"/>
        </c:scaling>
        <c:delete val="0"/>
        <c:axPos val="l"/>
        <c:majorGridlines/>
        <c:numFmt formatCode="General" sourceLinked="1"/>
        <c:majorTickMark val="none"/>
        <c:minorTickMark val="none"/>
        <c:tickLblPos val="nextTo"/>
        <c:crossAx val="434487416"/>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GB"/>
              <a:t>Claims Finalised 01/09/2018 - 28/02/2019</a:t>
            </a:r>
          </a:p>
        </c:rich>
      </c:tx>
      <c:layout>
        <c:manualLayout>
          <c:xMode val="edge"/>
          <c:yMode val="edge"/>
          <c:x val="0.10701388888888889"/>
          <c:y val="3.5714285714285712E-2"/>
        </c:manualLayout>
      </c:layout>
      <c:overlay val="0"/>
    </c:title>
    <c:autoTitleDeleted val="0"/>
    <c:plotArea>
      <c:layout/>
      <c:barChart>
        <c:barDir val="col"/>
        <c:grouping val="clustered"/>
        <c:varyColors val="0"/>
        <c:ser>
          <c:idx val="0"/>
          <c:order val="0"/>
          <c:tx>
            <c:strRef>
              <c:f>Sheet1!$B$1</c:f>
              <c:strCache>
                <c:ptCount val="1"/>
                <c:pt idx="0">
                  <c:v>Employers Liability </c:v>
                </c:pt>
              </c:strCache>
            </c:strRef>
          </c:tx>
          <c:invertIfNegative val="0"/>
          <c:cat>
            <c:strRef>
              <c:f>Sheet1!$A$2:$A$5</c:f>
              <c:strCache>
                <c:ptCount val="4"/>
                <c:pt idx="0">
                  <c:v>Negotiated Settlement</c:v>
                </c:pt>
                <c:pt idx="1">
                  <c:v>Claimant Won Trial </c:v>
                </c:pt>
                <c:pt idx="2">
                  <c:v>Chief Won Trial</c:v>
                </c:pt>
                <c:pt idx="3">
                  <c:v>Claim Withdrawn </c:v>
                </c:pt>
              </c:strCache>
            </c:strRef>
          </c:cat>
          <c:val>
            <c:numRef>
              <c:f>Sheet1!$B$2:$B$5</c:f>
              <c:numCache>
                <c:formatCode>General</c:formatCode>
                <c:ptCount val="4"/>
                <c:pt idx="0">
                  <c:v>1</c:v>
                </c:pt>
                <c:pt idx="1">
                  <c:v>0</c:v>
                </c:pt>
                <c:pt idx="2">
                  <c:v>0</c:v>
                </c:pt>
                <c:pt idx="3">
                  <c:v>1</c:v>
                </c:pt>
              </c:numCache>
            </c:numRef>
          </c:val>
        </c:ser>
        <c:ser>
          <c:idx val="1"/>
          <c:order val="1"/>
          <c:tx>
            <c:strRef>
              <c:f>Sheet1!$C$1</c:f>
              <c:strCache>
                <c:ptCount val="1"/>
                <c:pt idx="0">
                  <c:v>Public Liability</c:v>
                </c:pt>
              </c:strCache>
            </c:strRef>
          </c:tx>
          <c:invertIfNegative val="0"/>
          <c:cat>
            <c:strRef>
              <c:f>Sheet1!$A$2:$A$5</c:f>
              <c:strCache>
                <c:ptCount val="4"/>
                <c:pt idx="0">
                  <c:v>Negotiated Settlement</c:v>
                </c:pt>
                <c:pt idx="1">
                  <c:v>Claimant Won Trial </c:v>
                </c:pt>
                <c:pt idx="2">
                  <c:v>Chief Won Trial</c:v>
                </c:pt>
                <c:pt idx="3">
                  <c:v>Claim Withdrawn </c:v>
                </c:pt>
              </c:strCache>
            </c:strRef>
          </c:cat>
          <c:val>
            <c:numRef>
              <c:f>Sheet1!$C$2:$C$5</c:f>
              <c:numCache>
                <c:formatCode>General</c:formatCode>
                <c:ptCount val="4"/>
                <c:pt idx="0">
                  <c:v>5</c:v>
                </c:pt>
                <c:pt idx="1">
                  <c:v>0</c:v>
                </c:pt>
                <c:pt idx="2">
                  <c:v>2</c:v>
                </c:pt>
                <c:pt idx="3">
                  <c:v>12</c:v>
                </c:pt>
              </c:numCache>
            </c:numRef>
          </c:val>
        </c:ser>
        <c:ser>
          <c:idx val="2"/>
          <c:order val="2"/>
          <c:tx>
            <c:strRef>
              <c:f>Sheet1!$D$1</c:f>
              <c:strCache>
                <c:ptCount val="1"/>
                <c:pt idx="0">
                  <c:v>Motor Liability </c:v>
                </c:pt>
              </c:strCache>
            </c:strRef>
          </c:tx>
          <c:invertIfNegative val="0"/>
          <c:cat>
            <c:strRef>
              <c:f>Sheet1!$A$2:$A$5</c:f>
              <c:strCache>
                <c:ptCount val="4"/>
                <c:pt idx="0">
                  <c:v>Negotiated Settlement</c:v>
                </c:pt>
                <c:pt idx="1">
                  <c:v>Claimant Won Trial </c:v>
                </c:pt>
                <c:pt idx="2">
                  <c:v>Chief Won Trial</c:v>
                </c:pt>
                <c:pt idx="3">
                  <c:v>Claim Withdrawn </c:v>
                </c:pt>
              </c:strCache>
            </c:strRef>
          </c:cat>
          <c:val>
            <c:numRef>
              <c:f>Sheet1!$D$2:$D$5</c:f>
              <c:numCache>
                <c:formatCode>General</c:formatCode>
                <c:ptCount val="4"/>
                <c:pt idx="0">
                  <c:v>1</c:v>
                </c:pt>
                <c:pt idx="1">
                  <c:v>0</c:v>
                </c:pt>
                <c:pt idx="2">
                  <c:v>1</c:v>
                </c:pt>
                <c:pt idx="3">
                  <c:v>2</c:v>
                </c:pt>
              </c:numCache>
            </c:numRef>
          </c:val>
        </c:ser>
        <c:ser>
          <c:idx val="3"/>
          <c:order val="3"/>
          <c:tx>
            <c:strRef>
              <c:f>Sheet1!$E$1</c:f>
              <c:strCache>
                <c:ptCount val="1"/>
                <c:pt idx="0">
                  <c:v>Non Tribunal Employment Matters</c:v>
                </c:pt>
              </c:strCache>
            </c:strRef>
          </c:tx>
          <c:invertIfNegative val="0"/>
          <c:cat>
            <c:strRef>
              <c:f>Sheet1!$A$2:$A$5</c:f>
              <c:strCache>
                <c:ptCount val="4"/>
                <c:pt idx="0">
                  <c:v>Negotiated Settlement</c:v>
                </c:pt>
                <c:pt idx="1">
                  <c:v>Claimant Won Trial </c:v>
                </c:pt>
                <c:pt idx="2">
                  <c:v>Chief Won Trial</c:v>
                </c:pt>
                <c:pt idx="3">
                  <c:v>Claim Withdrawn </c:v>
                </c:pt>
              </c:strCache>
            </c:strRef>
          </c:cat>
          <c:val>
            <c:numRef>
              <c:f>Sheet1!$E$2:$E$5</c:f>
              <c:numCache>
                <c:formatCode>General</c:formatCode>
                <c:ptCount val="4"/>
                <c:pt idx="0">
                  <c:v>0</c:v>
                </c:pt>
                <c:pt idx="1">
                  <c:v>0</c:v>
                </c:pt>
                <c:pt idx="2">
                  <c:v>0</c:v>
                </c:pt>
                <c:pt idx="3">
                  <c:v>0</c:v>
                </c:pt>
              </c:numCache>
            </c:numRef>
          </c:val>
        </c:ser>
        <c:dLbls>
          <c:showLegendKey val="0"/>
          <c:showVal val="0"/>
          <c:showCatName val="0"/>
          <c:showSerName val="0"/>
          <c:showPercent val="0"/>
          <c:showBubbleSize val="0"/>
        </c:dLbls>
        <c:gapWidth val="150"/>
        <c:axId val="434490552"/>
        <c:axId val="434494080"/>
      </c:barChart>
      <c:catAx>
        <c:axId val="434490552"/>
        <c:scaling>
          <c:orientation val="minMax"/>
        </c:scaling>
        <c:delete val="0"/>
        <c:axPos val="b"/>
        <c:numFmt formatCode="General" sourceLinked="0"/>
        <c:majorTickMark val="none"/>
        <c:minorTickMark val="none"/>
        <c:tickLblPos val="nextTo"/>
        <c:crossAx val="434494080"/>
        <c:crosses val="autoZero"/>
        <c:auto val="1"/>
        <c:lblAlgn val="ctr"/>
        <c:lblOffset val="100"/>
        <c:noMultiLvlLbl val="0"/>
      </c:catAx>
      <c:valAx>
        <c:axId val="434494080"/>
        <c:scaling>
          <c:orientation val="minMax"/>
        </c:scaling>
        <c:delete val="0"/>
        <c:axPos val="l"/>
        <c:majorGridlines/>
        <c:numFmt formatCode="General" sourceLinked="1"/>
        <c:majorTickMark val="none"/>
        <c:minorTickMark val="none"/>
        <c:tickLblPos val="nextTo"/>
        <c:crossAx val="434490552"/>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Sum</a:t>
            </a:r>
            <a:r>
              <a:rPr lang="en-US" baseline="0"/>
              <a:t>s Paid out on Finalised Cases</a:t>
            </a:r>
            <a:endParaRPr lang="en-US"/>
          </a:p>
        </c:rich>
      </c:tx>
      <c:layout/>
      <c:overlay val="0"/>
    </c:title>
    <c:autoTitleDeleted val="0"/>
    <c:plotArea>
      <c:layout/>
      <c:pieChart>
        <c:varyColors val="1"/>
        <c:ser>
          <c:idx val="0"/>
          <c:order val="0"/>
          <c:tx>
            <c:strRef>
              <c:f>Sheet1!$B$1</c:f>
              <c:strCache>
                <c:ptCount val="1"/>
                <c:pt idx="0">
                  <c:v>Sales</c:v>
                </c:pt>
              </c:strCache>
            </c:strRef>
          </c:tx>
          <c:dLbls>
            <c:dLbl>
              <c:idx val="0"/>
              <c:layout>
                <c:manualLayout>
                  <c:x val="0.23538714330338109"/>
                  <c:y val="3.4784321632982271E-2"/>
                </c:manualLayout>
              </c:layout>
              <c:tx>
                <c:rich>
                  <a:bodyPr/>
                  <a:lstStyle/>
                  <a:p>
                    <a:r>
                      <a:rPr lang="en-US"/>
                      <a:t>Employers liability 
£594.07</a:t>
                    </a:r>
                  </a:p>
                </c:rich>
              </c:tx>
              <c:showLegendKey val="0"/>
              <c:showVal val="0"/>
              <c:showCatName val="1"/>
              <c:showSerName val="0"/>
              <c:showPercent val="1"/>
              <c:showBubbleSize val="0"/>
              <c:extLst>
                <c:ext xmlns:c15="http://schemas.microsoft.com/office/drawing/2012/chart" uri="{CE6537A1-D6FC-4f65-9D91-7224C49458BB}">
                  <c15:layout/>
                </c:ext>
              </c:extLst>
            </c:dLbl>
            <c:dLbl>
              <c:idx val="1"/>
              <c:layout>
                <c:manualLayout>
                  <c:x val="-0.22627532671004469"/>
                  <c:y val="-0.1096480588171426"/>
                </c:manualLayout>
              </c:layout>
              <c:tx>
                <c:rich>
                  <a:bodyPr/>
                  <a:lstStyle/>
                  <a:p>
                    <a:r>
                      <a:rPr lang="en-US"/>
                      <a:t>Public Liability 
£59,489.61</a:t>
                    </a:r>
                  </a:p>
                  <a:p>
                    <a:endParaRPr lang="en-US"/>
                  </a:p>
                </c:rich>
              </c:tx>
              <c:showLegendKey val="0"/>
              <c:showVal val="0"/>
              <c:showCatName val="1"/>
              <c:showSerName val="0"/>
              <c:showPercent val="1"/>
              <c:showBubbleSize val="0"/>
              <c:extLst>
                <c:ext xmlns:c15="http://schemas.microsoft.com/office/drawing/2012/chart" uri="{CE6537A1-D6FC-4f65-9D91-7224C49458BB}">
                  <c15:layout/>
                </c:ext>
              </c:extLst>
            </c:dLbl>
            <c:dLbl>
              <c:idx val="2"/>
              <c:layout>
                <c:manualLayout>
                  <c:x val="-0.26791793665869928"/>
                  <c:y val="0.11821656248545857"/>
                </c:manualLayout>
              </c:layout>
              <c:tx>
                <c:rich>
                  <a:bodyPr/>
                  <a:lstStyle/>
                  <a:p>
                    <a:r>
                      <a:rPr lang="en-US">
                        <a:solidFill>
                          <a:sysClr val="windowText" lastClr="000000"/>
                        </a:solidFill>
                      </a:rPr>
                      <a:t>Motor Liability 
£0</a:t>
                    </a:r>
                  </a:p>
                  <a:p>
                    <a:endParaRPr lang="en-US"/>
                  </a:p>
                </c:rich>
              </c:tx>
              <c:showLegendKey val="0"/>
              <c:showVal val="0"/>
              <c:showCatName val="1"/>
              <c:showSerName val="0"/>
              <c:showPercent val="1"/>
              <c:showBubbleSize val="0"/>
              <c:extLst>
                <c:ext xmlns:c15="http://schemas.microsoft.com/office/drawing/2012/chart" uri="{CE6537A1-D6FC-4f65-9D91-7224C49458BB}">
                  <c15:layout/>
                </c:ext>
              </c:extLst>
            </c:dLbl>
            <c:dLbl>
              <c:idx val="3"/>
              <c:layout>
                <c:manualLayout>
                  <c:x val="0.32087090976049037"/>
                  <c:y val="0.35173426812055031"/>
                </c:manualLayout>
              </c:layout>
              <c:tx>
                <c:rich>
                  <a:bodyPr/>
                  <a:lstStyle/>
                  <a:p>
                    <a:r>
                      <a:rPr lang="en-US"/>
                      <a:t>Non Tribunal Employment Matters 
0</a:t>
                    </a:r>
                  </a:p>
                </c:rich>
              </c:tx>
              <c:showLegendKey val="0"/>
              <c:showVal val="0"/>
              <c:showCatName val="1"/>
              <c:showSerName val="0"/>
              <c:showPercent val="1"/>
              <c:showBubbleSize val="0"/>
              <c:extLst>
                <c:ext xmlns:c15="http://schemas.microsoft.com/office/drawing/2012/chart" uri="{CE6537A1-D6FC-4f65-9D91-7224C49458BB}">
                  <c15:layout/>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Sheet1!$A$2:$A$5</c:f>
              <c:strCache>
                <c:ptCount val="4"/>
                <c:pt idx="0">
                  <c:v>Employers liability </c:v>
                </c:pt>
                <c:pt idx="1">
                  <c:v>Public Liability </c:v>
                </c:pt>
                <c:pt idx="2">
                  <c:v>Motor Liability </c:v>
                </c:pt>
                <c:pt idx="3">
                  <c:v>Non Tribunal Employment Matters </c:v>
                </c:pt>
              </c:strCache>
            </c:strRef>
          </c:cat>
          <c:val>
            <c:numRef>
              <c:f>Sheet1!$B$2:$B$5</c:f>
              <c:numCache>
                <c:formatCode>"£"#,##0.00_);[Red]\("£"#,##0.00\)</c:formatCode>
                <c:ptCount val="4"/>
                <c:pt idx="0">
                  <c:v>594.07000000000005</c:v>
                </c:pt>
                <c:pt idx="1">
                  <c:v>59489.61</c:v>
                </c:pt>
                <c:pt idx="2">
                  <c:v>0</c:v>
                </c:pt>
                <c:pt idx="3" formatCode="General">
                  <c:v>0</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1000</Words>
  <Characters>5702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Cleveland Police</Company>
  <LinksUpToDate>false</LinksUpToDate>
  <CharactersWithSpaces>6689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LANGHAM, Hannah (C8818)</dc:creator>
  <cp:lastModifiedBy>YATES, Jennifer (C8507)</cp:lastModifiedBy>
  <cp:revision>2</cp:revision>
  <cp:lastPrinted>2019-11-04T14:36:00Z</cp:lastPrinted>
  <dcterms:created xsi:type="dcterms:W3CDTF">2019-11-06T22:38:00Z</dcterms:created>
  <dcterms:modified xsi:type="dcterms:W3CDTF">2019-11-06T22:38:00Z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5fea4355-29d6-4890-b5eb-6d2a77152c26</vt:lpwstr>
  </property>
  <property fmtid="{D5CDD505-2E9C-101B-9397-08002B2CF9AE}" pid="3" name="RecoverActionType">
    <vt:lpwstr>edit-document</vt:lpwstr>
  </property>
  <property fmtid="{D5CDD505-2E9C-101B-9397-08002B2CF9AE}" pid="4" name="RecoverXML">
    <vt:lpwstr>C:\Users\C8894\AppData\Local\temp\SOLTMP\SRUMINS\Fri\srumi886.xml</vt:lpwstr>
  </property>
  <property fmtid="{D5CDD505-2E9C-101B-9397-08002B2CF9AE}" pid="5" name="Classification">
    <vt:lpwstr>OFFICIAL</vt:lpwstr>
  </property>
</Properties>
</file>