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10A" w:rsidRDefault="00FD358C">
      <w:bookmarkStart w:id="0" w:name="_GoBack"/>
      <w:bookmarkEnd w:id="0"/>
      <w:r>
        <w:t>Appendix A</w:t>
      </w:r>
    </w:p>
    <w:p w:rsidR="000C2C06" w:rsidRPr="00DF1E3C" w:rsidRDefault="000C2C06" w:rsidP="00954796">
      <w:pPr>
        <w:spacing w:before="120" w:after="120" w:line="271" w:lineRule="auto"/>
        <w:rPr>
          <w:rFonts w:eastAsia="Calibri" w:cs="Arial"/>
          <w:b/>
          <w:color w:val="163D82"/>
          <w:szCs w:val="20"/>
          <w:lang w:eastAsia="en-GB"/>
        </w:rPr>
      </w:pPr>
      <w:r w:rsidRPr="00DF1E3C">
        <w:rPr>
          <w:rFonts w:eastAsia="Calibri" w:cs="Arial"/>
          <w:b/>
          <w:color w:val="163D82"/>
          <w:szCs w:val="20"/>
          <w:lang w:eastAsia="en-GB"/>
        </w:rPr>
        <w:t>Rolling Strategic Plan</w:t>
      </w:r>
      <w:r w:rsidR="00954796">
        <w:rPr>
          <w:rFonts w:eastAsia="Calibri" w:cs="Arial"/>
          <w:b/>
          <w:color w:val="163D82"/>
          <w:szCs w:val="20"/>
          <w:lang w:eastAsia="en-GB"/>
        </w:rPr>
        <w:t xml:space="preserve"> from 2017/18 through to 2021/22</w:t>
      </w:r>
    </w:p>
    <w:tbl>
      <w:tblPr>
        <w:tblW w:w="456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tblLayout w:type="fixed"/>
        <w:tblLook w:val="0000" w:firstRow="0" w:lastRow="0" w:firstColumn="0" w:lastColumn="0" w:noHBand="0" w:noVBand="0"/>
      </w:tblPr>
      <w:tblGrid>
        <w:gridCol w:w="5398"/>
        <w:gridCol w:w="1221"/>
        <w:gridCol w:w="1221"/>
        <w:gridCol w:w="1221"/>
        <w:gridCol w:w="1221"/>
        <w:gridCol w:w="1219"/>
        <w:gridCol w:w="1219"/>
      </w:tblGrid>
      <w:tr w:rsidR="000C2C06" w:rsidRPr="00FA72D5" w:rsidTr="000C2C06">
        <w:trPr>
          <w:tblHeader/>
        </w:trPr>
        <w:tc>
          <w:tcPr>
            <w:tcW w:w="2122" w:type="pct"/>
            <w:shd w:val="clear" w:color="auto" w:fill="163D82"/>
            <w:vAlign w:val="center"/>
          </w:tcPr>
          <w:p w:rsidR="000C2C06" w:rsidRPr="00FA72D5" w:rsidRDefault="000C2C06" w:rsidP="00B7581A">
            <w:pPr>
              <w:spacing w:before="60" w:after="60"/>
              <w:rPr>
                <w:rFonts w:cs="Arial"/>
                <w:b/>
                <w:color w:val="FFFFFF"/>
                <w:sz w:val="16"/>
                <w:szCs w:val="18"/>
              </w:rPr>
            </w:pPr>
            <w:r w:rsidRPr="00FA72D5">
              <w:rPr>
                <w:rFonts w:cs="Arial"/>
                <w:b/>
                <w:color w:val="FFFFFF"/>
                <w:sz w:val="16"/>
                <w:szCs w:val="18"/>
              </w:rPr>
              <w:t xml:space="preserve">Organisational Review Area </w:t>
            </w:r>
          </w:p>
        </w:tc>
        <w:tc>
          <w:tcPr>
            <w:tcW w:w="480" w:type="pct"/>
            <w:shd w:val="clear" w:color="auto" w:fill="163D82"/>
            <w:vAlign w:val="center"/>
          </w:tcPr>
          <w:p w:rsidR="000C2C06" w:rsidRPr="00FA72D5" w:rsidRDefault="000C2C06" w:rsidP="00B7581A">
            <w:pPr>
              <w:spacing w:before="60" w:after="60"/>
              <w:jc w:val="center"/>
              <w:rPr>
                <w:rFonts w:cs="Arial"/>
                <w:b/>
                <w:color w:val="FFFFFF"/>
                <w:sz w:val="16"/>
                <w:szCs w:val="18"/>
              </w:rPr>
            </w:pPr>
            <w:r w:rsidRPr="00FA72D5">
              <w:rPr>
                <w:rFonts w:cs="Arial"/>
                <w:b/>
                <w:color w:val="FFFFFF"/>
                <w:sz w:val="16"/>
                <w:szCs w:val="18"/>
              </w:rPr>
              <w:t>Type</w:t>
            </w:r>
          </w:p>
        </w:tc>
        <w:tc>
          <w:tcPr>
            <w:tcW w:w="480" w:type="pct"/>
            <w:shd w:val="clear" w:color="auto" w:fill="163D82"/>
          </w:tcPr>
          <w:p w:rsidR="000C2C06" w:rsidRPr="00FA72D5" w:rsidRDefault="000C2C06" w:rsidP="00B7581A">
            <w:pPr>
              <w:spacing w:before="60" w:after="60"/>
              <w:jc w:val="center"/>
              <w:rPr>
                <w:rFonts w:cs="Arial"/>
                <w:b/>
                <w:color w:val="FFFFFF"/>
                <w:sz w:val="16"/>
                <w:szCs w:val="18"/>
              </w:rPr>
            </w:pPr>
            <w:r>
              <w:rPr>
                <w:rFonts w:cs="Arial"/>
                <w:b/>
                <w:color w:val="FFFFFF"/>
                <w:sz w:val="16"/>
                <w:szCs w:val="18"/>
              </w:rPr>
              <w:t>2017/18</w:t>
            </w:r>
          </w:p>
        </w:tc>
        <w:tc>
          <w:tcPr>
            <w:tcW w:w="480" w:type="pct"/>
            <w:shd w:val="clear" w:color="auto" w:fill="163D82"/>
            <w:vAlign w:val="center"/>
          </w:tcPr>
          <w:p w:rsidR="000C2C06" w:rsidRPr="00FA72D5" w:rsidRDefault="000C2C06" w:rsidP="00B7581A">
            <w:pPr>
              <w:spacing w:before="60" w:after="60"/>
              <w:jc w:val="center"/>
              <w:rPr>
                <w:rFonts w:cs="Arial"/>
                <w:b/>
                <w:color w:val="FFFFFF"/>
                <w:sz w:val="16"/>
                <w:szCs w:val="18"/>
              </w:rPr>
            </w:pPr>
            <w:r w:rsidRPr="00FA72D5">
              <w:rPr>
                <w:rFonts w:cs="Arial"/>
                <w:b/>
                <w:color w:val="FFFFFF"/>
                <w:sz w:val="16"/>
                <w:szCs w:val="18"/>
              </w:rPr>
              <w:t>2018/19</w:t>
            </w:r>
          </w:p>
        </w:tc>
        <w:tc>
          <w:tcPr>
            <w:tcW w:w="480" w:type="pct"/>
            <w:shd w:val="clear" w:color="auto" w:fill="163D82"/>
            <w:vAlign w:val="center"/>
          </w:tcPr>
          <w:p w:rsidR="000C2C06" w:rsidRPr="00FA72D5" w:rsidRDefault="000C2C06" w:rsidP="00B7581A">
            <w:pPr>
              <w:spacing w:before="60" w:after="60"/>
              <w:jc w:val="center"/>
              <w:rPr>
                <w:rFonts w:cs="Arial"/>
                <w:b/>
                <w:color w:val="FFFFFF"/>
                <w:sz w:val="16"/>
                <w:szCs w:val="18"/>
              </w:rPr>
            </w:pPr>
            <w:r w:rsidRPr="00FA72D5">
              <w:rPr>
                <w:rFonts w:cs="Arial"/>
                <w:b/>
                <w:color w:val="FFFFFF"/>
                <w:sz w:val="16"/>
                <w:szCs w:val="18"/>
              </w:rPr>
              <w:t>2019/20</w:t>
            </w:r>
          </w:p>
        </w:tc>
        <w:tc>
          <w:tcPr>
            <w:tcW w:w="479" w:type="pct"/>
            <w:shd w:val="clear" w:color="auto" w:fill="163D82"/>
            <w:vAlign w:val="center"/>
          </w:tcPr>
          <w:p w:rsidR="000C2C06" w:rsidRPr="00FA72D5" w:rsidRDefault="000C2C06" w:rsidP="00B7581A">
            <w:pPr>
              <w:spacing w:before="60" w:after="60"/>
              <w:jc w:val="center"/>
              <w:rPr>
                <w:rFonts w:cs="Arial"/>
                <w:b/>
                <w:color w:val="FFFFFF"/>
                <w:sz w:val="16"/>
                <w:szCs w:val="18"/>
              </w:rPr>
            </w:pPr>
            <w:r w:rsidRPr="00FA72D5">
              <w:rPr>
                <w:rFonts w:cs="Arial"/>
                <w:b/>
                <w:color w:val="FFFFFF"/>
                <w:sz w:val="16"/>
                <w:szCs w:val="18"/>
              </w:rPr>
              <w:t>2020/21</w:t>
            </w:r>
          </w:p>
        </w:tc>
        <w:tc>
          <w:tcPr>
            <w:tcW w:w="479" w:type="pct"/>
            <w:shd w:val="clear" w:color="auto" w:fill="163D82"/>
            <w:vAlign w:val="center"/>
          </w:tcPr>
          <w:p w:rsidR="000C2C06" w:rsidRPr="00FA72D5" w:rsidRDefault="000C2C06" w:rsidP="00B7581A">
            <w:pPr>
              <w:spacing w:before="60" w:after="60"/>
              <w:jc w:val="center"/>
              <w:rPr>
                <w:rFonts w:cs="Arial"/>
                <w:b/>
                <w:color w:val="FFFFFF"/>
                <w:sz w:val="16"/>
                <w:szCs w:val="18"/>
              </w:rPr>
            </w:pPr>
            <w:r w:rsidRPr="00FA72D5">
              <w:rPr>
                <w:rFonts w:cs="Arial"/>
                <w:b/>
                <w:color w:val="FFFFFF"/>
                <w:sz w:val="16"/>
                <w:szCs w:val="18"/>
              </w:rPr>
              <w:t>2021/22</w:t>
            </w:r>
          </w:p>
        </w:tc>
      </w:tr>
      <w:tr w:rsidR="000C2C06" w:rsidRPr="001A59E6" w:rsidTr="000C2C06">
        <w:tc>
          <w:tcPr>
            <w:tcW w:w="2122" w:type="pct"/>
            <w:shd w:val="clear" w:color="auto" w:fill="D9D9D9"/>
            <w:vAlign w:val="center"/>
          </w:tcPr>
          <w:p w:rsidR="000C2C06" w:rsidRPr="001A59E6" w:rsidRDefault="000C2C06" w:rsidP="00B7581A">
            <w:pPr>
              <w:spacing w:before="60" w:after="60"/>
              <w:rPr>
                <w:rFonts w:cs="Arial"/>
                <w:color w:val="163D82"/>
                <w:sz w:val="18"/>
                <w:szCs w:val="18"/>
              </w:rPr>
            </w:pPr>
            <w:r w:rsidRPr="001A59E6">
              <w:rPr>
                <w:rFonts w:cs="Arial"/>
                <w:b/>
                <w:color w:val="163D82"/>
                <w:sz w:val="18"/>
                <w:szCs w:val="18"/>
              </w:rPr>
              <w:t>Governance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0C2C06" w:rsidRPr="001A59E6" w:rsidRDefault="000C2C06" w:rsidP="00B7581A">
            <w:pPr>
              <w:spacing w:before="60" w:after="60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</w:tcPr>
          <w:p w:rsidR="000C2C06" w:rsidRPr="001A59E6" w:rsidRDefault="000C2C06" w:rsidP="00B7581A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0C2C06" w:rsidRPr="001A59E6" w:rsidRDefault="000C2C06" w:rsidP="00B7581A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0C2C06" w:rsidRPr="001A59E6" w:rsidRDefault="000C2C06" w:rsidP="00B7581A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0C2C06" w:rsidRPr="001A59E6" w:rsidRDefault="000C2C06" w:rsidP="00B7581A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0C2C06" w:rsidRPr="001A59E6" w:rsidRDefault="000C2C06" w:rsidP="00B7581A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C2C06" w:rsidRPr="001A59E6" w:rsidTr="000C2C06">
        <w:tc>
          <w:tcPr>
            <w:tcW w:w="2122" w:type="pct"/>
            <w:shd w:val="clear" w:color="auto" w:fill="F2F2F2" w:themeFill="background1" w:themeFillShade="F2"/>
            <w:vAlign w:val="center"/>
          </w:tcPr>
          <w:p w:rsidR="000C2C06" w:rsidRPr="001A59E6" w:rsidRDefault="000C2C06" w:rsidP="00B7581A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Governance – Transformation and Change Management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0C2C06" w:rsidRPr="001A59E6" w:rsidRDefault="000C2C06" w:rsidP="00B7581A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Assurance</w:t>
            </w:r>
          </w:p>
        </w:tc>
        <w:tc>
          <w:tcPr>
            <w:tcW w:w="480" w:type="pct"/>
            <w:shd w:val="clear" w:color="auto" w:fill="F2F2F2" w:themeFill="background1" w:themeFillShade="F2"/>
          </w:tcPr>
          <w:p w:rsidR="000C2C06" w:rsidRPr="009B6B5E" w:rsidRDefault="000C2C06" w:rsidP="00B64521">
            <w:pPr>
              <w:pStyle w:val="ListParagraph"/>
              <w:spacing w:before="60" w:after="60"/>
              <w:ind w:right="35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0C2C06" w:rsidRPr="009B6B5E" w:rsidRDefault="000C2C06" w:rsidP="000C2C06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0C2C06" w:rsidRPr="001A59E6" w:rsidRDefault="000C2C06" w:rsidP="00B7581A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0C2C06" w:rsidRPr="001A59E6" w:rsidRDefault="000C2C06" w:rsidP="00B7581A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0C2C06" w:rsidRPr="009B6B5E" w:rsidRDefault="000C2C06" w:rsidP="000C2C06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0C2C06" w:rsidRPr="001A59E6" w:rsidTr="000C2C06">
        <w:tc>
          <w:tcPr>
            <w:tcW w:w="2122" w:type="pct"/>
            <w:shd w:val="clear" w:color="auto" w:fill="F2F2F2" w:themeFill="background1" w:themeFillShade="F2"/>
            <w:vAlign w:val="center"/>
          </w:tcPr>
          <w:p w:rsidR="000C2C06" w:rsidRPr="001A59E6" w:rsidRDefault="000C2C06" w:rsidP="00B7581A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Governance – OPCC – SARC review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0C2C06" w:rsidRPr="001A59E6" w:rsidRDefault="000C2C06" w:rsidP="00B7581A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Assurance</w:t>
            </w:r>
          </w:p>
        </w:tc>
        <w:tc>
          <w:tcPr>
            <w:tcW w:w="480" w:type="pct"/>
            <w:shd w:val="clear" w:color="auto" w:fill="F2F2F2" w:themeFill="background1" w:themeFillShade="F2"/>
          </w:tcPr>
          <w:p w:rsidR="000C2C06" w:rsidRPr="009B6B5E" w:rsidRDefault="000C2C06" w:rsidP="00B64521">
            <w:pPr>
              <w:pStyle w:val="ListParagraph"/>
              <w:spacing w:before="60" w:after="60"/>
              <w:ind w:right="35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0C2C06" w:rsidRPr="009B6B5E" w:rsidRDefault="000C2C06" w:rsidP="000C2C06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0C2C06" w:rsidRPr="001A59E6" w:rsidRDefault="000C2C06" w:rsidP="00B7581A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0C2C06" w:rsidRPr="001A59E6" w:rsidRDefault="000C2C06" w:rsidP="00B7581A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0C2C06" w:rsidRPr="009B6B5E" w:rsidRDefault="000C2C06" w:rsidP="000C2C06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0C2C06" w:rsidRPr="001A59E6" w:rsidTr="000C2C06">
        <w:tc>
          <w:tcPr>
            <w:tcW w:w="2122" w:type="pct"/>
            <w:shd w:val="clear" w:color="auto" w:fill="F2F2F2" w:themeFill="background1" w:themeFillShade="F2"/>
            <w:vAlign w:val="center"/>
          </w:tcPr>
          <w:p w:rsidR="000C2C06" w:rsidRPr="001A59E6" w:rsidRDefault="000C2C06" w:rsidP="00B7581A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Governance – Data Quality/Information Governance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0C2C06" w:rsidRPr="001A59E6" w:rsidRDefault="000C2C06" w:rsidP="00B7581A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Assurance</w:t>
            </w:r>
          </w:p>
        </w:tc>
        <w:tc>
          <w:tcPr>
            <w:tcW w:w="480" w:type="pct"/>
            <w:shd w:val="clear" w:color="auto" w:fill="F2F2F2" w:themeFill="background1" w:themeFillShade="F2"/>
          </w:tcPr>
          <w:p w:rsidR="000C2C06" w:rsidRPr="001A59E6" w:rsidRDefault="000C2C06" w:rsidP="00B7581A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0C2C06" w:rsidRPr="001A59E6" w:rsidRDefault="000C2C06" w:rsidP="00B7581A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0C2C06" w:rsidRPr="009B6B5E" w:rsidRDefault="000C2C06" w:rsidP="000C2C06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0C2C06" w:rsidRPr="001A59E6" w:rsidRDefault="000C2C06" w:rsidP="00B7581A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0C2C06" w:rsidRPr="001A59E6" w:rsidRDefault="000C2C06" w:rsidP="00B7581A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0C2C06" w:rsidRPr="001A59E6" w:rsidTr="000C2C06">
        <w:tc>
          <w:tcPr>
            <w:tcW w:w="2122" w:type="pct"/>
            <w:shd w:val="clear" w:color="auto" w:fill="F2F2F2" w:themeFill="background1" w:themeFillShade="F2"/>
            <w:vAlign w:val="center"/>
          </w:tcPr>
          <w:p w:rsidR="000C2C06" w:rsidRPr="001A59E6" w:rsidRDefault="000C2C06" w:rsidP="00B7581A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Governance – Ethical Standards and Embedding Culture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0C2C06" w:rsidRPr="001A59E6" w:rsidRDefault="000C2C06" w:rsidP="00B7581A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Assurance</w:t>
            </w:r>
          </w:p>
        </w:tc>
        <w:tc>
          <w:tcPr>
            <w:tcW w:w="480" w:type="pct"/>
            <w:shd w:val="clear" w:color="auto" w:fill="F2F2F2" w:themeFill="background1" w:themeFillShade="F2"/>
          </w:tcPr>
          <w:p w:rsidR="000C2C06" w:rsidRPr="001A59E6" w:rsidRDefault="000C2C06" w:rsidP="00B7581A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0C2C06" w:rsidRPr="001A59E6" w:rsidRDefault="000C2C06" w:rsidP="00B7581A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0C2C06" w:rsidRPr="009B6B5E" w:rsidRDefault="000C2C06" w:rsidP="000C2C06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0C2C06" w:rsidRPr="001A59E6" w:rsidRDefault="000C2C06" w:rsidP="00B7581A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0C2C06" w:rsidRPr="009B6B5E" w:rsidRDefault="000C2C06" w:rsidP="000C2C06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0C2C06" w:rsidRPr="001A59E6" w:rsidTr="000C2C06">
        <w:tc>
          <w:tcPr>
            <w:tcW w:w="2122" w:type="pct"/>
            <w:shd w:val="clear" w:color="auto" w:fill="F2F2F2" w:themeFill="background1" w:themeFillShade="F2"/>
            <w:vAlign w:val="center"/>
          </w:tcPr>
          <w:p w:rsidR="000C2C06" w:rsidRPr="001A59E6" w:rsidRDefault="000C2C06" w:rsidP="00B7581A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Governance – Performance Management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0C2C06" w:rsidRPr="001A59E6" w:rsidRDefault="000C2C06" w:rsidP="00B7581A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Assurance</w:t>
            </w:r>
          </w:p>
        </w:tc>
        <w:tc>
          <w:tcPr>
            <w:tcW w:w="480" w:type="pct"/>
            <w:shd w:val="clear" w:color="auto" w:fill="F2F2F2" w:themeFill="background1" w:themeFillShade="F2"/>
          </w:tcPr>
          <w:p w:rsidR="000C2C06" w:rsidRPr="001A59E6" w:rsidRDefault="000C2C06" w:rsidP="00B7581A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0C2C06" w:rsidRPr="001A59E6" w:rsidRDefault="000C2C06" w:rsidP="00B7581A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0C2C06" w:rsidRPr="009B6B5E" w:rsidRDefault="000C2C06" w:rsidP="000C2C06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0C2C06" w:rsidRPr="001A59E6" w:rsidRDefault="000C2C06" w:rsidP="00B7581A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0C2C06" w:rsidRPr="001A59E6" w:rsidRDefault="000C2C06" w:rsidP="00B7581A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B64521" w:rsidRPr="001A59E6" w:rsidTr="000C2C06">
        <w:tc>
          <w:tcPr>
            <w:tcW w:w="2122" w:type="pct"/>
            <w:shd w:val="clear" w:color="auto" w:fill="F2F2F2" w:themeFill="background1" w:themeFillShade="F2"/>
            <w:vAlign w:val="center"/>
          </w:tcPr>
          <w:p w:rsidR="00B64521" w:rsidRPr="001A59E6" w:rsidRDefault="00B64521" w:rsidP="00B64521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Governance – Strategic Control and Corporate Governance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B64521" w:rsidRPr="001A59E6" w:rsidRDefault="00B64521" w:rsidP="00B64521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Assurance</w:t>
            </w:r>
          </w:p>
        </w:tc>
        <w:tc>
          <w:tcPr>
            <w:tcW w:w="480" w:type="pct"/>
            <w:shd w:val="clear" w:color="auto" w:fill="F2F2F2" w:themeFill="background1" w:themeFillShade="F2"/>
          </w:tcPr>
          <w:p w:rsidR="00B64521" w:rsidRPr="009B6B5E" w:rsidRDefault="00B64521" w:rsidP="00B64521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B64521" w:rsidRPr="001A59E6" w:rsidRDefault="00B64521" w:rsidP="00B64521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B64521" w:rsidRPr="001A59E6" w:rsidRDefault="00B64521" w:rsidP="00B64521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B64521" w:rsidRPr="009B6B5E" w:rsidRDefault="00B64521" w:rsidP="00B64521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B64521" w:rsidRPr="001A59E6" w:rsidRDefault="00B64521" w:rsidP="00B64521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B64521" w:rsidRPr="001A59E6" w:rsidTr="000C2C06">
        <w:tc>
          <w:tcPr>
            <w:tcW w:w="2122" w:type="pct"/>
            <w:shd w:val="clear" w:color="auto" w:fill="D9D9D9"/>
            <w:vAlign w:val="center"/>
          </w:tcPr>
          <w:p w:rsidR="00B64521" w:rsidRPr="001A59E6" w:rsidRDefault="00B64521" w:rsidP="00B64521">
            <w:pPr>
              <w:spacing w:before="60" w:after="60"/>
              <w:rPr>
                <w:rFonts w:cs="Arial"/>
                <w:color w:val="163D82"/>
                <w:sz w:val="18"/>
                <w:szCs w:val="18"/>
              </w:rPr>
            </w:pPr>
            <w:r w:rsidRPr="001A59E6">
              <w:rPr>
                <w:rFonts w:cs="Arial"/>
                <w:b/>
                <w:color w:val="163D82"/>
                <w:sz w:val="18"/>
                <w:szCs w:val="18"/>
              </w:rPr>
              <w:t>Risk Management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B64521" w:rsidRPr="001A59E6" w:rsidRDefault="00B64521" w:rsidP="00B64521">
            <w:pPr>
              <w:spacing w:before="60" w:after="60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</w:tcPr>
          <w:p w:rsidR="00B64521" w:rsidRPr="001A59E6" w:rsidRDefault="00B64521" w:rsidP="00B64521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B64521" w:rsidRPr="001A59E6" w:rsidRDefault="00B64521" w:rsidP="00B64521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B64521" w:rsidRPr="001A59E6" w:rsidRDefault="00B64521" w:rsidP="00B64521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B64521" w:rsidRPr="001A59E6" w:rsidRDefault="00B64521" w:rsidP="00B64521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B64521" w:rsidRPr="001A59E6" w:rsidRDefault="00B64521" w:rsidP="00B64521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64521" w:rsidRPr="001A59E6" w:rsidTr="000C2C06">
        <w:tc>
          <w:tcPr>
            <w:tcW w:w="2122" w:type="pct"/>
            <w:shd w:val="clear" w:color="auto" w:fill="F2F2F2"/>
            <w:vAlign w:val="center"/>
          </w:tcPr>
          <w:p w:rsidR="00B64521" w:rsidRPr="001A59E6" w:rsidRDefault="00B64521" w:rsidP="00B64521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Risk Management – Mitigating Controls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B64521" w:rsidRPr="001A59E6" w:rsidRDefault="00B64521" w:rsidP="00B64521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Assurance</w:t>
            </w:r>
          </w:p>
        </w:tc>
        <w:tc>
          <w:tcPr>
            <w:tcW w:w="480" w:type="pct"/>
            <w:shd w:val="clear" w:color="auto" w:fill="F2F2F2" w:themeFill="background1" w:themeFillShade="F2"/>
          </w:tcPr>
          <w:p w:rsidR="00B64521" w:rsidRPr="009B6B5E" w:rsidRDefault="00B64521" w:rsidP="00FB2C33">
            <w:pPr>
              <w:pStyle w:val="ListParagraph"/>
              <w:spacing w:before="60" w:after="60"/>
              <w:ind w:right="35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B64521" w:rsidRPr="009B6B5E" w:rsidRDefault="00B64521" w:rsidP="00B64521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B64521" w:rsidRPr="001A59E6" w:rsidRDefault="00B64521" w:rsidP="00B64521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B64521" w:rsidRPr="001A59E6" w:rsidRDefault="00B64521" w:rsidP="00B64521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B64521" w:rsidRPr="001A59E6" w:rsidRDefault="00B64521" w:rsidP="00B64521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B64521" w:rsidRPr="001A59E6" w:rsidTr="000C2C06">
        <w:tc>
          <w:tcPr>
            <w:tcW w:w="2122" w:type="pct"/>
            <w:shd w:val="clear" w:color="auto" w:fill="F2F2F2"/>
            <w:vAlign w:val="center"/>
          </w:tcPr>
          <w:p w:rsidR="00B64521" w:rsidRPr="001A59E6" w:rsidRDefault="00B64521" w:rsidP="00B64521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Risk Management – Strategy/Policy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B64521" w:rsidRPr="001A59E6" w:rsidRDefault="00B64521" w:rsidP="00B64521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Assurance</w:t>
            </w:r>
          </w:p>
        </w:tc>
        <w:tc>
          <w:tcPr>
            <w:tcW w:w="480" w:type="pct"/>
            <w:shd w:val="clear" w:color="auto" w:fill="F2F2F2" w:themeFill="background1" w:themeFillShade="F2"/>
          </w:tcPr>
          <w:p w:rsidR="00B64521" w:rsidRPr="001A59E6" w:rsidRDefault="00B64521" w:rsidP="00B64521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B64521" w:rsidRPr="001A59E6" w:rsidRDefault="00B64521" w:rsidP="00B64521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B64521" w:rsidRPr="001A59E6" w:rsidRDefault="00B64521" w:rsidP="00B64521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B64521" w:rsidRPr="001A59E6" w:rsidRDefault="00B64521" w:rsidP="00B64521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B64521" w:rsidRPr="009B6B5E" w:rsidRDefault="00B64521" w:rsidP="00B64521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B2C33" w:rsidRPr="001A59E6" w:rsidTr="000C2C06">
        <w:tc>
          <w:tcPr>
            <w:tcW w:w="2122" w:type="pct"/>
            <w:shd w:val="clear" w:color="auto" w:fill="F2F2F2"/>
            <w:vAlign w:val="center"/>
          </w:tcPr>
          <w:p w:rsidR="00FB2C33" w:rsidRPr="001A59E6" w:rsidRDefault="00FB2C33" w:rsidP="00FB2C33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Risk Management – Business Continuity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Assurance</w:t>
            </w:r>
          </w:p>
        </w:tc>
        <w:tc>
          <w:tcPr>
            <w:tcW w:w="480" w:type="pct"/>
            <w:shd w:val="clear" w:color="auto" w:fill="F2F2F2" w:themeFill="background1" w:themeFillShade="F2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B2C33" w:rsidRPr="001A59E6" w:rsidTr="000C2C06">
        <w:tc>
          <w:tcPr>
            <w:tcW w:w="2122" w:type="pct"/>
            <w:shd w:val="clear" w:color="auto" w:fill="D9D9D9"/>
            <w:vAlign w:val="center"/>
          </w:tcPr>
          <w:p w:rsidR="00FB2C33" w:rsidRPr="001A59E6" w:rsidRDefault="00FB2C33" w:rsidP="00FB2C33">
            <w:pPr>
              <w:spacing w:before="60" w:after="60"/>
              <w:rPr>
                <w:rFonts w:cs="Arial"/>
                <w:color w:val="163D82"/>
                <w:sz w:val="18"/>
                <w:szCs w:val="18"/>
              </w:rPr>
            </w:pPr>
            <w:r w:rsidRPr="001A59E6">
              <w:rPr>
                <w:rFonts w:cs="Arial"/>
                <w:b/>
                <w:color w:val="163D82"/>
                <w:sz w:val="18"/>
                <w:szCs w:val="18"/>
              </w:rPr>
              <w:t>ICT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B2C33" w:rsidRPr="001A59E6" w:rsidTr="000C2C06">
        <w:tc>
          <w:tcPr>
            <w:tcW w:w="2122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ICT – Network Security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Assurance</w:t>
            </w:r>
          </w:p>
        </w:tc>
        <w:tc>
          <w:tcPr>
            <w:tcW w:w="480" w:type="pct"/>
            <w:shd w:val="clear" w:color="auto" w:fill="F2F2F2" w:themeFill="background1" w:themeFillShade="F2"/>
          </w:tcPr>
          <w:p w:rsidR="00FB2C33" w:rsidRPr="009B6B5E" w:rsidRDefault="00FB2C33" w:rsidP="00FB2C33">
            <w:pPr>
              <w:pStyle w:val="ListParagraph"/>
              <w:spacing w:before="60" w:after="60"/>
              <w:ind w:right="35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B2C33" w:rsidRPr="001A59E6" w:rsidTr="000C2C06">
        <w:tc>
          <w:tcPr>
            <w:tcW w:w="2122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ICT – Firewall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Assurance</w:t>
            </w:r>
          </w:p>
        </w:tc>
        <w:tc>
          <w:tcPr>
            <w:tcW w:w="480" w:type="pct"/>
            <w:shd w:val="clear" w:color="auto" w:fill="F2F2F2" w:themeFill="background1" w:themeFillShade="F2"/>
          </w:tcPr>
          <w:p w:rsidR="00FB2C33" w:rsidRPr="009B6B5E" w:rsidRDefault="00FB2C33" w:rsidP="00FB2C33">
            <w:pPr>
              <w:pStyle w:val="ListParagraph"/>
              <w:spacing w:before="60" w:after="60"/>
              <w:ind w:right="35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B2C33" w:rsidRPr="001A59E6" w:rsidTr="000C2C06">
        <w:tc>
          <w:tcPr>
            <w:tcW w:w="2122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ICT – Disaster Recovery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Assurance</w:t>
            </w:r>
          </w:p>
        </w:tc>
        <w:tc>
          <w:tcPr>
            <w:tcW w:w="480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B2C33" w:rsidRPr="001A59E6" w:rsidTr="000C2C06">
        <w:tc>
          <w:tcPr>
            <w:tcW w:w="2122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ICT – Data Assurance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Assurance</w:t>
            </w:r>
          </w:p>
        </w:tc>
        <w:tc>
          <w:tcPr>
            <w:tcW w:w="480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B2C33" w:rsidRPr="001A59E6" w:rsidTr="000C2C06">
        <w:tc>
          <w:tcPr>
            <w:tcW w:w="2122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ICT – Cyber Security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Assurance</w:t>
            </w:r>
          </w:p>
        </w:tc>
        <w:tc>
          <w:tcPr>
            <w:tcW w:w="480" w:type="pct"/>
            <w:shd w:val="clear" w:color="auto" w:fill="F2F2F2" w:themeFill="background1" w:themeFillShade="F2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B2C33" w:rsidRPr="001A59E6" w:rsidTr="000C2C06">
        <w:tc>
          <w:tcPr>
            <w:tcW w:w="2122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ICT – Business Continuity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Assurance</w:t>
            </w:r>
          </w:p>
        </w:tc>
        <w:tc>
          <w:tcPr>
            <w:tcW w:w="480" w:type="pct"/>
            <w:shd w:val="clear" w:color="auto" w:fill="F2F2F2" w:themeFill="background1" w:themeFillShade="F2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B2C33" w:rsidRPr="001A59E6" w:rsidTr="000C2C06">
        <w:tc>
          <w:tcPr>
            <w:tcW w:w="2122" w:type="pct"/>
            <w:shd w:val="clear" w:color="auto" w:fill="D9D9D9"/>
          </w:tcPr>
          <w:p w:rsidR="00FB2C33" w:rsidRPr="001A59E6" w:rsidRDefault="00FB2C33" w:rsidP="00FB2C33">
            <w:pPr>
              <w:spacing w:before="60" w:after="60"/>
              <w:rPr>
                <w:rFonts w:cs="Arial"/>
                <w:color w:val="163D82"/>
                <w:sz w:val="18"/>
                <w:szCs w:val="18"/>
              </w:rPr>
            </w:pPr>
            <w:r w:rsidRPr="001A59E6">
              <w:rPr>
                <w:rFonts w:cs="Arial"/>
                <w:b/>
                <w:color w:val="163D82"/>
                <w:sz w:val="18"/>
                <w:szCs w:val="18"/>
              </w:rPr>
              <w:t>Finance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B2C33" w:rsidRPr="001A59E6" w:rsidTr="000C2C06">
        <w:tc>
          <w:tcPr>
            <w:tcW w:w="2122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Key Financial Controls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Assurance</w:t>
            </w:r>
          </w:p>
        </w:tc>
        <w:tc>
          <w:tcPr>
            <w:tcW w:w="480" w:type="pct"/>
            <w:shd w:val="clear" w:color="auto" w:fill="F2F2F2" w:themeFill="background1" w:themeFillShade="F2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B2C33" w:rsidRPr="001A59E6" w:rsidTr="000C2C06">
        <w:tc>
          <w:tcPr>
            <w:tcW w:w="2122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Budgetary Control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Assurance</w:t>
            </w:r>
          </w:p>
        </w:tc>
        <w:tc>
          <w:tcPr>
            <w:tcW w:w="480" w:type="pct"/>
            <w:shd w:val="clear" w:color="auto" w:fill="F2F2F2" w:themeFill="background1" w:themeFillShade="F2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B2C33" w:rsidRPr="001A59E6" w:rsidTr="000C2C06">
        <w:tc>
          <w:tcPr>
            <w:tcW w:w="2122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Payroll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Assurance</w:t>
            </w:r>
          </w:p>
        </w:tc>
        <w:tc>
          <w:tcPr>
            <w:tcW w:w="480" w:type="pct"/>
            <w:shd w:val="clear" w:color="auto" w:fill="F2F2F2" w:themeFill="background1" w:themeFillShade="F2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B2C33" w:rsidRPr="001A59E6" w:rsidTr="000C2C06">
        <w:tc>
          <w:tcPr>
            <w:tcW w:w="2122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lastRenderedPageBreak/>
              <w:t>Overtime, Expenses and Additional Payments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Compliance</w:t>
            </w:r>
          </w:p>
        </w:tc>
        <w:tc>
          <w:tcPr>
            <w:tcW w:w="480" w:type="pct"/>
            <w:shd w:val="clear" w:color="auto" w:fill="F2F2F2" w:themeFill="background1" w:themeFillShade="F2"/>
          </w:tcPr>
          <w:p w:rsidR="00FB2C33" w:rsidRPr="009B6B5E" w:rsidRDefault="00FB2C33" w:rsidP="00FB2C33">
            <w:pPr>
              <w:pStyle w:val="ListParagraph"/>
              <w:spacing w:before="60" w:after="60"/>
              <w:ind w:right="35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B2C33" w:rsidRPr="001A59E6" w:rsidTr="000C2C06">
        <w:tc>
          <w:tcPr>
            <w:tcW w:w="2122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Pensions Administration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Assurance</w:t>
            </w:r>
          </w:p>
        </w:tc>
        <w:tc>
          <w:tcPr>
            <w:tcW w:w="480" w:type="pct"/>
            <w:shd w:val="clear" w:color="auto" w:fill="F2F2F2" w:themeFill="background1" w:themeFillShade="F2"/>
          </w:tcPr>
          <w:p w:rsidR="00FB2C33" w:rsidRPr="009B6B5E" w:rsidRDefault="00FB2C33" w:rsidP="00FB2C33">
            <w:pPr>
              <w:pStyle w:val="ListParagraph"/>
              <w:spacing w:before="60" w:after="60"/>
              <w:ind w:right="35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B2C33" w:rsidRPr="001A59E6" w:rsidTr="000C2C06">
        <w:tc>
          <w:tcPr>
            <w:tcW w:w="2122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Accounts Payable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Compliance</w:t>
            </w:r>
          </w:p>
        </w:tc>
        <w:tc>
          <w:tcPr>
            <w:tcW w:w="480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B2C33" w:rsidRPr="001A59E6" w:rsidTr="000C2C06">
        <w:tc>
          <w:tcPr>
            <w:tcW w:w="2122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Purchase Cards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Assurance</w:t>
            </w:r>
          </w:p>
        </w:tc>
        <w:tc>
          <w:tcPr>
            <w:tcW w:w="480" w:type="pct"/>
            <w:shd w:val="clear" w:color="auto" w:fill="F2F2F2" w:themeFill="background1" w:themeFillShade="F2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B2C33" w:rsidRPr="001A59E6" w:rsidTr="000C2C06">
        <w:tc>
          <w:tcPr>
            <w:tcW w:w="2122" w:type="pct"/>
            <w:shd w:val="clear" w:color="auto" w:fill="D9D9D9"/>
          </w:tcPr>
          <w:p w:rsidR="00FB2C33" w:rsidRPr="001A59E6" w:rsidRDefault="00FB2C33" w:rsidP="00FB2C33">
            <w:pPr>
              <w:spacing w:before="60" w:after="60"/>
              <w:rPr>
                <w:rFonts w:cs="Arial"/>
                <w:color w:val="163D82"/>
                <w:sz w:val="18"/>
                <w:szCs w:val="18"/>
              </w:rPr>
            </w:pPr>
            <w:r w:rsidRPr="001A59E6">
              <w:rPr>
                <w:rFonts w:cs="Arial"/>
                <w:b/>
                <w:color w:val="163D82"/>
                <w:sz w:val="18"/>
                <w:szCs w:val="18"/>
              </w:rPr>
              <w:t>Estate Management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B2C33" w:rsidRPr="001A59E6" w:rsidTr="000C2C06">
        <w:tc>
          <w:tcPr>
            <w:tcW w:w="2122" w:type="pct"/>
            <w:shd w:val="clear" w:color="auto" w:fill="F2F2F2"/>
            <w:vAlign w:val="center"/>
          </w:tcPr>
          <w:p w:rsidR="00FB2C33" w:rsidRPr="001A59E6" w:rsidRDefault="00FB2C33" w:rsidP="00FB2C33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Estate Management - Procurement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Assurance</w:t>
            </w:r>
          </w:p>
        </w:tc>
        <w:tc>
          <w:tcPr>
            <w:tcW w:w="480" w:type="pct"/>
            <w:shd w:val="clear" w:color="auto" w:fill="F2F2F2" w:themeFill="background1" w:themeFillShade="F2"/>
          </w:tcPr>
          <w:p w:rsidR="00FB2C33" w:rsidRPr="009B6B5E" w:rsidRDefault="00FB2C33" w:rsidP="00FB2C33">
            <w:pPr>
              <w:pStyle w:val="ListParagraph"/>
              <w:spacing w:before="60" w:after="60"/>
              <w:ind w:right="35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B2C33" w:rsidRPr="001A59E6" w:rsidTr="000C2C06">
        <w:tc>
          <w:tcPr>
            <w:tcW w:w="2122" w:type="pct"/>
            <w:shd w:val="clear" w:color="auto" w:fill="F2F2F2"/>
            <w:vAlign w:val="center"/>
          </w:tcPr>
          <w:p w:rsidR="00FB2C33" w:rsidRPr="001A59E6" w:rsidRDefault="00FB2C33" w:rsidP="00FB2C33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Estate Management – Maintenance and Repairs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Assurance</w:t>
            </w:r>
          </w:p>
        </w:tc>
        <w:tc>
          <w:tcPr>
            <w:tcW w:w="480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B2C33" w:rsidRPr="001A59E6" w:rsidTr="000C2C06">
        <w:tc>
          <w:tcPr>
            <w:tcW w:w="2122" w:type="pct"/>
            <w:shd w:val="clear" w:color="auto" w:fill="F2F2F2"/>
            <w:vAlign w:val="center"/>
          </w:tcPr>
          <w:p w:rsidR="00FB2C33" w:rsidRPr="001A59E6" w:rsidRDefault="00FB2C33" w:rsidP="00FB2C33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Estate Management - Strategy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Appraisal</w:t>
            </w:r>
          </w:p>
        </w:tc>
        <w:tc>
          <w:tcPr>
            <w:tcW w:w="480" w:type="pct"/>
            <w:shd w:val="clear" w:color="auto" w:fill="F2F2F2" w:themeFill="background1" w:themeFillShade="F2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B2C33" w:rsidRPr="001A59E6" w:rsidTr="000C2C06">
        <w:tc>
          <w:tcPr>
            <w:tcW w:w="2122" w:type="pct"/>
            <w:shd w:val="clear" w:color="auto" w:fill="D9D9D9"/>
            <w:vAlign w:val="center"/>
          </w:tcPr>
          <w:p w:rsidR="00FB2C33" w:rsidRPr="001A59E6" w:rsidRDefault="00FB2C33" w:rsidP="00FB2C33">
            <w:pPr>
              <w:spacing w:before="60" w:after="60"/>
              <w:rPr>
                <w:rFonts w:cs="Arial"/>
                <w:color w:val="163D82"/>
                <w:sz w:val="18"/>
                <w:szCs w:val="18"/>
              </w:rPr>
            </w:pPr>
            <w:r w:rsidRPr="001A59E6">
              <w:rPr>
                <w:rFonts w:cs="Arial"/>
                <w:b/>
                <w:color w:val="163D82"/>
                <w:sz w:val="18"/>
                <w:szCs w:val="18"/>
              </w:rPr>
              <w:t>Fleet Management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B2C33" w:rsidRPr="001A59E6" w:rsidTr="000C2C06">
        <w:tc>
          <w:tcPr>
            <w:tcW w:w="2122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Fleet Management - Procurement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Assurance</w:t>
            </w:r>
          </w:p>
        </w:tc>
        <w:tc>
          <w:tcPr>
            <w:tcW w:w="480" w:type="pct"/>
            <w:shd w:val="clear" w:color="auto" w:fill="F2F2F2" w:themeFill="background1" w:themeFillShade="F2"/>
          </w:tcPr>
          <w:p w:rsidR="00FB2C33" w:rsidRPr="009B6B5E" w:rsidRDefault="00FB2C33" w:rsidP="00FB2C33">
            <w:pPr>
              <w:pStyle w:val="ListParagraph"/>
              <w:spacing w:before="60" w:after="60"/>
              <w:ind w:right="35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B2C33" w:rsidRPr="001A59E6" w:rsidTr="000C2C06">
        <w:tc>
          <w:tcPr>
            <w:tcW w:w="2122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Fleet Management – Maintenance, Repairs, Disposal &amp; Fuel Use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Assurance</w:t>
            </w:r>
          </w:p>
        </w:tc>
        <w:tc>
          <w:tcPr>
            <w:tcW w:w="480" w:type="pct"/>
            <w:shd w:val="clear" w:color="auto" w:fill="F2F2F2" w:themeFill="background1" w:themeFillShade="F2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B2C33" w:rsidRPr="001A59E6" w:rsidTr="000C2C06">
        <w:tc>
          <w:tcPr>
            <w:tcW w:w="2122" w:type="pct"/>
            <w:shd w:val="clear" w:color="auto" w:fill="D9D9D9" w:themeFill="background1" w:themeFillShade="D9"/>
            <w:vAlign w:val="center"/>
          </w:tcPr>
          <w:p w:rsidR="00FB2C33" w:rsidRPr="001A59E6" w:rsidRDefault="00FB2C33" w:rsidP="00FB2C33">
            <w:pPr>
              <w:spacing w:before="60" w:after="60"/>
              <w:rPr>
                <w:rFonts w:cs="Arial"/>
                <w:color w:val="163D82"/>
                <w:sz w:val="18"/>
                <w:szCs w:val="18"/>
              </w:rPr>
            </w:pPr>
            <w:r w:rsidRPr="001A59E6">
              <w:rPr>
                <w:rFonts w:cs="Arial"/>
                <w:b/>
                <w:color w:val="163D82"/>
                <w:sz w:val="18"/>
                <w:szCs w:val="18"/>
              </w:rPr>
              <w:t>HR Management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B2C33" w:rsidRPr="001A59E6" w:rsidTr="000C2C06">
        <w:tc>
          <w:tcPr>
            <w:tcW w:w="2122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HR Management – Recruitment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Assurance</w:t>
            </w:r>
          </w:p>
        </w:tc>
        <w:tc>
          <w:tcPr>
            <w:tcW w:w="480" w:type="pct"/>
            <w:shd w:val="clear" w:color="auto" w:fill="F2F2F2" w:themeFill="background1" w:themeFillShade="F2"/>
          </w:tcPr>
          <w:p w:rsidR="00FB2C33" w:rsidRPr="009B6B5E" w:rsidRDefault="00FB2C33" w:rsidP="00FB2C33">
            <w:pPr>
              <w:pStyle w:val="ListParagraph"/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B2C33" w:rsidRPr="001A59E6" w:rsidTr="000C2C06">
        <w:tc>
          <w:tcPr>
            <w:tcW w:w="2122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HR Management – Learning and Development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Assurance</w:t>
            </w:r>
          </w:p>
        </w:tc>
        <w:tc>
          <w:tcPr>
            <w:tcW w:w="480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B2C33" w:rsidRPr="001A59E6" w:rsidTr="000C2C06">
        <w:tc>
          <w:tcPr>
            <w:tcW w:w="2122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HR Management – Absence Management &amp; Occupational Health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Assurance</w:t>
            </w:r>
          </w:p>
        </w:tc>
        <w:tc>
          <w:tcPr>
            <w:tcW w:w="480" w:type="pct"/>
            <w:shd w:val="clear" w:color="auto" w:fill="F2F2F2" w:themeFill="background1" w:themeFillShade="F2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B2C33" w:rsidRPr="001A59E6" w:rsidTr="000C2C06">
        <w:tc>
          <w:tcPr>
            <w:tcW w:w="2122" w:type="pct"/>
            <w:shd w:val="clear" w:color="auto" w:fill="D9D9D9" w:themeFill="background1" w:themeFillShade="D9"/>
            <w:vAlign w:val="center"/>
          </w:tcPr>
          <w:p w:rsidR="00FB2C33" w:rsidRPr="001A59E6" w:rsidRDefault="00FB2C33" w:rsidP="00FB2C33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1A59E6">
              <w:rPr>
                <w:rFonts w:cs="Arial"/>
                <w:b/>
                <w:color w:val="163D82"/>
                <w:sz w:val="18"/>
                <w:szCs w:val="18"/>
              </w:rPr>
              <w:t>Services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B2C33" w:rsidRPr="001A59E6" w:rsidTr="000C2C06">
        <w:tc>
          <w:tcPr>
            <w:tcW w:w="2122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Seized Cash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Compliance</w:t>
            </w:r>
          </w:p>
        </w:tc>
        <w:tc>
          <w:tcPr>
            <w:tcW w:w="480" w:type="pct"/>
            <w:shd w:val="clear" w:color="auto" w:fill="F2F2F2" w:themeFill="background1" w:themeFillShade="F2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B2C33" w:rsidRPr="001A59E6" w:rsidTr="000C2C06">
        <w:tc>
          <w:tcPr>
            <w:tcW w:w="2122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Lone Working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Assurance</w:t>
            </w:r>
          </w:p>
        </w:tc>
        <w:tc>
          <w:tcPr>
            <w:tcW w:w="480" w:type="pct"/>
            <w:shd w:val="clear" w:color="auto" w:fill="F2F2F2" w:themeFill="background1" w:themeFillShade="F2"/>
          </w:tcPr>
          <w:p w:rsidR="00FB2C33" w:rsidRPr="009B6B5E" w:rsidRDefault="00FB2C33" w:rsidP="00FB2C33">
            <w:pPr>
              <w:pStyle w:val="ListParagraph"/>
              <w:spacing w:before="60" w:after="60"/>
              <w:ind w:right="35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B2C33" w:rsidRPr="001A59E6" w:rsidTr="000C2C06">
        <w:tc>
          <w:tcPr>
            <w:tcW w:w="2122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Duty Management System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Assurance</w:t>
            </w:r>
          </w:p>
        </w:tc>
        <w:tc>
          <w:tcPr>
            <w:tcW w:w="480" w:type="pct"/>
            <w:shd w:val="clear" w:color="auto" w:fill="F2F2F2" w:themeFill="background1" w:themeFillShade="F2"/>
          </w:tcPr>
          <w:p w:rsidR="00FB2C33" w:rsidRPr="009B6B5E" w:rsidRDefault="00FB2C33" w:rsidP="00FB2C33">
            <w:pPr>
              <w:pStyle w:val="ListParagraph"/>
              <w:spacing w:before="60" w:after="60"/>
              <w:ind w:right="35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B2C33" w:rsidRPr="001A59E6" w:rsidTr="000C2C06">
        <w:tc>
          <w:tcPr>
            <w:tcW w:w="2122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Digital Data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Assurance</w:t>
            </w:r>
          </w:p>
        </w:tc>
        <w:tc>
          <w:tcPr>
            <w:tcW w:w="480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B2C33" w:rsidRPr="001A59E6" w:rsidTr="000C2C06">
        <w:tc>
          <w:tcPr>
            <w:tcW w:w="2122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Commissioners Grants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Assurance</w:t>
            </w:r>
          </w:p>
        </w:tc>
        <w:tc>
          <w:tcPr>
            <w:tcW w:w="480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B2C33" w:rsidRPr="001A59E6" w:rsidTr="000C2C06">
        <w:tc>
          <w:tcPr>
            <w:tcW w:w="2122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Proceeds of Crime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Assurance</w:t>
            </w:r>
          </w:p>
        </w:tc>
        <w:tc>
          <w:tcPr>
            <w:tcW w:w="480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B2C33" w:rsidRPr="001A59E6" w:rsidTr="000C2C06">
        <w:tc>
          <w:tcPr>
            <w:tcW w:w="2122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Collaborations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Appraisal</w:t>
            </w:r>
          </w:p>
        </w:tc>
        <w:tc>
          <w:tcPr>
            <w:tcW w:w="480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B2C33" w:rsidRPr="001A59E6" w:rsidTr="000C2C06">
        <w:tc>
          <w:tcPr>
            <w:tcW w:w="2122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lastRenderedPageBreak/>
              <w:t>Corporate Communications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Appraisal</w:t>
            </w:r>
          </w:p>
        </w:tc>
        <w:tc>
          <w:tcPr>
            <w:tcW w:w="480" w:type="pct"/>
            <w:shd w:val="clear" w:color="auto" w:fill="F2F2F2" w:themeFill="background1" w:themeFillShade="F2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B2C33" w:rsidRPr="001A59E6" w:rsidTr="000C2C06">
        <w:tc>
          <w:tcPr>
            <w:tcW w:w="2122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FOI/Data Protection/Document Security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Assurance</w:t>
            </w:r>
          </w:p>
        </w:tc>
        <w:tc>
          <w:tcPr>
            <w:tcW w:w="480" w:type="pct"/>
            <w:shd w:val="clear" w:color="auto" w:fill="F2F2F2" w:themeFill="background1" w:themeFillShade="F2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B2C33" w:rsidRPr="001A59E6" w:rsidTr="000C2C06">
        <w:tc>
          <w:tcPr>
            <w:tcW w:w="2122" w:type="pct"/>
            <w:shd w:val="clear" w:color="auto" w:fill="F2F2F2" w:themeFill="background1" w:themeFillShade="F2"/>
            <w:vAlign w:val="center"/>
          </w:tcPr>
          <w:p w:rsidR="00FB2C33" w:rsidRDefault="00FB2C33" w:rsidP="00FB2C33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HMICFRS AFI Implementation by Force Review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Advisory</w:t>
            </w:r>
          </w:p>
        </w:tc>
        <w:tc>
          <w:tcPr>
            <w:tcW w:w="480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B2C33" w:rsidRPr="001A59E6" w:rsidTr="000C2C06">
        <w:tc>
          <w:tcPr>
            <w:tcW w:w="2122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Contingency- Audits</w:t>
            </w: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 w:themeColor="text1"/>
                <w:sz w:val="18"/>
                <w:szCs w:val="18"/>
              </w:rPr>
              <w:t>that flow</w:t>
            </w: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 xml:space="preserve"> from the Force’s Corporate Risk Register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Assurance</w:t>
            </w:r>
          </w:p>
        </w:tc>
        <w:tc>
          <w:tcPr>
            <w:tcW w:w="480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B2C33" w:rsidRPr="001A59E6" w:rsidTr="000C2C06">
        <w:tc>
          <w:tcPr>
            <w:tcW w:w="2122" w:type="pct"/>
            <w:shd w:val="clear" w:color="auto" w:fill="D9D9D9"/>
            <w:vAlign w:val="center"/>
          </w:tcPr>
          <w:p w:rsidR="00FB2C33" w:rsidRPr="001A59E6" w:rsidRDefault="00FB2C33" w:rsidP="00FB2C33">
            <w:pPr>
              <w:spacing w:before="60" w:after="60"/>
              <w:rPr>
                <w:rFonts w:cs="Arial"/>
                <w:color w:val="163D82"/>
                <w:sz w:val="18"/>
                <w:szCs w:val="18"/>
              </w:rPr>
            </w:pPr>
            <w:r w:rsidRPr="001A59E6">
              <w:rPr>
                <w:rFonts w:cs="Arial"/>
                <w:b/>
                <w:color w:val="163D82"/>
                <w:sz w:val="18"/>
                <w:szCs w:val="18"/>
              </w:rPr>
              <w:t>Management and Planning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FB2C33" w:rsidRPr="001A59E6" w:rsidRDefault="00FB2C33" w:rsidP="00FB2C33">
            <w:pPr>
              <w:spacing w:before="60" w:after="60"/>
              <w:ind w:right="35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B2C33" w:rsidRPr="001A59E6" w:rsidTr="000C2C06">
        <w:tc>
          <w:tcPr>
            <w:tcW w:w="2122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Follow up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F/Up</w:t>
            </w:r>
          </w:p>
        </w:tc>
        <w:tc>
          <w:tcPr>
            <w:tcW w:w="480" w:type="pct"/>
            <w:shd w:val="clear" w:color="auto" w:fill="F2F2F2" w:themeFill="background1" w:themeFillShade="F2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B2C33" w:rsidRPr="001A59E6" w:rsidTr="000C2C06">
        <w:tc>
          <w:tcPr>
            <w:tcW w:w="2122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Strategic and Annual Plan 2019/20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B2C33" w:rsidRPr="001A59E6" w:rsidTr="000C2C06">
        <w:tc>
          <w:tcPr>
            <w:tcW w:w="2122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Annual Report 2019/20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FB2C33" w:rsidRPr="001A59E6" w:rsidTr="000C2C06">
        <w:tc>
          <w:tcPr>
            <w:tcW w:w="2122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rPr>
                <w:rFonts w:cs="Arial"/>
                <w:color w:val="000000" w:themeColor="text1"/>
                <w:sz w:val="18"/>
                <w:szCs w:val="18"/>
              </w:rPr>
            </w:pPr>
            <w:r w:rsidRPr="001A59E6">
              <w:rPr>
                <w:rFonts w:cs="Arial"/>
                <w:color w:val="000000" w:themeColor="text1"/>
                <w:sz w:val="18"/>
                <w:szCs w:val="18"/>
              </w:rPr>
              <w:t>Audit Management</w:t>
            </w: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1A59E6" w:rsidRDefault="00FB2C33" w:rsidP="00FB2C33">
            <w:pPr>
              <w:spacing w:before="60" w:after="6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F2F2F2" w:themeFill="background1" w:themeFillShade="F2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pct"/>
            <w:shd w:val="clear" w:color="auto" w:fill="9CC2E5" w:themeFill="accent1" w:themeFillTint="99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79" w:type="pct"/>
            <w:shd w:val="clear" w:color="auto" w:fill="F2F2F2" w:themeFill="background1" w:themeFillShade="F2"/>
          </w:tcPr>
          <w:p w:rsidR="00FB2C33" w:rsidRPr="009B6B5E" w:rsidRDefault="00FB2C33" w:rsidP="00FB2C33">
            <w:pPr>
              <w:pStyle w:val="ListParagraph"/>
              <w:numPr>
                <w:ilvl w:val="0"/>
                <w:numId w:val="1"/>
              </w:numPr>
              <w:spacing w:before="60" w:after="60"/>
              <w:ind w:right="35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</w:tbl>
    <w:p w:rsidR="000C2C06" w:rsidRDefault="000C2C06"/>
    <w:sectPr w:rsidR="000C2C06" w:rsidSect="000C2C0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6E44C9"/>
    <w:multiLevelType w:val="hybridMultilevel"/>
    <w:tmpl w:val="59323B0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LastOpened" w:val="06/11/2019 22:52"/>
  </w:docVars>
  <w:rsids>
    <w:rsidRoot w:val="000C2C06"/>
    <w:rsid w:val="000C2C06"/>
    <w:rsid w:val="0013158D"/>
    <w:rsid w:val="003D0640"/>
    <w:rsid w:val="006421D1"/>
    <w:rsid w:val="00954796"/>
    <w:rsid w:val="00B64521"/>
    <w:rsid w:val="00EA488D"/>
    <w:rsid w:val="00FA70C9"/>
    <w:rsid w:val="00FB2C33"/>
    <w:rsid w:val="00FD3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DEF101-28A4-4100-B9C3-AED53956B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2C06"/>
    <w:pPr>
      <w:spacing w:after="0" w:line="240" w:lineRule="auto"/>
    </w:pPr>
    <w:rPr>
      <w:rFonts w:ascii="Arial" w:eastAsia="SimSun" w:hAnsi="Arial" w:cs="Times New Roman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C2C06"/>
    <w:pPr>
      <w:spacing w:before="120" w:after="120"/>
      <w:ind w:left="720"/>
      <w:jc w:val="both"/>
    </w:pPr>
    <w:rPr>
      <w:rFonts w:eastAsia="Calibri"/>
      <w:sz w:val="20"/>
      <w:szCs w:val="22"/>
      <w:lang w:eastAsia="en-US"/>
    </w:rPr>
  </w:style>
  <w:style w:type="character" w:customStyle="1" w:styleId="ListParagraphChar">
    <w:name w:val="List Paragraph Char"/>
    <w:link w:val="ListParagraph"/>
    <w:uiPriority w:val="34"/>
    <w:rsid w:val="000C2C06"/>
    <w:rPr>
      <w:rFonts w:ascii="Arial" w:eastAsia="Calibri" w:hAnsi="Arial" w:cs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47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796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TIAA LTD</Company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Harris</dc:creator>
  <cp:keywords/>
  <dc:description/>
  <cp:lastModifiedBy>YATES, Jennifer (C8507)</cp:lastModifiedBy>
  <cp:revision>2</cp:revision>
  <cp:lastPrinted>2019-10-23T11:21:00Z</cp:lastPrinted>
  <dcterms:created xsi:type="dcterms:W3CDTF">2019-11-06T22:52:00Z</dcterms:created>
  <dcterms:modified xsi:type="dcterms:W3CDTF">2019-11-06T22:52:00Z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88098f5a-6ccc-4f1e-bfde-7570368b35b6</vt:lpwstr>
  </property>
  <property fmtid="{D5CDD505-2E9C-101B-9397-08002B2CF9AE}" pid="3" name="Classification">
    <vt:lpwstr>OFFICIAL</vt:lpwstr>
  </property>
</Properties>
</file>