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5EB" w:rsidRDefault="00EE05EB" w:rsidP="00EE05EB">
      <w:bookmarkStart w:id="0" w:name="_GoBack"/>
      <w:bookmarkEnd w:id="0"/>
    </w:p>
    <w:p w:rsidR="00EE05EB" w:rsidRDefault="00EE05EB" w:rsidP="00EE05EB">
      <w:pPr>
        <w:widowControl w:val="0"/>
        <w:jc w:val="right"/>
        <w:rPr>
          <w:rFonts w:ascii="Tahoma" w:hAnsi="Tahoma" w:cs="Tahoma"/>
          <w:b/>
          <w:bCs/>
        </w:rPr>
      </w:pPr>
      <w:r>
        <w:rPr>
          <w:noProof/>
        </w:rPr>
        <w:drawing>
          <wp:anchor distT="36576" distB="36576" distL="36576" distR="36576" simplePos="0" relativeHeight="251658240" behindDoc="0" locked="0" layoutInCell="1" allowOverlap="1">
            <wp:simplePos x="0" y="0"/>
            <wp:positionH relativeFrom="column">
              <wp:posOffset>0</wp:posOffset>
            </wp:positionH>
            <wp:positionV relativeFrom="paragraph">
              <wp:posOffset>-457200</wp:posOffset>
            </wp:positionV>
            <wp:extent cx="1959610" cy="1697355"/>
            <wp:effectExtent l="0" t="0" r="2540" b="0"/>
            <wp:wrapNone/>
            <wp:docPr id="1" name="Picture 1" descr="PCCC - M on 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CC - M on W"/>
                    <pic:cNvPicPr>
                      <a:picLocks noChangeAspect="1" noChangeArrowheads="1"/>
                    </pic:cNvPicPr>
                  </pic:nvPicPr>
                  <pic:blipFill>
                    <a:blip r:embed="rId7" cstate="print">
                      <a:extLst>
                        <a:ext uri="{28A0092B-C50C-407E-A947-70E740481C1C}">
                          <a14:useLocalDpi xmlns:a14="http://schemas.microsoft.com/office/drawing/2010/main" val="0"/>
                        </a:ext>
                      </a:extLst>
                    </a:blip>
                    <a:srcRect l="27942" r="26082" b="485"/>
                    <a:stretch>
                      <a:fillRect/>
                    </a:stretch>
                  </pic:blipFill>
                  <pic:spPr bwMode="auto">
                    <a:xfrm>
                      <a:off x="0" y="0"/>
                      <a:ext cx="1959610" cy="169735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EE05EB" w:rsidRDefault="00EE05EB" w:rsidP="00EE05EB">
      <w:pPr>
        <w:widowControl w:val="0"/>
        <w:jc w:val="right"/>
        <w:rPr>
          <w:rFonts w:ascii="Tahoma" w:hAnsi="Tahoma" w:cs="Tahoma"/>
          <w:b/>
          <w:bCs/>
          <w:sz w:val="20"/>
          <w:szCs w:val="20"/>
        </w:rPr>
      </w:pPr>
    </w:p>
    <w:p w:rsidR="00EE05EB" w:rsidRDefault="00EE05EB" w:rsidP="00EE05EB">
      <w:pPr>
        <w:widowControl w:val="0"/>
        <w:rPr>
          <w:rFonts w:ascii="Tahoma" w:hAnsi="Tahoma" w:cs="Tahoma"/>
          <w:b/>
          <w:sz w:val="20"/>
          <w:szCs w:val="20"/>
        </w:rPr>
      </w:pPr>
      <w:r>
        <w:rPr>
          <w:rFonts w:ascii="Tahoma" w:hAnsi="Tahoma" w:cs="Tahoma"/>
          <w:b/>
          <w:bCs/>
          <w:sz w:val="20"/>
          <w:szCs w:val="20"/>
        </w:rPr>
        <w:t xml:space="preserve">                                                                                                                 </w:t>
      </w:r>
      <w:r>
        <w:rPr>
          <w:rFonts w:ascii="Tahoma" w:hAnsi="Tahoma" w:cs="Tahoma"/>
          <w:b/>
          <w:sz w:val="20"/>
          <w:szCs w:val="20"/>
        </w:rPr>
        <w:t xml:space="preserve"> </w:t>
      </w:r>
    </w:p>
    <w:p w:rsidR="00EE05EB" w:rsidRDefault="00EE05EB" w:rsidP="00EE05EB">
      <w:pPr>
        <w:widowControl w:val="0"/>
        <w:rPr>
          <w:rFonts w:ascii="Tahoma" w:hAnsi="Tahoma" w:cs="Tahoma"/>
          <w:b/>
          <w:sz w:val="20"/>
          <w:szCs w:val="20"/>
        </w:rPr>
      </w:pPr>
    </w:p>
    <w:p w:rsidR="000705E8" w:rsidRDefault="000705E8" w:rsidP="00EE05EB">
      <w:pPr>
        <w:widowControl w:val="0"/>
        <w:rPr>
          <w:rFonts w:ascii="Tahoma" w:hAnsi="Tahoma" w:cs="Tahoma"/>
          <w:b/>
          <w:sz w:val="20"/>
          <w:szCs w:val="20"/>
        </w:rPr>
      </w:pPr>
    </w:p>
    <w:p w:rsidR="000705E8" w:rsidRDefault="000705E8" w:rsidP="00EE05EB">
      <w:pPr>
        <w:widowControl w:val="0"/>
        <w:rPr>
          <w:rFonts w:ascii="Tahoma" w:hAnsi="Tahoma" w:cs="Tahoma"/>
          <w:b/>
          <w:sz w:val="20"/>
          <w:szCs w:val="20"/>
        </w:rPr>
      </w:pPr>
    </w:p>
    <w:p w:rsidR="000705E8" w:rsidRDefault="000705E8" w:rsidP="00EE05EB">
      <w:pPr>
        <w:widowControl w:val="0"/>
        <w:rPr>
          <w:rFonts w:ascii="Tahoma" w:hAnsi="Tahoma" w:cs="Tahoma"/>
          <w:b/>
          <w:sz w:val="20"/>
          <w:szCs w:val="20"/>
        </w:rPr>
      </w:pPr>
    </w:p>
    <w:p w:rsidR="000705E8" w:rsidRDefault="000705E8" w:rsidP="00EE05EB">
      <w:pPr>
        <w:widowControl w:val="0"/>
        <w:rPr>
          <w:rFonts w:ascii="Tahoma" w:hAnsi="Tahoma" w:cs="Tahoma"/>
          <w:b/>
          <w:sz w:val="20"/>
          <w:szCs w:val="20"/>
        </w:rPr>
      </w:pPr>
    </w:p>
    <w:p w:rsidR="00EE05EB" w:rsidRPr="00AD6A88" w:rsidRDefault="00EE05EB" w:rsidP="00AD6A88">
      <w:pPr>
        <w:widowControl w:val="0"/>
        <w:tabs>
          <w:tab w:val="left" w:pos="900"/>
          <w:tab w:val="left" w:pos="3794"/>
          <w:tab w:val="left" w:pos="6569"/>
        </w:tabs>
        <w:rPr>
          <w:rFonts w:ascii="Tahoma" w:hAnsi="Tahoma" w:cs="Tahoma"/>
          <w:b/>
          <w:sz w:val="20"/>
          <w:szCs w:val="20"/>
        </w:rPr>
      </w:pPr>
      <w:r>
        <w:rPr>
          <w:rFonts w:ascii="Tahoma" w:hAnsi="Tahoma" w:cs="Tahoma"/>
          <w:b/>
          <w:sz w:val="20"/>
          <w:szCs w:val="20"/>
        </w:rPr>
        <w:t xml:space="preserve"> </w:t>
      </w:r>
    </w:p>
    <w:p w:rsidR="00EE05EB" w:rsidRDefault="00EE05EB" w:rsidP="00EE05EB">
      <w:pPr>
        <w:jc w:val="both"/>
        <w:outlineLvl w:val="0"/>
        <w:rPr>
          <w:rFonts w:ascii="Tahoma" w:hAnsi="Tahoma" w:cs="Tahoma"/>
          <w:b/>
        </w:rPr>
      </w:pPr>
      <w:r>
        <w:rPr>
          <w:rFonts w:ascii="Tahoma" w:hAnsi="Tahoma" w:cs="Tahoma"/>
          <w:b/>
        </w:rPr>
        <w:t xml:space="preserve">Report of the PCC </w:t>
      </w:r>
      <w:r w:rsidR="00554C46">
        <w:rPr>
          <w:rFonts w:ascii="Tahoma" w:hAnsi="Tahoma" w:cs="Tahoma"/>
          <w:b/>
        </w:rPr>
        <w:t xml:space="preserve">CFO </w:t>
      </w:r>
      <w:r>
        <w:rPr>
          <w:rFonts w:ascii="Tahoma" w:hAnsi="Tahoma" w:cs="Tahoma"/>
          <w:b/>
        </w:rPr>
        <w:t xml:space="preserve">to the Chair and Members of the Joint Audit Committee </w:t>
      </w:r>
    </w:p>
    <w:p w:rsidR="00EE05EB" w:rsidRDefault="009D4A94" w:rsidP="00EE05EB">
      <w:pPr>
        <w:jc w:val="both"/>
        <w:rPr>
          <w:rFonts w:ascii="Tahoma" w:hAnsi="Tahoma" w:cs="Tahoma"/>
          <w:b/>
        </w:rPr>
      </w:pPr>
      <w:r>
        <w:rPr>
          <w:rFonts w:ascii="Tahoma" w:hAnsi="Tahoma" w:cs="Tahoma"/>
          <w:b/>
        </w:rPr>
        <w:t>2</w:t>
      </w:r>
      <w:r w:rsidR="00855D5F">
        <w:rPr>
          <w:rFonts w:ascii="Tahoma" w:hAnsi="Tahoma" w:cs="Tahoma"/>
          <w:b/>
        </w:rPr>
        <w:t>8</w:t>
      </w:r>
      <w:r w:rsidR="00A770BC" w:rsidRPr="00A770BC">
        <w:rPr>
          <w:rFonts w:ascii="Tahoma" w:hAnsi="Tahoma" w:cs="Tahoma"/>
          <w:b/>
          <w:vertAlign w:val="superscript"/>
        </w:rPr>
        <w:t>th</w:t>
      </w:r>
      <w:r w:rsidR="00A770BC">
        <w:rPr>
          <w:rFonts w:ascii="Tahoma" w:hAnsi="Tahoma" w:cs="Tahoma"/>
          <w:b/>
        </w:rPr>
        <w:t xml:space="preserve"> </w:t>
      </w:r>
      <w:r w:rsidR="00855D5F">
        <w:rPr>
          <w:rFonts w:ascii="Tahoma" w:hAnsi="Tahoma" w:cs="Tahoma"/>
          <w:b/>
        </w:rPr>
        <w:t>February</w:t>
      </w:r>
      <w:r>
        <w:rPr>
          <w:rFonts w:ascii="Tahoma" w:hAnsi="Tahoma" w:cs="Tahoma"/>
          <w:b/>
        </w:rPr>
        <w:t xml:space="preserve"> 201</w:t>
      </w:r>
      <w:r w:rsidR="00855D5F">
        <w:rPr>
          <w:rFonts w:ascii="Tahoma" w:hAnsi="Tahoma" w:cs="Tahoma"/>
          <w:b/>
        </w:rPr>
        <w:t>9</w:t>
      </w:r>
    </w:p>
    <w:p w:rsidR="00EE05EB" w:rsidRDefault="00EE05EB" w:rsidP="00EE05EB">
      <w:pPr>
        <w:jc w:val="both"/>
        <w:rPr>
          <w:rFonts w:ascii="Tahoma" w:hAnsi="Tahoma" w:cs="Tahoma"/>
        </w:rPr>
      </w:pPr>
    </w:p>
    <w:p w:rsidR="00EE05EB" w:rsidRDefault="00EE05EB" w:rsidP="00EE05EB">
      <w:pPr>
        <w:jc w:val="both"/>
        <w:rPr>
          <w:rFonts w:ascii="Tahoma" w:hAnsi="Tahoma" w:cs="Tahoma"/>
          <w:b/>
        </w:rPr>
      </w:pPr>
      <w:r>
        <w:rPr>
          <w:rFonts w:ascii="Tahoma" w:hAnsi="Tahoma" w:cs="Tahoma"/>
          <w:b/>
        </w:rPr>
        <w:t>Presenting Officer: Mr Michae</w:t>
      </w:r>
      <w:r w:rsidR="000705E8">
        <w:rPr>
          <w:rFonts w:ascii="Tahoma" w:hAnsi="Tahoma" w:cs="Tahoma"/>
          <w:b/>
        </w:rPr>
        <w:t>l Porter, Chief Finance Officer</w:t>
      </w:r>
    </w:p>
    <w:p w:rsidR="00EE05EB" w:rsidRDefault="00EE05EB" w:rsidP="00EE05EB">
      <w:pPr>
        <w:jc w:val="both"/>
        <w:rPr>
          <w:rFonts w:ascii="Tahoma" w:hAnsi="Tahoma" w:cs="Tahoma"/>
          <w:b/>
        </w:rPr>
      </w:pPr>
    </w:p>
    <w:p w:rsidR="00EE05EB" w:rsidRDefault="00EE05EB" w:rsidP="00EE05EB">
      <w:pPr>
        <w:jc w:val="both"/>
        <w:outlineLvl w:val="0"/>
        <w:rPr>
          <w:rFonts w:ascii="Tahoma" w:hAnsi="Tahoma" w:cs="Tahoma"/>
          <w:b/>
        </w:rPr>
      </w:pPr>
      <w:r>
        <w:rPr>
          <w:rFonts w:ascii="Tahoma" w:hAnsi="Tahoma" w:cs="Tahoma"/>
          <w:b/>
        </w:rPr>
        <w:t>Status: For information</w:t>
      </w:r>
    </w:p>
    <w:p w:rsidR="00EE05EB" w:rsidRDefault="00EE05EB" w:rsidP="00EE05EB">
      <w:pPr>
        <w:jc w:val="both"/>
        <w:rPr>
          <w:rFonts w:ascii="Tahoma" w:hAnsi="Tahoma" w:cs="Tahoma"/>
          <w:b/>
          <w:bCs/>
        </w:rPr>
      </w:pPr>
    </w:p>
    <w:p w:rsidR="00EE05EB" w:rsidRDefault="00EE05EB" w:rsidP="00EE05EB">
      <w:pPr>
        <w:jc w:val="both"/>
        <w:outlineLvl w:val="0"/>
        <w:rPr>
          <w:rFonts w:ascii="Tahoma" w:hAnsi="Tahoma" w:cs="Tahoma"/>
          <w:b/>
          <w:sz w:val="28"/>
          <w:szCs w:val="28"/>
        </w:rPr>
      </w:pPr>
      <w:r>
        <w:rPr>
          <w:rFonts w:ascii="Tahoma" w:hAnsi="Tahoma" w:cs="Tahoma"/>
          <w:b/>
          <w:sz w:val="28"/>
          <w:szCs w:val="28"/>
        </w:rPr>
        <w:t>Strategic Risk Register</w:t>
      </w:r>
    </w:p>
    <w:p w:rsidR="00EE05EB" w:rsidRDefault="00EE05EB" w:rsidP="00EE05EB">
      <w:pPr>
        <w:jc w:val="both"/>
        <w:rPr>
          <w:rFonts w:ascii="Tahoma" w:hAnsi="Tahoma" w:cs="Tahoma"/>
          <w:b/>
          <w:bCs/>
        </w:rPr>
      </w:pPr>
    </w:p>
    <w:p w:rsidR="00EE05EB" w:rsidRDefault="00EE05EB" w:rsidP="00EE05EB">
      <w:pPr>
        <w:jc w:val="both"/>
        <w:rPr>
          <w:rFonts w:ascii="Tahoma" w:hAnsi="Tahoma" w:cs="Tahoma"/>
          <w:b/>
          <w:bCs/>
        </w:rPr>
      </w:pPr>
    </w:p>
    <w:p w:rsidR="00EE05EB" w:rsidRDefault="00EE05EB" w:rsidP="00EE05EB">
      <w:pPr>
        <w:tabs>
          <w:tab w:val="left" w:pos="709"/>
        </w:tabs>
        <w:outlineLvl w:val="0"/>
        <w:rPr>
          <w:rFonts w:ascii="Tahoma" w:hAnsi="Tahoma" w:cs="Tahoma"/>
          <w:b/>
        </w:rPr>
      </w:pPr>
      <w:r>
        <w:rPr>
          <w:rFonts w:ascii="Tahoma" w:hAnsi="Tahoma" w:cs="Tahoma"/>
          <w:b/>
        </w:rPr>
        <w:t>1.</w:t>
      </w:r>
      <w:r>
        <w:rPr>
          <w:rFonts w:ascii="Tahoma" w:hAnsi="Tahoma" w:cs="Tahoma"/>
          <w:b/>
        </w:rPr>
        <w:tab/>
        <w:t xml:space="preserve">Purpose </w:t>
      </w:r>
    </w:p>
    <w:p w:rsidR="00EE05EB" w:rsidRDefault="00EE05EB" w:rsidP="00EE05EB">
      <w:pPr>
        <w:tabs>
          <w:tab w:val="left" w:pos="567"/>
        </w:tabs>
        <w:rPr>
          <w:rFonts w:ascii="Tahoma" w:hAnsi="Tahoma" w:cs="Tahoma"/>
        </w:rPr>
      </w:pPr>
    </w:p>
    <w:p w:rsidR="00EE05EB" w:rsidRDefault="00EE05EB" w:rsidP="00EE05EB">
      <w:pPr>
        <w:tabs>
          <w:tab w:val="left" w:pos="709"/>
        </w:tabs>
        <w:ind w:left="709" w:hanging="709"/>
        <w:rPr>
          <w:rFonts w:ascii="Tahoma" w:hAnsi="Tahoma" w:cs="Tahoma"/>
          <w:iCs/>
        </w:rPr>
      </w:pPr>
      <w:r>
        <w:rPr>
          <w:rFonts w:ascii="Tahoma" w:hAnsi="Tahoma" w:cs="Tahoma"/>
        </w:rPr>
        <w:t>1.1</w:t>
      </w:r>
      <w:r>
        <w:rPr>
          <w:rFonts w:ascii="Tahoma" w:hAnsi="Tahoma" w:cs="Tahoma"/>
        </w:rPr>
        <w:tab/>
      </w:r>
      <w:r>
        <w:rPr>
          <w:rFonts w:ascii="Tahoma" w:hAnsi="Tahoma" w:cs="Tahoma"/>
          <w:iCs/>
        </w:rPr>
        <w:t>To provide Members with an update on the progress of the PCC’s</w:t>
      </w:r>
      <w:r>
        <w:rPr>
          <w:rFonts w:ascii="Tahoma" w:hAnsi="Tahoma" w:cs="Tahoma"/>
        </w:rPr>
        <w:t xml:space="preserve"> risk register</w:t>
      </w:r>
      <w:r>
        <w:rPr>
          <w:rFonts w:ascii="Tahoma" w:hAnsi="Tahoma" w:cs="Tahoma"/>
          <w:iCs/>
        </w:rPr>
        <w:t>.</w:t>
      </w:r>
    </w:p>
    <w:p w:rsidR="00EE05EB" w:rsidRDefault="00EE05EB" w:rsidP="00EE05EB">
      <w:pPr>
        <w:rPr>
          <w:rFonts w:ascii="Tahoma" w:hAnsi="Tahoma" w:cs="Tahoma"/>
        </w:rPr>
      </w:pPr>
    </w:p>
    <w:p w:rsidR="00EE05EB" w:rsidRDefault="00EE05EB" w:rsidP="00EE05EB">
      <w:pPr>
        <w:outlineLvl w:val="0"/>
        <w:rPr>
          <w:rFonts w:ascii="Tahoma" w:hAnsi="Tahoma" w:cs="Tahoma"/>
          <w:b/>
        </w:rPr>
      </w:pPr>
      <w:r>
        <w:rPr>
          <w:rFonts w:ascii="Tahoma" w:hAnsi="Tahoma" w:cs="Tahoma"/>
          <w:b/>
        </w:rPr>
        <w:t>2.</w:t>
      </w:r>
      <w:r>
        <w:rPr>
          <w:rFonts w:ascii="Tahoma" w:hAnsi="Tahoma" w:cs="Tahoma"/>
          <w:b/>
        </w:rPr>
        <w:tab/>
        <w:t>Recommendations</w:t>
      </w:r>
    </w:p>
    <w:p w:rsidR="00EE05EB" w:rsidRDefault="00EE05EB" w:rsidP="00EE05EB">
      <w:pPr>
        <w:rPr>
          <w:rFonts w:ascii="Tahoma" w:hAnsi="Tahoma" w:cs="Tahoma"/>
        </w:rPr>
      </w:pPr>
    </w:p>
    <w:p w:rsidR="00EE05EB" w:rsidRDefault="00EE05EB" w:rsidP="00EE05EB">
      <w:pPr>
        <w:rPr>
          <w:rFonts w:ascii="Tahoma" w:hAnsi="Tahoma" w:cs="Tahoma"/>
        </w:rPr>
      </w:pPr>
      <w:r>
        <w:rPr>
          <w:rFonts w:ascii="Tahoma" w:hAnsi="Tahoma" w:cs="Tahoma"/>
        </w:rPr>
        <w:t>2.1</w:t>
      </w:r>
      <w:r>
        <w:rPr>
          <w:rFonts w:ascii="Tahoma" w:hAnsi="Tahoma" w:cs="Tahoma"/>
        </w:rPr>
        <w:tab/>
        <w:t>That Members note the content of the report.</w:t>
      </w:r>
    </w:p>
    <w:p w:rsidR="00EE05EB" w:rsidRDefault="00EE05EB" w:rsidP="00EE05EB">
      <w:pPr>
        <w:outlineLvl w:val="0"/>
        <w:rPr>
          <w:rFonts w:ascii="Tahoma" w:hAnsi="Tahoma" w:cs="Tahoma"/>
        </w:rPr>
      </w:pPr>
    </w:p>
    <w:p w:rsidR="00EE05EB" w:rsidRDefault="00EE05EB" w:rsidP="00EE05EB">
      <w:pPr>
        <w:outlineLvl w:val="0"/>
        <w:rPr>
          <w:rFonts w:ascii="Tahoma" w:hAnsi="Tahoma" w:cs="Tahoma"/>
          <w:b/>
        </w:rPr>
      </w:pPr>
      <w:r>
        <w:rPr>
          <w:rFonts w:ascii="Tahoma" w:hAnsi="Tahoma" w:cs="Tahoma"/>
          <w:b/>
        </w:rPr>
        <w:t>3.</w:t>
      </w:r>
      <w:r>
        <w:rPr>
          <w:rFonts w:ascii="Tahoma" w:hAnsi="Tahoma" w:cs="Tahoma"/>
          <w:b/>
        </w:rPr>
        <w:tab/>
        <w:t>Background</w:t>
      </w:r>
    </w:p>
    <w:p w:rsidR="00EE05EB" w:rsidRDefault="00EE05EB" w:rsidP="00EE05EB">
      <w:pPr>
        <w:tabs>
          <w:tab w:val="left" w:pos="1843"/>
        </w:tabs>
        <w:rPr>
          <w:rFonts w:ascii="Tahoma" w:hAnsi="Tahoma" w:cs="Tahoma"/>
        </w:rPr>
      </w:pPr>
    </w:p>
    <w:p w:rsidR="0057014F" w:rsidRDefault="00EE05EB" w:rsidP="00EE05EB">
      <w:pPr>
        <w:tabs>
          <w:tab w:val="left" w:pos="709"/>
        </w:tabs>
        <w:ind w:left="709" w:hanging="851"/>
        <w:rPr>
          <w:rFonts w:ascii="Tahoma" w:hAnsi="Tahoma" w:cs="Tahoma"/>
        </w:rPr>
      </w:pPr>
      <w:r>
        <w:rPr>
          <w:rFonts w:ascii="Tahoma" w:hAnsi="Tahoma" w:cs="Tahoma"/>
        </w:rPr>
        <w:t xml:space="preserve"> 3.1</w:t>
      </w:r>
      <w:r>
        <w:rPr>
          <w:rFonts w:ascii="Tahoma" w:hAnsi="Tahoma" w:cs="Tahoma"/>
        </w:rPr>
        <w:tab/>
        <w:t xml:space="preserve">The PCC is taking an integrated approach to embedding its risk register within the OPCC. The strategic register </w:t>
      </w:r>
      <w:r w:rsidR="005E7EC7">
        <w:rPr>
          <w:rFonts w:ascii="Tahoma" w:hAnsi="Tahoma" w:cs="Tahoma"/>
        </w:rPr>
        <w:t>is managed on the</w:t>
      </w:r>
      <w:r w:rsidR="0057014F">
        <w:rPr>
          <w:rFonts w:ascii="Tahoma" w:hAnsi="Tahoma" w:cs="Tahoma"/>
        </w:rPr>
        <w:t xml:space="preserve"> </w:t>
      </w:r>
      <w:r w:rsidR="00710EA0">
        <w:rPr>
          <w:rFonts w:ascii="Tahoma" w:hAnsi="Tahoma" w:cs="Tahoma"/>
        </w:rPr>
        <w:t>Insight4GRC</w:t>
      </w:r>
      <w:r w:rsidR="0057014F">
        <w:rPr>
          <w:rFonts w:ascii="Tahoma" w:hAnsi="Tahoma" w:cs="Tahoma"/>
        </w:rPr>
        <w:t xml:space="preserve"> system and also </w:t>
      </w:r>
      <w:r w:rsidR="00710EA0">
        <w:rPr>
          <w:rFonts w:ascii="Tahoma" w:hAnsi="Tahoma" w:cs="Tahoma"/>
        </w:rPr>
        <w:t xml:space="preserve">continues to be reviewed in line with </w:t>
      </w:r>
      <w:r w:rsidR="0057014F">
        <w:rPr>
          <w:rFonts w:ascii="Tahoma" w:hAnsi="Tahoma" w:cs="Tahoma"/>
        </w:rPr>
        <w:t xml:space="preserve">the </w:t>
      </w:r>
      <w:r w:rsidR="00411E2D">
        <w:rPr>
          <w:rFonts w:ascii="Tahoma" w:hAnsi="Tahoma" w:cs="Tahoma"/>
        </w:rPr>
        <w:t xml:space="preserve">OPCC’s own </w:t>
      </w:r>
      <w:r w:rsidR="0057014F">
        <w:rPr>
          <w:rFonts w:ascii="Tahoma" w:hAnsi="Tahoma" w:cs="Tahoma"/>
        </w:rPr>
        <w:t>Risk Management Policy.</w:t>
      </w:r>
    </w:p>
    <w:p w:rsidR="00EE05EB" w:rsidRDefault="00EE05EB" w:rsidP="00EE05EB">
      <w:pPr>
        <w:tabs>
          <w:tab w:val="left" w:pos="1843"/>
        </w:tabs>
        <w:rPr>
          <w:rFonts w:ascii="Tahoma" w:hAnsi="Tahoma" w:cs="Tahoma"/>
        </w:rPr>
      </w:pPr>
    </w:p>
    <w:p w:rsidR="00AD6A88" w:rsidRDefault="00EE05EB" w:rsidP="00C7559C">
      <w:pPr>
        <w:tabs>
          <w:tab w:val="left" w:pos="709"/>
        </w:tabs>
        <w:ind w:left="709" w:hanging="709"/>
        <w:rPr>
          <w:rFonts w:ascii="Tahoma" w:hAnsi="Tahoma" w:cs="Tahoma"/>
        </w:rPr>
      </w:pPr>
      <w:r>
        <w:rPr>
          <w:rFonts w:ascii="Tahoma" w:hAnsi="Tahoma" w:cs="Tahoma"/>
        </w:rPr>
        <w:t>3.2</w:t>
      </w:r>
      <w:r>
        <w:rPr>
          <w:rFonts w:ascii="Tahoma" w:hAnsi="Tahoma" w:cs="Tahoma"/>
        </w:rPr>
        <w:tab/>
        <w:t>The Risk Register is being reviewed and reported on a half yearly rolling basis</w:t>
      </w:r>
      <w:r w:rsidR="0057014F">
        <w:rPr>
          <w:rFonts w:ascii="Tahoma" w:hAnsi="Tahoma" w:cs="Tahoma"/>
        </w:rPr>
        <w:t>.</w:t>
      </w:r>
      <w:r w:rsidR="009D4A94">
        <w:rPr>
          <w:rFonts w:ascii="Tahoma" w:hAnsi="Tahoma" w:cs="Tahoma"/>
        </w:rPr>
        <w:t xml:space="preserve">  </w:t>
      </w:r>
      <w:r>
        <w:rPr>
          <w:rFonts w:ascii="Tahoma" w:hAnsi="Tahoma" w:cs="Tahoma"/>
        </w:rPr>
        <w:t>The objective of the review is to update risk controls, scoring, and check progress against outstanding actions and to explore new or emerging risks.</w:t>
      </w:r>
    </w:p>
    <w:p w:rsidR="00AD6A88" w:rsidRDefault="00AD6A88" w:rsidP="0057014F">
      <w:pPr>
        <w:tabs>
          <w:tab w:val="left" w:pos="709"/>
        </w:tabs>
        <w:ind w:left="709"/>
        <w:rPr>
          <w:rFonts w:ascii="Tahoma" w:hAnsi="Tahoma" w:cs="Tahoma"/>
        </w:rPr>
      </w:pPr>
    </w:p>
    <w:p w:rsidR="00C7559C" w:rsidRDefault="00EE05EB" w:rsidP="00C7559C">
      <w:pPr>
        <w:numPr>
          <w:ilvl w:val="0"/>
          <w:numId w:val="1"/>
        </w:numPr>
        <w:tabs>
          <w:tab w:val="left" w:pos="567"/>
          <w:tab w:val="num" w:pos="1134"/>
        </w:tabs>
        <w:ind w:hanging="2591"/>
        <w:rPr>
          <w:rFonts w:ascii="Tahoma" w:hAnsi="Tahoma" w:cs="Tahoma"/>
          <w:b/>
        </w:rPr>
      </w:pPr>
      <w:r>
        <w:rPr>
          <w:rFonts w:ascii="Tahoma" w:hAnsi="Tahoma" w:cs="Tahoma"/>
          <w:b/>
        </w:rPr>
        <w:t xml:space="preserve">Progress </w:t>
      </w:r>
      <w:r w:rsidR="001F7815">
        <w:rPr>
          <w:rFonts w:ascii="Tahoma" w:hAnsi="Tahoma" w:cs="Tahoma"/>
          <w:b/>
        </w:rPr>
        <w:t xml:space="preserve">and Changes </w:t>
      </w:r>
      <w:r w:rsidR="00147B9F">
        <w:rPr>
          <w:rFonts w:ascii="Tahoma" w:hAnsi="Tahoma" w:cs="Tahoma"/>
          <w:b/>
        </w:rPr>
        <w:t>since the last update</w:t>
      </w:r>
      <w:r w:rsidR="00C7559C">
        <w:rPr>
          <w:rFonts w:ascii="Tahoma" w:hAnsi="Tahoma" w:cs="Tahoma"/>
          <w:b/>
        </w:rPr>
        <w:br/>
      </w:r>
    </w:p>
    <w:p w:rsidR="00A770BC" w:rsidRPr="00167FBD" w:rsidRDefault="00147B9F" w:rsidP="00C7559C">
      <w:pPr>
        <w:pStyle w:val="ListParagraph"/>
        <w:numPr>
          <w:ilvl w:val="1"/>
          <w:numId w:val="4"/>
        </w:numPr>
        <w:tabs>
          <w:tab w:val="left" w:pos="567"/>
        </w:tabs>
        <w:ind w:left="567" w:hanging="567"/>
        <w:rPr>
          <w:rFonts w:ascii="Tahoma" w:hAnsi="Tahoma" w:cs="Tahoma"/>
          <w:b/>
        </w:rPr>
      </w:pPr>
      <w:r>
        <w:rPr>
          <w:rFonts w:ascii="Tahoma" w:hAnsi="Tahoma" w:cs="Tahoma"/>
        </w:rPr>
        <w:t xml:space="preserve">All risks have been reviewed since the last report to Members. This has resulted in </w:t>
      </w:r>
      <w:r w:rsidR="00156B1B">
        <w:rPr>
          <w:rFonts w:ascii="Tahoma" w:hAnsi="Tahoma" w:cs="Tahoma"/>
        </w:rPr>
        <w:t>only v</w:t>
      </w:r>
      <w:r w:rsidR="00284BEC">
        <w:rPr>
          <w:rFonts w:ascii="Tahoma" w:hAnsi="Tahoma" w:cs="Tahoma"/>
        </w:rPr>
        <w:t xml:space="preserve">ery minor changes </w:t>
      </w:r>
      <w:r w:rsidR="00A770BC">
        <w:rPr>
          <w:rFonts w:ascii="Tahoma" w:hAnsi="Tahoma" w:cs="Tahoma"/>
        </w:rPr>
        <w:t>to those risks that were already in existence to reflect changes that have occurred over the last few months, to reflect new actions and/or move compl</w:t>
      </w:r>
      <w:r w:rsidR="00167FBD">
        <w:rPr>
          <w:rFonts w:ascii="Tahoma" w:hAnsi="Tahoma" w:cs="Tahoma"/>
        </w:rPr>
        <w:t>eted actions into Risk Controls and 2 Risks have been closed during the period these were:</w:t>
      </w:r>
    </w:p>
    <w:p w:rsidR="00167FBD" w:rsidRDefault="00167FBD" w:rsidP="00167FBD">
      <w:pPr>
        <w:tabs>
          <w:tab w:val="left" w:pos="567"/>
        </w:tabs>
        <w:rPr>
          <w:rFonts w:ascii="Tahoma" w:hAnsi="Tahoma" w:cs="Tahoma"/>
          <w:b/>
        </w:rPr>
      </w:pPr>
    </w:p>
    <w:p w:rsidR="00167FBD" w:rsidRPr="00167FBD" w:rsidRDefault="00167FBD" w:rsidP="00167FBD">
      <w:pPr>
        <w:pStyle w:val="ListParagraph"/>
        <w:numPr>
          <w:ilvl w:val="0"/>
          <w:numId w:val="14"/>
        </w:numPr>
        <w:tabs>
          <w:tab w:val="left" w:pos="567"/>
        </w:tabs>
        <w:rPr>
          <w:rFonts w:ascii="Tahoma" w:hAnsi="Tahoma" w:cs="Tahoma"/>
        </w:rPr>
      </w:pPr>
      <w:r w:rsidRPr="00167FBD">
        <w:rPr>
          <w:rFonts w:ascii="Tahoma" w:hAnsi="Tahoma" w:cs="Tahoma"/>
        </w:rPr>
        <w:t>Risk 1493 – Staffing Structures, Grading and Job Evaluation</w:t>
      </w:r>
    </w:p>
    <w:p w:rsidR="00167FBD" w:rsidRPr="00167FBD" w:rsidRDefault="00167FBD" w:rsidP="00167FBD">
      <w:pPr>
        <w:pStyle w:val="ListParagraph"/>
        <w:numPr>
          <w:ilvl w:val="0"/>
          <w:numId w:val="14"/>
        </w:numPr>
        <w:tabs>
          <w:tab w:val="left" w:pos="567"/>
        </w:tabs>
        <w:rPr>
          <w:rFonts w:ascii="Tahoma" w:hAnsi="Tahoma" w:cs="Tahoma"/>
        </w:rPr>
      </w:pPr>
      <w:r w:rsidRPr="00167FBD">
        <w:rPr>
          <w:rFonts w:ascii="Tahoma" w:hAnsi="Tahoma" w:cs="Tahoma"/>
        </w:rPr>
        <w:t>Risk 1578 – Financial Sustainability</w:t>
      </w:r>
    </w:p>
    <w:p w:rsidR="00A770BC" w:rsidRPr="00A770BC" w:rsidRDefault="00A770BC" w:rsidP="00A770BC">
      <w:pPr>
        <w:tabs>
          <w:tab w:val="left" w:pos="567"/>
        </w:tabs>
        <w:rPr>
          <w:rFonts w:ascii="Tahoma" w:hAnsi="Tahoma" w:cs="Tahoma"/>
          <w:b/>
        </w:rPr>
      </w:pPr>
    </w:p>
    <w:p w:rsidR="00A770BC" w:rsidRPr="004E737E" w:rsidRDefault="00A770BC" w:rsidP="00C7559C">
      <w:pPr>
        <w:pStyle w:val="ListParagraph"/>
        <w:numPr>
          <w:ilvl w:val="1"/>
          <w:numId w:val="4"/>
        </w:numPr>
        <w:tabs>
          <w:tab w:val="left" w:pos="567"/>
        </w:tabs>
        <w:ind w:left="567" w:hanging="567"/>
        <w:rPr>
          <w:rFonts w:ascii="Tahoma" w:hAnsi="Tahoma" w:cs="Tahoma"/>
          <w:b/>
        </w:rPr>
      </w:pPr>
      <w:r>
        <w:rPr>
          <w:rFonts w:ascii="Tahoma" w:hAnsi="Tahoma" w:cs="Tahoma"/>
        </w:rPr>
        <w:t xml:space="preserve">There has however been the </w:t>
      </w:r>
      <w:r w:rsidR="00036BAC">
        <w:rPr>
          <w:rFonts w:ascii="Tahoma" w:hAnsi="Tahoma" w:cs="Tahoma"/>
        </w:rPr>
        <w:t xml:space="preserve">emergence </w:t>
      </w:r>
      <w:r>
        <w:rPr>
          <w:rFonts w:ascii="Tahoma" w:hAnsi="Tahoma" w:cs="Tahoma"/>
        </w:rPr>
        <w:t>of 2 new risks</w:t>
      </w:r>
      <w:r w:rsidR="00036BAC">
        <w:rPr>
          <w:rFonts w:ascii="Tahoma" w:hAnsi="Tahoma" w:cs="Tahoma"/>
        </w:rPr>
        <w:t xml:space="preserve"> </w:t>
      </w:r>
      <w:r>
        <w:rPr>
          <w:rFonts w:ascii="Tahoma" w:hAnsi="Tahoma" w:cs="Tahoma"/>
        </w:rPr>
        <w:t xml:space="preserve">since the register was last reported to the Committee in </w:t>
      </w:r>
      <w:r w:rsidR="00167FBD">
        <w:rPr>
          <w:rFonts w:ascii="Tahoma" w:hAnsi="Tahoma" w:cs="Tahoma"/>
        </w:rPr>
        <w:t>July</w:t>
      </w:r>
      <w:r>
        <w:rPr>
          <w:rFonts w:ascii="Tahoma" w:hAnsi="Tahoma" w:cs="Tahoma"/>
        </w:rPr>
        <w:t xml:space="preserve"> 2018.</w:t>
      </w:r>
      <w:r w:rsidR="004E737E">
        <w:rPr>
          <w:rFonts w:ascii="Tahoma" w:hAnsi="Tahoma" w:cs="Tahoma"/>
        </w:rPr>
        <w:t xml:space="preserve"> </w:t>
      </w:r>
      <w:r w:rsidR="00036BAC">
        <w:rPr>
          <w:rFonts w:ascii="Tahoma" w:hAnsi="Tahoma" w:cs="Tahoma"/>
        </w:rPr>
        <w:t xml:space="preserve">One is </w:t>
      </w:r>
      <w:r w:rsidR="004E737E">
        <w:rPr>
          <w:rFonts w:ascii="Tahoma" w:hAnsi="Tahoma" w:cs="Tahoma"/>
        </w:rPr>
        <w:t>an extension of the Risk that was referred to in the report to Members in July but had not been added to the Risk Register at that point.</w:t>
      </w:r>
    </w:p>
    <w:p w:rsidR="004E737E" w:rsidRPr="004E737E" w:rsidRDefault="004E737E" w:rsidP="004E737E">
      <w:pPr>
        <w:tabs>
          <w:tab w:val="left" w:pos="567"/>
        </w:tabs>
        <w:rPr>
          <w:rFonts w:ascii="Tahoma" w:hAnsi="Tahoma" w:cs="Tahoma"/>
          <w:b/>
        </w:rPr>
      </w:pPr>
    </w:p>
    <w:p w:rsidR="004E737E" w:rsidRPr="004E737E" w:rsidRDefault="004E737E" w:rsidP="00C7559C">
      <w:pPr>
        <w:pStyle w:val="ListParagraph"/>
        <w:numPr>
          <w:ilvl w:val="1"/>
          <w:numId w:val="4"/>
        </w:numPr>
        <w:tabs>
          <w:tab w:val="left" w:pos="567"/>
        </w:tabs>
        <w:ind w:left="567" w:hanging="567"/>
        <w:rPr>
          <w:rFonts w:ascii="Tahoma" w:hAnsi="Tahoma" w:cs="Tahoma"/>
          <w:b/>
        </w:rPr>
      </w:pPr>
      <w:r>
        <w:rPr>
          <w:rFonts w:ascii="Tahoma" w:hAnsi="Tahoma" w:cs="Tahoma"/>
        </w:rPr>
        <w:t>This was as follows:</w:t>
      </w:r>
    </w:p>
    <w:p w:rsidR="004E737E" w:rsidRPr="004E737E" w:rsidRDefault="004E737E" w:rsidP="004E737E">
      <w:pPr>
        <w:tabs>
          <w:tab w:val="left" w:pos="567"/>
        </w:tabs>
        <w:rPr>
          <w:rFonts w:ascii="Tahoma" w:hAnsi="Tahoma" w:cs="Tahoma"/>
          <w:b/>
        </w:rPr>
      </w:pPr>
    </w:p>
    <w:p w:rsidR="00A770BC" w:rsidRDefault="004E737E" w:rsidP="004E737E">
      <w:pPr>
        <w:pStyle w:val="ListParagraph"/>
        <w:ind w:left="567"/>
        <w:rPr>
          <w:rFonts w:ascii="Tahoma" w:hAnsi="Tahoma" w:cs="Tahoma"/>
        </w:rPr>
      </w:pPr>
      <w:r w:rsidRPr="004E737E">
        <w:rPr>
          <w:rFonts w:ascii="Tahoma" w:hAnsi="Tahoma" w:cs="Tahoma"/>
        </w:rPr>
        <w:t xml:space="preserve">The exercise of the PCC’s appropriate authority remit in respect of officers of Chief Constable rank presents a uniquely complex, interwoven combination of competing organisational priorities – including but not limited to compliance with the law and procedure; setting and maintaining exemplary standards; communicating clearly with the public about a complex regulatory area; managing internal and external stakeholders; assuring organisational stability; and underpinning good wellbeing practice in respect of officers concerned. Volumes of such cases remain low but their complexity for these reasons and </w:t>
      </w:r>
      <w:proofErr w:type="gramStart"/>
      <w:r w:rsidRPr="004E737E">
        <w:rPr>
          <w:rFonts w:ascii="Tahoma" w:hAnsi="Tahoma" w:cs="Tahoma"/>
        </w:rPr>
        <w:t>others,</w:t>
      </w:r>
      <w:proofErr w:type="gramEnd"/>
      <w:r w:rsidRPr="004E737E">
        <w:rPr>
          <w:rFonts w:ascii="Tahoma" w:hAnsi="Tahoma" w:cs="Tahoma"/>
        </w:rPr>
        <w:t xml:space="preserve"> remains intense. Current cases involve matters of </w:t>
      </w:r>
      <w:proofErr w:type="spellStart"/>
      <w:r w:rsidRPr="004E737E">
        <w:rPr>
          <w:rFonts w:ascii="Tahoma" w:hAnsi="Tahoma" w:cs="Tahoma"/>
        </w:rPr>
        <w:t>ongoing</w:t>
      </w:r>
      <w:proofErr w:type="spellEnd"/>
      <w:r w:rsidRPr="004E737E">
        <w:rPr>
          <w:rFonts w:ascii="Tahoma" w:hAnsi="Tahoma" w:cs="Tahoma"/>
        </w:rPr>
        <w:t xml:space="preserve"> significant public interest and are resource-intensive.</w:t>
      </w:r>
    </w:p>
    <w:p w:rsidR="004E737E" w:rsidRPr="00A770BC" w:rsidRDefault="004E737E" w:rsidP="00A770BC">
      <w:pPr>
        <w:pStyle w:val="ListParagraph"/>
        <w:rPr>
          <w:rFonts w:ascii="Tahoma" w:hAnsi="Tahoma" w:cs="Tahoma"/>
        </w:rPr>
      </w:pPr>
    </w:p>
    <w:p w:rsidR="004E737E" w:rsidRDefault="004E737E" w:rsidP="00167FBD">
      <w:pPr>
        <w:pStyle w:val="ListParagraph"/>
        <w:numPr>
          <w:ilvl w:val="1"/>
          <w:numId w:val="4"/>
        </w:numPr>
        <w:tabs>
          <w:tab w:val="left" w:pos="567"/>
        </w:tabs>
        <w:ind w:left="567" w:hanging="567"/>
        <w:rPr>
          <w:rFonts w:ascii="Tahoma" w:hAnsi="Tahoma" w:cs="Tahoma"/>
        </w:rPr>
      </w:pPr>
      <w:r>
        <w:rPr>
          <w:rFonts w:ascii="Tahoma" w:hAnsi="Tahoma" w:cs="Tahoma"/>
        </w:rPr>
        <w:t xml:space="preserve">At the time of adding this to the report in July 2018 the complaints that were subsequently raised against the previous Chief Constable Mike Veale had not been made. </w:t>
      </w:r>
    </w:p>
    <w:p w:rsidR="004E737E" w:rsidRPr="00C23DCB" w:rsidRDefault="004E737E" w:rsidP="00C23DCB">
      <w:pPr>
        <w:tabs>
          <w:tab w:val="left" w:pos="567"/>
        </w:tabs>
        <w:rPr>
          <w:rFonts w:ascii="Tahoma" w:hAnsi="Tahoma" w:cs="Tahoma"/>
        </w:rPr>
      </w:pPr>
    </w:p>
    <w:p w:rsidR="004E737E" w:rsidRPr="00036BAC" w:rsidRDefault="004E737E" w:rsidP="00036BAC">
      <w:pPr>
        <w:pStyle w:val="ListParagraph"/>
        <w:numPr>
          <w:ilvl w:val="1"/>
          <w:numId w:val="4"/>
        </w:numPr>
        <w:tabs>
          <w:tab w:val="left" w:pos="567"/>
        </w:tabs>
        <w:ind w:left="567" w:hanging="567"/>
        <w:rPr>
          <w:rFonts w:ascii="Tahoma" w:hAnsi="Tahoma" w:cs="Tahoma"/>
        </w:rPr>
      </w:pPr>
      <w:r>
        <w:rPr>
          <w:rFonts w:ascii="Tahoma" w:hAnsi="Tahoma" w:cs="Tahoma"/>
        </w:rPr>
        <w:t>Now that complaints have been made</w:t>
      </w:r>
      <w:r w:rsidR="00C23DCB">
        <w:rPr>
          <w:rFonts w:ascii="Tahoma" w:hAnsi="Tahoma" w:cs="Tahoma"/>
        </w:rPr>
        <w:t xml:space="preserve">, </w:t>
      </w:r>
      <w:r w:rsidR="00C23DCB" w:rsidRPr="00C23DCB">
        <w:rPr>
          <w:rFonts w:ascii="Tahoma" w:hAnsi="Tahoma" w:cs="Tahoma"/>
        </w:rPr>
        <w:t>these and all such matters (e.g. alleged conduct) are handled in strict accordance with the law and in close consultation with the IOPC and other stakeholders if and as appropriate. These matters remain an OPCC statutory officer priority; it is important the Members should be aware that the corollary of this is that these cases remain resource intensive</w:t>
      </w:r>
      <w:r w:rsidR="00C23DCB">
        <w:rPr>
          <w:rFonts w:ascii="Tahoma" w:hAnsi="Tahoma" w:cs="Tahoma"/>
        </w:rPr>
        <w:t>.</w:t>
      </w:r>
    </w:p>
    <w:p w:rsidR="00397B1B" w:rsidRPr="006F5F89" w:rsidRDefault="00397B1B" w:rsidP="006F5F89">
      <w:pPr>
        <w:tabs>
          <w:tab w:val="left" w:pos="567"/>
        </w:tabs>
        <w:rPr>
          <w:rFonts w:ascii="Tahoma" w:hAnsi="Tahoma" w:cs="Tahoma"/>
          <w:b/>
        </w:rPr>
      </w:pPr>
    </w:p>
    <w:p w:rsidR="00156B1B" w:rsidRPr="006F5F89" w:rsidRDefault="002D631A" w:rsidP="00C7559C">
      <w:pPr>
        <w:pStyle w:val="ListParagraph"/>
        <w:numPr>
          <w:ilvl w:val="1"/>
          <w:numId w:val="4"/>
        </w:numPr>
        <w:tabs>
          <w:tab w:val="left" w:pos="567"/>
        </w:tabs>
        <w:ind w:left="567" w:hanging="567"/>
        <w:rPr>
          <w:rFonts w:ascii="Tahoma" w:hAnsi="Tahoma" w:cs="Tahoma"/>
          <w:b/>
        </w:rPr>
      </w:pPr>
      <w:r w:rsidRPr="007D3774">
        <w:rPr>
          <w:rFonts w:ascii="Tahoma" w:hAnsi="Tahoma" w:cs="Tahoma"/>
        </w:rPr>
        <w:t xml:space="preserve">In addition to the above risk one other risk has </w:t>
      </w:r>
      <w:r w:rsidR="006F5F89">
        <w:rPr>
          <w:rFonts w:ascii="Tahoma" w:hAnsi="Tahoma" w:cs="Tahoma"/>
        </w:rPr>
        <w:t xml:space="preserve">arisen </w:t>
      </w:r>
      <w:r w:rsidR="007D3774">
        <w:rPr>
          <w:rFonts w:ascii="Tahoma" w:hAnsi="Tahoma" w:cs="Tahoma"/>
        </w:rPr>
        <w:t>since the</w:t>
      </w:r>
      <w:r w:rsidRPr="007D3774">
        <w:rPr>
          <w:rFonts w:ascii="Tahoma" w:hAnsi="Tahoma" w:cs="Tahoma"/>
        </w:rPr>
        <w:t xml:space="preserve"> OPCC Risk Register was </w:t>
      </w:r>
      <w:r w:rsidR="007D3774">
        <w:rPr>
          <w:rFonts w:ascii="Tahoma" w:hAnsi="Tahoma" w:cs="Tahoma"/>
        </w:rPr>
        <w:t xml:space="preserve">last </w:t>
      </w:r>
      <w:r w:rsidRPr="007D3774">
        <w:rPr>
          <w:rFonts w:ascii="Tahoma" w:hAnsi="Tahoma" w:cs="Tahoma"/>
        </w:rPr>
        <w:t>reported to the Committee, this has yet to be added to the Risk Register but is as follows:</w:t>
      </w:r>
    </w:p>
    <w:p w:rsidR="006F5F89" w:rsidRPr="006F5F89" w:rsidRDefault="006F5F89" w:rsidP="006F5F89">
      <w:pPr>
        <w:tabs>
          <w:tab w:val="left" w:pos="567"/>
        </w:tabs>
        <w:rPr>
          <w:rFonts w:ascii="Tahoma" w:hAnsi="Tahoma" w:cs="Tahoma"/>
          <w:b/>
        </w:rPr>
      </w:pPr>
    </w:p>
    <w:p w:rsidR="00FB3913" w:rsidRPr="00FB3913" w:rsidRDefault="00FB3913" w:rsidP="00FB3913">
      <w:pPr>
        <w:pStyle w:val="ListParagraph"/>
        <w:numPr>
          <w:ilvl w:val="1"/>
          <w:numId w:val="4"/>
        </w:numPr>
        <w:tabs>
          <w:tab w:val="left" w:pos="567"/>
        </w:tabs>
        <w:ind w:left="567" w:hanging="567"/>
        <w:rPr>
          <w:rFonts w:ascii="Tahoma" w:hAnsi="Tahoma" w:cs="Tahoma"/>
          <w:b/>
        </w:rPr>
      </w:pPr>
      <w:r>
        <w:rPr>
          <w:rFonts w:ascii="Tahoma" w:hAnsi="Tahoma" w:cs="Tahoma"/>
          <w:b/>
        </w:rPr>
        <w:t xml:space="preserve">Force Executive </w:t>
      </w:r>
      <w:r w:rsidR="00036BAC">
        <w:rPr>
          <w:rFonts w:ascii="Tahoma" w:hAnsi="Tahoma" w:cs="Tahoma"/>
          <w:b/>
        </w:rPr>
        <w:t xml:space="preserve">Resilience </w:t>
      </w:r>
      <w:r>
        <w:rPr>
          <w:rFonts w:ascii="Tahoma" w:hAnsi="Tahoma" w:cs="Tahoma"/>
          <w:b/>
        </w:rPr>
        <w:t xml:space="preserve">– </w:t>
      </w:r>
      <w:r>
        <w:rPr>
          <w:rFonts w:ascii="Tahoma" w:hAnsi="Tahoma" w:cs="Tahoma"/>
        </w:rPr>
        <w:t>The abrupt retirement of the former Chief Constable has clearly created an unexpected vacancy within the most senior post within the Force. This has occurred at a similar time to the substantive Deputy Chief Constable being successful in being appointed to a role in another Police Force.</w:t>
      </w:r>
    </w:p>
    <w:p w:rsidR="00FB3913" w:rsidRPr="00FB3913" w:rsidRDefault="00FB3913" w:rsidP="00FB3913">
      <w:pPr>
        <w:pStyle w:val="ListParagraph"/>
        <w:rPr>
          <w:rFonts w:ascii="Tahoma" w:hAnsi="Tahoma" w:cs="Tahoma"/>
        </w:rPr>
      </w:pPr>
    </w:p>
    <w:p w:rsidR="00FB3913" w:rsidRPr="00036BAC" w:rsidRDefault="00FB3913" w:rsidP="00FB3913">
      <w:pPr>
        <w:pStyle w:val="ListParagraph"/>
        <w:numPr>
          <w:ilvl w:val="1"/>
          <w:numId w:val="4"/>
        </w:numPr>
        <w:tabs>
          <w:tab w:val="left" w:pos="567"/>
        </w:tabs>
        <w:ind w:left="567" w:hanging="567"/>
        <w:rPr>
          <w:rFonts w:ascii="Tahoma" w:hAnsi="Tahoma" w:cs="Tahoma"/>
          <w:b/>
        </w:rPr>
      </w:pPr>
      <w:r w:rsidRPr="00036BAC">
        <w:rPr>
          <w:rFonts w:ascii="Tahoma" w:hAnsi="Tahoma" w:cs="Tahoma"/>
        </w:rPr>
        <w:t>As a result</w:t>
      </w:r>
      <w:r w:rsidR="005D3689" w:rsidRPr="00036BAC">
        <w:rPr>
          <w:rFonts w:ascii="Tahoma" w:hAnsi="Tahoma" w:cs="Tahoma"/>
        </w:rPr>
        <w:t>,</w:t>
      </w:r>
      <w:r w:rsidRPr="00036BAC">
        <w:rPr>
          <w:rFonts w:ascii="Tahoma" w:hAnsi="Tahoma" w:cs="Tahoma"/>
        </w:rPr>
        <w:t xml:space="preserve"> the 2 most senior Police Officer posts are currently vacant on a Substantive basis. Both of these roles are currently being undertaken via short term secondments. These arrangements, whilst helping to support the Force in the current circumstances, </w:t>
      </w:r>
      <w:r w:rsidR="005D3689" w:rsidRPr="00036BAC">
        <w:rPr>
          <w:rFonts w:ascii="Tahoma" w:hAnsi="Tahoma" w:cs="Tahoma"/>
        </w:rPr>
        <w:t xml:space="preserve">and managing the current risk, </w:t>
      </w:r>
      <w:r w:rsidRPr="00036BAC">
        <w:rPr>
          <w:rFonts w:ascii="Tahoma" w:hAnsi="Tahoma" w:cs="Tahoma"/>
        </w:rPr>
        <w:t>are</w:t>
      </w:r>
      <w:r w:rsidR="005D3689" w:rsidRPr="00036BAC">
        <w:rPr>
          <w:rFonts w:ascii="Tahoma" w:hAnsi="Tahoma" w:cs="Tahoma"/>
        </w:rPr>
        <w:t xml:space="preserve"> by their nature temporary.</w:t>
      </w:r>
      <w:r w:rsidR="00036BAC" w:rsidRPr="00036BAC">
        <w:rPr>
          <w:rFonts w:ascii="Tahoma" w:hAnsi="Tahoma" w:cs="Tahoma"/>
        </w:rPr>
        <w:t xml:space="preserve"> The process has begun to recruit a new Chief Constable to further reduce this risk.</w:t>
      </w:r>
      <w:r w:rsidRPr="00036BAC">
        <w:rPr>
          <w:rFonts w:ascii="Tahoma" w:hAnsi="Tahoma" w:cs="Tahoma"/>
        </w:rPr>
        <w:t xml:space="preserve">   </w:t>
      </w:r>
    </w:p>
    <w:p w:rsidR="007D3774" w:rsidRDefault="007D3774" w:rsidP="005D3689">
      <w:pPr>
        <w:rPr>
          <w:rFonts w:ascii="Tahoma" w:hAnsi="Tahoma" w:cs="Tahoma"/>
        </w:rPr>
      </w:pPr>
    </w:p>
    <w:p w:rsidR="005D3689" w:rsidRDefault="005D3689" w:rsidP="005D3689">
      <w:pPr>
        <w:rPr>
          <w:rFonts w:ascii="Tahoma" w:hAnsi="Tahoma" w:cs="Tahoma"/>
        </w:rPr>
      </w:pPr>
    </w:p>
    <w:p w:rsidR="005D3689" w:rsidRDefault="005D3689" w:rsidP="005D3689">
      <w:pPr>
        <w:rPr>
          <w:rFonts w:ascii="Tahoma" w:hAnsi="Tahoma" w:cs="Tahoma"/>
        </w:rPr>
      </w:pPr>
    </w:p>
    <w:p w:rsidR="005D3689" w:rsidRPr="005D3689" w:rsidRDefault="005D3689" w:rsidP="005D3689">
      <w:pPr>
        <w:rPr>
          <w:rFonts w:ascii="Tahoma" w:hAnsi="Tahoma" w:cs="Tahoma"/>
          <w:b/>
        </w:rPr>
      </w:pPr>
    </w:p>
    <w:p w:rsidR="002D631A" w:rsidRPr="007D3774" w:rsidRDefault="002D631A" w:rsidP="007D3774">
      <w:pPr>
        <w:rPr>
          <w:rFonts w:ascii="Tahoma" w:hAnsi="Tahoma" w:cs="Tahoma"/>
          <w:b/>
        </w:rPr>
      </w:pPr>
    </w:p>
    <w:p w:rsidR="007D3774" w:rsidRPr="007D3774" w:rsidRDefault="007D3774" w:rsidP="002D631A">
      <w:pPr>
        <w:pStyle w:val="ListParagraph"/>
        <w:numPr>
          <w:ilvl w:val="1"/>
          <w:numId w:val="4"/>
        </w:numPr>
        <w:tabs>
          <w:tab w:val="left" w:pos="567"/>
        </w:tabs>
        <w:ind w:left="567" w:hanging="567"/>
        <w:rPr>
          <w:rFonts w:ascii="Tahoma" w:hAnsi="Tahoma" w:cs="Tahoma"/>
        </w:rPr>
      </w:pPr>
      <w:r w:rsidRPr="007D3774">
        <w:rPr>
          <w:rFonts w:ascii="Tahoma" w:hAnsi="Tahoma" w:cs="Tahoma"/>
        </w:rPr>
        <w:t>Th</w:t>
      </w:r>
      <w:r w:rsidR="00036BAC">
        <w:rPr>
          <w:rFonts w:ascii="Tahoma" w:hAnsi="Tahoma" w:cs="Tahoma"/>
        </w:rPr>
        <w:t>e</w:t>
      </w:r>
      <w:r w:rsidRPr="007D3774">
        <w:rPr>
          <w:rFonts w:ascii="Tahoma" w:hAnsi="Tahoma" w:cs="Tahoma"/>
        </w:rPr>
        <w:t>s</w:t>
      </w:r>
      <w:r w:rsidR="00036BAC">
        <w:rPr>
          <w:rFonts w:ascii="Tahoma" w:hAnsi="Tahoma" w:cs="Tahoma"/>
        </w:rPr>
        <w:t>e</w:t>
      </w:r>
      <w:r w:rsidRPr="007D3774">
        <w:rPr>
          <w:rFonts w:ascii="Tahoma" w:hAnsi="Tahoma" w:cs="Tahoma"/>
        </w:rPr>
        <w:t xml:space="preserve"> </w:t>
      </w:r>
      <w:r>
        <w:rPr>
          <w:rFonts w:ascii="Tahoma" w:hAnsi="Tahoma" w:cs="Tahoma"/>
        </w:rPr>
        <w:t>risk</w:t>
      </w:r>
      <w:r w:rsidR="00036BAC">
        <w:rPr>
          <w:rFonts w:ascii="Tahoma" w:hAnsi="Tahoma" w:cs="Tahoma"/>
        </w:rPr>
        <w:t>s</w:t>
      </w:r>
      <w:r>
        <w:rPr>
          <w:rFonts w:ascii="Tahoma" w:hAnsi="Tahoma" w:cs="Tahoma"/>
        </w:rPr>
        <w:t xml:space="preserve"> will be added to the Risk Register with appropriate Controls and Actions and monitored as per normal practice.</w:t>
      </w:r>
    </w:p>
    <w:p w:rsidR="007D3774" w:rsidRPr="007D3774" w:rsidRDefault="007D3774" w:rsidP="007D3774">
      <w:pPr>
        <w:pStyle w:val="ListParagraph"/>
        <w:tabs>
          <w:tab w:val="left" w:pos="567"/>
        </w:tabs>
        <w:ind w:left="567"/>
        <w:rPr>
          <w:rFonts w:ascii="Tahoma" w:hAnsi="Tahoma" w:cs="Tahoma"/>
          <w:b/>
        </w:rPr>
      </w:pPr>
    </w:p>
    <w:p w:rsidR="008D1022" w:rsidRPr="002D631A" w:rsidRDefault="002E7B36" w:rsidP="002D631A">
      <w:pPr>
        <w:pStyle w:val="ListParagraph"/>
        <w:numPr>
          <w:ilvl w:val="1"/>
          <w:numId w:val="4"/>
        </w:numPr>
        <w:tabs>
          <w:tab w:val="left" w:pos="567"/>
        </w:tabs>
        <w:ind w:left="567" w:hanging="567"/>
        <w:rPr>
          <w:rFonts w:ascii="Tahoma" w:hAnsi="Tahoma" w:cs="Tahoma"/>
          <w:b/>
        </w:rPr>
      </w:pPr>
      <w:r w:rsidRPr="002D631A">
        <w:rPr>
          <w:rFonts w:ascii="Tahoma" w:hAnsi="Tahoma" w:cs="Tahoma"/>
        </w:rPr>
        <w:t xml:space="preserve">An overview of all current ‘open’ risks on the PCC’s Risk Register, based on </w:t>
      </w:r>
      <w:r w:rsidR="00D57949" w:rsidRPr="002D631A">
        <w:rPr>
          <w:rFonts w:ascii="Tahoma" w:hAnsi="Tahoma" w:cs="Tahoma"/>
        </w:rPr>
        <w:t>Inherent</w:t>
      </w:r>
      <w:r w:rsidRPr="002D631A">
        <w:rPr>
          <w:rFonts w:ascii="Tahoma" w:hAnsi="Tahoma" w:cs="Tahoma"/>
        </w:rPr>
        <w:t xml:space="preserve"> Risk is shown in the table below:</w:t>
      </w:r>
      <w:r w:rsidR="008D1022" w:rsidRPr="002D631A">
        <w:rPr>
          <w:rFonts w:ascii="Tahoma" w:hAnsi="Tahoma" w:cs="Tahoma"/>
          <w:b/>
          <w:vanish/>
        </w:rPr>
        <w:t>Inherent Risk Priority (I x L)</w:t>
      </w:r>
      <w:r w:rsidR="002D631A">
        <w:rPr>
          <w:rFonts w:ascii="Tahoma" w:hAnsi="Tahoma" w:cs="Tahoma"/>
          <w:b/>
        </w:rPr>
        <w:t xml:space="preserve"> </w:t>
      </w:r>
    </w:p>
    <w:p w:rsidR="008D1022" w:rsidRPr="008D1022" w:rsidRDefault="008D1022" w:rsidP="008D1022">
      <w:pPr>
        <w:numPr>
          <w:ilvl w:val="0"/>
          <w:numId w:val="6"/>
        </w:numPr>
        <w:tabs>
          <w:tab w:val="left" w:pos="567"/>
        </w:tabs>
        <w:rPr>
          <w:rFonts w:ascii="Tahoma" w:hAnsi="Tahoma" w:cs="Tahoma"/>
          <w:b/>
          <w:vanish/>
        </w:rPr>
      </w:pPr>
      <w:r w:rsidRPr="008D1022">
        <w:rPr>
          <w:rFonts w:ascii="Tahoma" w:hAnsi="Tahoma" w:cs="Tahoma"/>
          <w:b/>
          <w:vanish/>
        </w:rPr>
        <w:t>Residual Risk Priority (I x L)</w:t>
      </w:r>
    </w:p>
    <w:p w:rsidR="00F06E5E" w:rsidRDefault="008D1022" w:rsidP="00F06E5E">
      <w:pPr>
        <w:tabs>
          <w:tab w:val="left" w:pos="567"/>
        </w:tabs>
        <w:rPr>
          <w:rFonts w:ascii="Tahoma" w:hAnsi="Tahoma" w:cs="Tahoma"/>
          <w:b/>
        </w:rPr>
      </w:pPr>
      <w:r w:rsidRPr="008D1022">
        <w:rPr>
          <w:rFonts w:ascii="Tahoma" w:hAnsi="Tahoma" w:cs="Tahoma"/>
          <w:b/>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in;height:18pt" o:ole="">
            <v:imagedata r:id="rId8" o:title=""/>
          </v:shape>
          <w:control r:id="rId9" w:name="DefaultOcxName13" w:shapeid="_x0000_i1060"/>
        </w:object>
      </w:r>
    </w:p>
    <w:p w:rsidR="00036BAC" w:rsidRDefault="00036BAC" w:rsidP="00F06E5E">
      <w:pPr>
        <w:tabs>
          <w:tab w:val="left" w:pos="567"/>
        </w:tabs>
        <w:rPr>
          <w:rFonts w:ascii="Tahoma" w:hAnsi="Tahoma" w:cs="Tahoma"/>
          <w:b/>
        </w:rPr>
      </w:pPr>
    </w:p>
    <w:tbl>
      <w:tblPr>
        <w:tblW w:w="0" w:type="auto"/>
        <w:tblCellSpacing w:w="15" w:type="dxa"/>
        <w:tblCellMar>
          <w:left w:w="0" w:type="dxa"/>
          <w:right w:w="0" w:type="dxa"/>
        </w:tblCellMar>
        <w:tblLook w:val="04A0" w:firstRow="1" w:lastRow="0" w:firstColumn="1" w:lastColumn="0" w:noHBand="0" w:noVBand="1"/>
      </w:tblPr>
      <w:tblGrid>
        <w:gridCol w:w="1501"/>
        <w:gridCol w:w="1460"/>
        <w:gridCol w:w="1460"/>
        <w:gridCol w:w="1460"/>
        <w:gridCol w:w="1080"/>
        <w:gridCol w:w="1119"/>
      </w:tblGrid>
      <w:tr w:rsidR="00036BAC" w:rsidRPr="00036BAC" w:rsidTr="00036BAC">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bCs/>
                <w:sz w:val="20"/>
                <w:szCs w:val="20"/>
              </w:rPr>
            </w:pPr>
            <w:r w:rsidRPr="00036BAC">
              <w:rPr>
                <w:rFonts w:ascii="Tahoma" w:hAnsi="Tahoma" w:cs="Tahoma"/>
                <w:b/>
                <w:bCs/>
                <w:sz w:val="20"/>
                <w:szCs w:val="20"/>
              </w:rPr>
              <w:t>5 - Catastrophic</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Contingency (5)</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Contingency (10)</w: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Primary (15)</w: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Primary (20)</w:t>
            </w:r>
            <w:r w:rsidRPr="00036BAC">
              <w:rPr>
                <w:rFonts w:ascii="Tahoma" w:hAnsi="Tahoma" w:cs="Tahoma"/>
                <w:b/>
                <w:sz w:val="20"/>
                <w:szCs w:val="20"/>
              </w:rPr>
              <w:br/>
            </w:r>
            <w:r w:rsidRPr="00036BAC">
              <w:rPr>
                <w:rFonts w:ascii="Tahoma" w:hAnsi="Tahoma" w:cs="Tahoma"/>
                <w:b/>
                <w:sz w:val="20"/>
                <w:szCs w:val="20"/>
              </w:rPr>
              <w:object w:dxaOrig="225" w:dyaOrig="225">
                <v:shape id="_x0000_i1063" type="#_x0000_t75" style="width:17.5pt;height:22.5pt" o:ole="">
                  <v:imagedata r:id="rId10" o:title=""/>
                </v:shape>
                <w:control r:id="rId11" w:name="DefaultOcxName" w:shapeid="_x0000_i1063"/>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Primary (25)</w:t>
            </w:r>
          </w:p>
        </w:tc>
      </w:tr>
      <w:tr w:rsidR="00036BAC" w:rsidRPr="00036BAC" w:rsidTr="00036BAC">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bCs/>
                <w:sz w:val="20"/>
                <w:szCs w:val="20"/>
              </w:rPr>
            </w:pPr>
            <w:r w:rsidRPr="00036BAC">
              <w:rPr>
                <w:rFonts w:ascii="Tahoma" w:hAnsi="Tahoma" w:cs="Tahoma"/>
                <w:b/>
                <w:bCs/>
                <w:sz w:val="20"/>
                <w:szCs w:val="20"/>
              </w:rPr>
              <w:t>4 - Significant</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Contingency (4)</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Contingency (8)</w:t>
            </w:r>
            <w:r w:rsidRPr="00036BAC">
              <w:rPr>
                <w:rFonts w:ascii="Tahoma" w:hAnsi="Tahoma" w:cs="Tahoma"/>
                <w:b/>
                <w:sz w:val="20"/>
                <w:szCs w:val="20"/>
              </w:rPr>
              <w:br/>
            </w:r>
            <w:r w:rsidRPr="00036BAC">
              <w:rPr>
                <w:rFonts w:ascii="Tahoma" w:hAnsi="Tahoma" w:cs="Tahoma"/>
                <w:b/>
                <w:sz w:val="20"/>
                <w:szCs w:val="20"/>
              </w:rPr>
              <w:object w:dxaOrig="225" w:dyaOrig="225">
                <v:shape id="_x0000_i1066" type="#_x0000_t75" style="width:17.5pt;height:22.5pt" o:ole="">
                  <v:imagedata r:id="rId12" o:title=""/>
                </v:shape>
                <w:control r:id="rId13" w:name="DefaultOcxName1" w:shapeid="_x0000_i1066"/>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Primary (12)</w:t>
            </w:r>
            <w:r w:rsidRPr="00036BAC">
              <w:rPr>
                <w:rFonts w:ascii="Tahoma" w:hAnsi="Tahoma" w:cs="Tahoma"/>
                <w:b/>
                <w:sz w:val="20"/>
                <w:szCs w:val="20"/>
              </w:rPr>
              <w:br/>
            </w:r>
            <w:r w:rsidRPr="00036BAC">
              <w:rPr>
                <w:rFonts w:ascii="Tahoma" w:hAnsi="Tahoma" w:cs="Tahoma"/>
                <w:b/>
                <w:sz w:val="20"/>
                <w:szCs w:val="20"/>
              </w:rPr>
              <w:object w:dxaOrig="225" w:dyaOrig="225">
                <v:shape id="_x0000_i1069" type="#_x0000_t75" style="width:17.5pt;height:22.5pt" o:ole="">
                  <v:imagedata r:id="rId14" o:title=""/>
                </v:shape>
                <w:control r:id="rId15" w:name="DefaultOcxName21" w:shapeid="_x0000_i1069"/>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Primary (16)</w:t>
            </w:r>
            <w:r w:rsidRPr="00036BAC">
              <w:rPr>
                <w:rFonts w:ascii="Tahoma" w:hAnsi="Tahoma" w:cs="Tahoma"/>
                <w:b/>
                <w:sz w:val="20"/>
                <w:szCs w:val="20"/>
              </w:rPr>
              <w:br/>
            </w:r>
            <w:r w:rsidRPr="00036BAC">
              <w:rPr>
                <w:rFonts w:ascii="Tahoma" w:hAnsi="Tahoma" w:cs="Tahoma"/>
                <w:b/>
                <w:sz w:val="20"/>
                <w:szCs w:val="20"/>
              </w:rPr>
              <w:object w:dxaOrig="225" w:dyaOrig="225">
                <v:shape id="_x0000_i1072" type="#_x0000_t75" style="width:17.5pt;height:22.5pt" o:ole="">
                  <v:imagedata r:id="rId16" o:title=""/>
                </v:shape>
                <w:control r:id="rId17" w:name="DefaultOcxName31" w:shapeid="_x0000_i1072"/>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Primary (20)</w:t>
            </w:r>
            <w:r w:rsidRPr="00036BAC">
              <w:rPr>
                <w:rFonts w:ascii="Tahoma" w:hAnsi="Tahoma" w:cs="Tahoma"/>
                <w:b/>
                <w:sz w:val="20"/>
                <w:szCs w:val="20"/>
              </w:rPr>
              <w:br/>
            </w:r>
            <w:r w:rsidRPr="00036BAC">
              <w:rPr>
                <w:rFonts w:ascii="Tahoma" w:hAnsi="Tahoma" w:cs="Tahoma"/>
                <w:b/>
                <w:sz w:val="20"/>
                <w:szCs w:val="20"/>
              </w:rPr>
              <w:object w:dxaOrig="225" w:dyaOrig="225">
                <v:shape id="_x0000_i1075" type="#_x0000_t75" style="width:17.5pt;height:22.5pt" o:ole="">
                  <v:imagedata r:id="rId18" o:title=""/>
                </v:shape>
                <w:control r:id="rId19" w:name="DefaultOcxName41" w:shapeid="_x0000_i1075"/>
              </w:object>
            </w:r>
          </w:p>
        </w:tc>
      </w:tr>
      <w:tr w:rsidR="00036BAC" w:rsidRPr="00036BAC" w:rsidTr="00036BAC">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bCs/>
                <w:sz w:val="20"/>
                <w:szCs w:val="20"/>
              </w:rPr>
            </w:pPr>
            <w:r w:rsidRPr="00036BAC">
              <w:rPr>
                <w:rFonts w:ascii="Tahoma" w:hAnsi="Tahoma" w:cs="Tahoma"/>
                <w:b/>
                <w:bCs/>
                <w:sz w:val="20"/>
                <w:szCs w:val="20"/>
              </w:rPr>
              <w:t>3 - Moderate</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Low (3)</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Contingency (6)</w:t>
            </w:r>
            <w:r w:rsidRPr="00036BAC">
              <w:rPr>
                <w:rFonts w:ascii="Tahoma" w:hAnsi="Tahoma" w:cs="Tahoma"/>
                <w:b/>
                <w:sz w:val="20"/>
                <w:szCs w:val="20"/>
              </w:rPr>
              <w:br/>
            </w:r>
            <w:r w:rsidRPr="00036BAC">
              <w:rPr>
                <w:rFonts w:ascii="Tahoma" w:hAnsi="Tahoma" w:cs="Tahoma"/>
                <w:b/>
                <w:sz w:val="20"/>
                <w:szCs w:val="20"/>
              </w:rPr>
              <w:object w:dxaOrig="225" w:dyaOrig="225">
                <v:shape id="_x0000_i1078" type="#_x0000_t75" style="width:17.5pt;height:22.5pt" o:ole="">
                  <v:imagedata r:id="rId20" o:title=""/>
                </v:shape>
                <w:control r:id="rId21" w:name="DefaultOcxName51" w:shapeid="_x0000_i1078"/>
              </w:objec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Contingency (9)</w:t>
            </w:r>
            <w:r w:rsidRPr="00036BAC">
              <w:rPr>
                <w:rFonts w:ascii="Tahoma" w:hAnsi="Tahoma" w:cs="Tahoma"/>
                <w:b/>
                <w:sz w:val="20"/>
                <w:szCs w:val="20"/>
              </w:rPr>
              <w:br/>
            </w:r>
            <w:r w:rsidRPr="00036BAC">
              <w:rPr>
                <w:rFonts w:ascii="Tahoma" w:hAnsi="Tahoma" w:cs="Tahoma"/>
                <w:b/>
                <w:sz w:val="20"/>
                <w:szCs w:val="20"/>
              </w:rPr>
              <w:object w:dxaOrig="225" w:dyaOrig="225">
                <v:shape id="_x0000_i1081" type="#_x0000_t75" style="width:17.5pt;height:22.5pt" o:ole="">
                  <v:imagedata r:id="rId22" o:title=""/>
                </v:shape>
                <w:control r:id="rId23" w:name="DefaultOcxName61" w:shapeid="_x0000_i1081"/>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Primary (12)</w:t>
            </w:r>
            <w:r w:rsidRPr="00036BAC">
              <w:rPr>
                <w:rFonts w:ascii="Tahoma" w:hAnsi="Tahoma" w:cs="Tahoma"/>
                <w:b/>
                <w:sz w:val="20"/>
                <w:szCs w:val="20"/>
              </w:rPr>
              <w:br/>
            </w:r>
            <w:r w:rsidRPr="00036BAC">
              <w:rPr>
                <w:rFonts w:ascii="Tahoma" w:hAnsi="Tahoma" w:cs="Tahoma"/>
                <w:b/>
                <w:sz w:val="20"/>
                <w:szCs w:val="20"/>
              </w:rPr>
              <w:object w:dxaOrig="225" w:dyaOrig="225">
                <v:shape id="_x0000_i1084" type="#_x0000_t75" style="width:17.5pt;height:22.5pt" o:ole="">
                  <v:imagedata r:id="rId24" o:title=""/>
                </v:shape>
                <w:control r:id="rId25" w:name="DefaultOcxName71" w:shapeid="_x0000_i1084"/>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Primary (15)</w:t>
            </w:r>
          </w:p>
        </w:tc>
      </w:tr>
      <w:tr w:rsidR="00036BAC" w:rsidRPr="00036BAC" w:rsidTr="00036BAC">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bCs/>
                <w:sz w:val="20"/>
                <w:szCs w:val="20"/>
              </w:rPr>
            </w:pPr>
            <w:r w:rsidRPr="00036BAC">
              <w:rPr>
                <w:rFonts w:ascii="Tahoma" w:hAnsi="Tahoma" w:cs="Tahoma"/>
                <w:b/>
                <w:bCs/>
                <w:sz w:val="20"/>
                <w:szCs w:val="20"/>
              </w:rPr>
              <w:t>2 - Minor</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Low (2)</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Low (4)</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House Keeping (6)</w:t>
            </w:r>
            <w:r w:rsidRPr="00036BAC">
              <w:rPr>
                <w:rFonts w:ascii="Tahoma" w:hAnsi="Tahoma" w:cs="Tahoma"/>
                <w:b/>
                <w:sz w:val="20"/>
                <w:szCs w:val="20"/>
              </w:rPr>
              <w:br/>
            </w:r>
            <w:r w:rsidRPr="00036BAC">
              <w:rPr>
                <w:rFonts w:ascii="Tahoma" w:hAnsi="Tahoma" w:cs="Tahoma"/>
                <w:b/>
                <w:sz w:val="20"/>
                <w:szCs w:val="20"/>
              </w:rPr>
              <w:object w:dxaOrig="225" w:dyaOrig="225">
                <v:shape id="_x0000_i1087" type="#_x0000_t75" style="width:17.5pt;height:22.5pt" o:ole="">
                  <v:imagedata r:id="rId26" o:title=""/>
                </v:shape>
                <w:control r:id="rId27" w:name="DefaultOcxName81" w:shapeid="_x0000_i1087"/>
              </w:objec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House Keeping (8)</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House Keeping (10)</w:t>
            </w:r>
          </w:p>
        </w:tc>
      </w:tr>
      <w:tr w:rsidR="00036BAC" w:rsidRPr="00036BAC" w:rsidTr="00036BAC">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bCs/>
                <w:sz w:val="20"/>
                <w:szCs w:val="20"/>
              </w:rPr>
            </w:pPr>
            <w:r w:rsidRPr="00036BAC">
              <w:rPr>
                <w:rFonts w:ascii="Tahoma" w:hAnsi="Tahoma" w:cs="Tahoma"/>
                <w:b/>
                <w:bCs/>
                <w:sz w:val="20"/>
                <w:szCs w:val="20"/>
              </w:rPr>
              <w:t>1 - Insignificant</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Low (1)</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Low (2)</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House Keeping (3)</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House Keeping (4)</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sz w:val="20"/>
                <w:szCs w:val="20"/>
              </w:rPr>
            </w:pPr>
            <w:r w:rsidRPr="00036BAC">
              <w:rPr>
                <w:rFonts w:ascii="Tahoma" w:hAnsi="Tahoma" w:cs="Tahoma"/>
                <w:b/>
                <w:sz w:val="20"/>
                <w:szCs w:val="20"/>
              </w:rPr>
              <w:t>House Keeping (5)</w:t>
            </w:r>
          </w:p>
        </w:tc>
      </w:tr>
      <w:tr w:rsidR="00036BAC" w:rsidRPr="00036BAC" w:rsidTr="00036BAC">
        <w:trPr>
          <w:trHeight w:val="1050"/>
          <w:tblCellSpacing w:w="15" w:type="dxa"/>
        </w:trPr>
        <w:tc>
          <w:tcPr>
            <w:tcW w:w="1050" w:type="dxa"/>
            <w:tcBorders>
              <w:top w:val="nil"/>
              <w:left w:val="nil"/>
              <w:bottom w:val="nil"/>
              <w:right w:val="nil"/>
            </w:tcBorders>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bCs/>
                <w:sz w:val="20"/>
                <w:szCs w:val="20"/>
              </w:rPr>
            </w:pPr>
            <w:r w:rsidRPr="00036BAC">
              <w:rPr>
                <w:rFonts w:ascii="Tahoma" w:hAnsi="Tahoma" w:cs="Tahoma"/>
                <w:b/>
                <w:bCs/>
                <w:sz w:val="20"/>
                <w:szCs w:val="20"/>
              </w:rPr>
              <w:t> </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bCs/>
                <w:sz w:val="20"/>
                <w:szCs w:val="20"/>
              </w:rPr>
            </w:pPr>
            <w:r w:rsidRPr="00036BAC">
              <w:rPr>
                <w:rFonts w:ascii="Tahoma" w:hAnsi="Tahoma" w:cs="Tahoma"/>
                <w:b/>
                <w:bCs/>
                <w:sz w:val="20"/>
                <w:szCs w:val="20"/>
              </w:rPr>
              <w:t xml:space="preserve">1 - Negligible </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bCs/>
                <w:sz w:val="20"/>
                <w:szCs w:val="20"/>
              </w:rPr>
            </w:pPr>
            <w:r w:rsidRPr="00036BAC">
              <w:rPr>
                <w:rFonts w:ascii="Tahoma" w:hAnsi="Tahoma" w:cs="Tahoma"/>
                <w:b/>
                <w:bCs/>
                <w:sz w:val="20"/>
                <w:szCs w:val="20"/>
              </w:rPr>
              <w:t>2 - Rare</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bCs/>
                <w:sz w:val="20"/>
                <w:szCs w:val="20"/>
              </w:rPr>
            </w:pPr>
            <w:r w:rsidRPr="00036BAC">
              <w:rPr>
                <w:rFonts w:ascii="Tahoma" w:hAnsi="Tahoma" w:cs="Tahoma"/>
                <w:b/>
                <w:bCs/>
                <w:sz w:val="20"/>
                <w:szCs w:val="20"/>
              </w:rPr>
              <w:t>3 - Unlikely</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bCs/>
                <w:sz w:val="20"/>
                <w:szCs w:val="20"/>
              </w:rPr>
            </w:pPr>
            <w:r w:rsidRPr="00036BAC">
              <w:rPr>
                <w:rFonts w:ascii="Tahoma" w:hAnsi="Tahoma" w:cs="Tahoma"/>
                <w:b/>
                <w:bCs/>
                <w:sz w:val="20"/>
                <w:szCs w:val="20"/>
              </w:rPr>
              <w:t>4 - Possible</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036BAC" w:rsidRPr="00036BAC" w:rsidRDefault="00036BAC" w:rsidP="00036BAC">
            <w:pPr>
              <w:tabs>
                <w:tab w:val="left" w:pos="567"/>
              </w:tabs>
              <w:rPr>
                <w:rFonts w:ascii="Tahoma" w:hAnsi="Tahoma" w:cs="Tahoma"/>
                <w:b/>
                <w:bCs/>
                <w:sz w:val="20"/>
                <w:szCs w:val="20"/>
              </w:rPr>
            </w:pPr>
            <w:r w:rsidRPr="00036BAC">
              <w:rPr>
                <w:rFonts w:ascii="Tahoma" w:hAnsi="Tahoma" w:cs="Tahoma"/>
                <w:b/>
                <w:bCs/>
                <w:sz w:val="20"/>
                <w:szCs w:val="20"/>
              </w:rPr>
              <w:t>5 - Probable</w:t>
            </w:r>
          </w:p>
        </w:tc>
      </w:tr>
    </w:tbl>
    <w:p w:rsidR="00036BAC" w:rsidRPr="00F06E5E" w:rsidRDefault="00036BAC" w:rsidP="00F06E5E">
      <w:pPr>
        <w:tabs>
          <w:tab w:val="left" w:pos="567"/>
        </w:tabs>
        <w:rPr>
          <w:rFonts w:ascii="Tahoma" w:hAnsi="Tahoma" w:cs="Tahoma"/>
          <w:b/>
        </w:rPr>
      </w:pPr>
    </w:p>
    <w:p w:rsidR="00C16CBA" w:rsidRPr="00C16CBA" w:rsidRDefault="00C16CBA" w:rsidP="00C16CBA">
      <w:pPr>
        <w:tabs>
          <w:tab w:val="left" w:pos="567"/>
        </w:tabs>
        <w:rPr>
          <w:rFonts w:ascii="Tahoma" w:hAnsi="Tahoma" w:cs="Tahoma"/>
          <w:b/>
        </w:rPr>
      </w:pPr>
    </w:p>
    <w:p w:rsidR="009032A8" w:rsidRDefault="009032A8" w:rsidP="008D1022">
      <w:pPr>
        <w:tabs>
          <w:tab w:val="left" w:pos="567"/>
        </w:tabs>
        <w:rPr>
          <w:rFonts w:ascii="Tahoma" w:hAnsi="Tahoma" w:cs="Tahoma"/>
          <w:b/>
        </w:rPr>
      </w:pPr>
    </w:p>
    <w:p w:rsidR="009032A8" w:rsidRDefault="009032A8" w:rsidP="008D1022">
      <w:pPr>
        <w:tabs>
          <w:tab w:val="left" w:pos="567"/>
        </w:tabs>
        <w:rPr>
          <w:rFonts w:ascii="Tahoma" w:hAnsi="Tahoma" w:cs="Tahoma"/>
          <w:b/>
        </w:rPr>
      </w:pPr>
    </w:p>
    <w:p w:rsidR="009032A8" w:rsidRDefault="009032A8" w:rsidP="008D1022">
      <w:pPr>
        <w:tabs>
          <w:tab w:val="left" w:pos="567"/>
        </w:tabs>
        <w:rPr>
          <w:rFonts w:ascii="Tahoma" w:hAnsi="Tahoma" w:cs="Tahoma"/>
          <w:b/>
        </w:rPr>
      </w:pPr>
    </w:p>
    <w:p w:rsidR="009032A8" w:rsidRDefault="009032A8" w:rsidP="008D1022">
      <w:pPr>
        <w:tabs>
          <w:tab w:val="left" w:pos="567"/>
        </w:tabs>
        <w:rPr>
          <w:rFonts w:ascii="Tahoma" w:hAnsi="Tahoma" w:cs="Tahoma"/>
          <w:b/>
        </w:rPr>
      </w:pPr>
    </w:p>
    <w:p w:rsidR="009032A8" w:rsidRDefault="009032A8" w:rsidP="008D1022">
      <w:pPr>
        <w:tabs>
          <w:tab w:val="left" w:pos="567"/>
        </w:tabs>
        <w:rPr>
          <w:rFonts w:ascii="Tahoma" w:hAnsi="Tahoma" w:cs="Tahoma"/>
          <w:b/>
        </w:rPr>
      </w:pPr>
    </w:p>
    <w:p w:rsidR="009032A8" w:rsidRDefault="009032A8" w:rsidP="008D1022">
      <w:pPr>
        <w:tabs>
          <w:tab w:val="left" w:pos="567"/>
        </w:tabs>
        <w:rPr>
          <w:rFonts w:ascii="Tahoma" w:hAnsi="Tahoma" w:cs="Tahoma"/>
          <w:b/>
        </w:rPr>
      </w:pPr>
    </w:p>
    <w:p w:rsidR="009032A8" w:rsidRDefault="009032A8" w:rsidP="008D1022">
      <w:pPr>
        <w:tabs>
          <w:tab w:val="left" w:pos="567"/>
        </w:tabs>
        <w:rPr>
          <w:rFonts w:ascii="Tahoma" w:hAnsi="Tahoma" w:cs="Tahoma"/>
          <w:b/>
        </w:rPr>
      </w:pPr>
    </w:p>
    <w:p w:rsidR="009032A8" w:rsidRDefault="009032A8" w:rsidP="008D1022">
      <w:pPr>
        <w:tabs>
          <w:tab w:val="left" w:pos="567"/>
        </w:tabs>
        <w:rPr>
          <w:rFonts w:ascii="Tahoma" w:hAnsi="Tahoma" w:cs="Tahoma"/>
          <w:b/>
        </w:rPr>
      </w:pPr>
    </w:p>
    <w:p w:rsidR="009032A8" w:rsidRDefault="009032A8" w:rsidP="008D1022">
      <w:pPr>
        <w:tabs>
          <w:tab w:val="left" w:pos="567"/>
        </w:tabs>
        <w:rPr>
          <w:rFonts w:ascii="Tahoma" w:hAnsi="Tahoma" w:cs="Tahoma"/>
          <w:b/>
        </w:rPr>
      </w:pPr>
    </w:p>
    <w:p w:rsidR="00C16CBA" w:rsidRDefault="00C16CBA" w:rsidP="008D1022">
      <w:pPr>
        <w:tabs>
          <w:tab w:val="left" w:pos="567"/>
        </w:tabs>
        <w:rPr>
          <w:rFonts w:ascii="Tahoma" w:hAnsi="Tahoma" w:cs="Tahoma"/>
          <w:b/>
        </w:rPr>
      </w:pPr>
    </w:p>
    <w:p w:rsidR="00C16CBA" w:rsidRDefault="00C16CBA" w:rsidP="008D1022">
      <w:pPr>
        <w:tabs>
          <w:tab w:val="left" w:pos="567"/>
        </w:tabs>
        <w:rPr>
          <w:rFonts w:ascii="Tahoma" w:hAnsi="Tahoma" w:cs="Tahoma"/>
          <w:b/>
        </w:rPr>
      </w:pPr>
    </w:p>
    <w:p w:rsidR="00C16CBA" w:rsidRDefault="00C16CBA" w:rsidP="008D1022">
      <w:pPr>
        <w:tabs>
          <w:tab w:val="left" w:pos="567"/>
        </w:tabs>
        <w:rPr>
          <w:rFonts w:ascii="Tahoma" w:hAnsi="Tahoma" w:cs="Tahoma"/>
          <w:b/>
        </w:rPr>
      </w:pPr>
    </w:p>
    <w:p w:rsidR="00036BAC" w:rsidRDefault="00036BAC" w:rsidP="008D1022">
      <w:pPr>
        <w:tabs>
          <w:tab w:val="left" w:pos="567"/>
        </w:tabs>
        <w:rPr>
          <w:rFonts w:ascii="Tahoma" w:hAnsi="Tahoma" w:cs="Tahoma"/>
          <w:b/>
        </w:rPr>
      </w:pPr>
    </w:p>
    <w:p w:rsidR="00D57949" w:rsidRPr="00D57949" w:rsidRDefault="00D57949" w:rsidP="007D3774">
      <w:pPr>
        <w:tabs>
          <w:tab w:val="left" w:pos="2350"/>
        </w:tabs>
        <w:rPr>
          <w:rFonts w:ascii="Tahoma" w:hAnsi="Tahoma" w:cs="Tahoma"/>
          <w:b/>
        </w:rPr>
      </w:pPr>
    </w:p>
    <w:p w:rsidR="00D57949" w:rsidRDefault="00D57949" w:rsidP="002E7B36">
      <w:pPr>
        <w:pStyle w:val="ListParagraph"/>
        <w:numPr>
          <w:ilvl w:val="1"/>
          <w:numId w:val="4"/>
        </w:numPr>
        <w:tabs>
          <w:tab w:val="left" w:pos="567"/>
        </w:tabs>
        <w:ind w:left="567" w:hanging="567"/>
        <w:rPr>
          <w:rFonts w:ascii="Tahoma" w:hAnsi="Tahoma" w:cs="Tahoma"/>
        </w:rPr>
      </w:pPr>
      <w:r w:rsidRPr="00D57949">
        <w:rPr>
          <w:rFonts w:ascii="Tahoma" w:hAnsi="Tahoma" w:cs="Tahoma"/>
        </w:rPr>
        <w:t>With the following table showing the Residual Risks</w:t>
      </w:r>
      <w:r>
        <w:rPr>
          <w:rFonts w:ascii="Tahoma" w:hAnsi="Tahoma" w:cs="Tahoma"/>
        </w:rPr>
        <w:t>:</w:t>
      </w: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tbl>
      <w:tblPr>
        <w:tblW w:w="0" w:type="auto"/>
        <w:tblCellSpacing w:w="15" w:type="dxa"/>
        <w:tblCellMar>
          <w:left w:w="0" w:type="dxa"/>
          <w:right w:w="0" w:type="dxa"/>
        </w:tblCellMar>
        <w:tblLook w:val="04A0" w:firstRow="1" w:lastRow="0" w:firstColumn="1" w:lastColumn="0" w:noHBand="0" w:noVBand="1"/>
      </w:tblPr>
      <w:tblGrid>
        <w:gridCol w:w="1501"/>
        <w:gridCol w:w="1294"/>
        <w:gridCol w:w="1294"/>
        <w:gridCol w:w="1294"/>
        <w:gridCol w:w="1080"/>
        <w:gridCol w:w="1119"/>
      </w:tblGrid>
      <w:tr w:rsidR="00C810BC" w:rsidRPr="00C810BC" w:rsidTr="00C810BC">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b/>
                <w:bCs/>
                <w:sz w:val="20"/>
                <w:szCs w:val="20"/>
              </w:rPr>
            </w:pPr>
            <w:r w:rsidRPr="00C810BC">
              <w:rPr>
                <w:rFonts w:ascii="Tahoma" w:hAnsi="Tahoma" w:cs="Tahoma"/>
                <w:b/>
                <w:bCs/>
                <w:sz w:val="20"/>
                <w:szCs w:val="20"/>
              </w:rPr>
              <w:t>5 - Catastrophic</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Contingency (5)</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Contingency (10)</w:t>
            </w:r>
            <w:r w:rsidRPr="00C810BC">
              <w:rPr>
                <w:rFonts w:ascii="Tahoma" w:hAnsi="Tahoma" w:cs="Tahoma"/>
                <w:sz w:val="20"/>
                <w:szCs w:val="20"/>
              </w:rPr>
              <w:br/>
            </w:r>
            <w:r w:rsidRPr="00C810BC">
              <w:rPr>
                <w:rFonts w:ascii="Tahoma" w:hAnsi="Tahoma" w:cs="Tahoma"/>
                <w:sz w:val="20"/>
                <w:szCs w:val="20"/>
              </w:rPr>
              <w:object w:dxaOrig="225" w:dyaOrig="225">
                <v:shape id="_x0000_i1090" type="#_x0000_t75" style="width:17.5pt;height:22.5pt" o:ole="">
                  <v:imagedata r:id="rId28" o:title=""/>
                </v:shape>
                <w:control r:id="rId29" w:name="DefaultOcxName7" w:shapeid="_x0000_i1090"/>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Primary (15)</w:t>
            </w:r>
            <w:r w:rsidRPr="00C810BC">
              <w:rPr>
                <w:rFonts w:ascii="Tahoma" w:hAnsi="Tahoma" w:cs="Tahoma"/>
                <w:sz w:val="20"/>
                <w:szCs w:val="20"/>
              </w:rPr>
              <w:br/>
            </w:r>
            <w:r w:rsidRPr="00C810BC">
              <w:rPr>
                <w:rFonts w:ascii="Tahoma" w:hAnsi="Tahoma" w:cs="Tahoma"/>
                <w:sz w:val="20"/>
                <w:szCs w:val="20"/>
              </w:rPr>
              <w:object w:dxaOrig="225" w:dyaOrig="225">
                <v:shape id="_x0000_i1093" type="#_x0000_t75" style="width:17.5pt;height:22.5pt" o:ole="">
                  <v:imagedata r:id="rId30" o:title=""/>
                </v:shape>
                <w:control r:id="rId31" w:name="DefaultOcxName11" w:shapeid="_x0000_i1093"/>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Primary (20)</w: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Primary (25)</w:t>
            </w:r>
          </w:p>
        </w:tc>
      </w:tr>
      <w:tr w:rsidR="00C810BC" w:rsidRPr="00C810BC" w:rsidTr="00C810BC">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b/>
                <w:bCs/>
                <w:sz w:val="20"/>
                <w:szCs w:val="20"/>
              </w:rPr>
            </w:pPr>
            <w:r w:rsidRPr="00C810BC">
              <w:rPr>
                <w:rFonts w:ascii="Tahoma" w:hAnsi="Tahoma" w:cs="Tahoma"/>
                <w:b/>
                <w:bCs/>
                <w:sz w:val="20"/>
                <w:szCs w:val="20"/>
              </w:rPr>
              <w:t>4 - Significant</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Contingency (4)</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Contingency (8)</w:t>
            </w:r>
            <w:r w:rsidRPr="00C810BC">
              <w:rPr>
                <w:rFonts w:ascii="Tahoma" w:hAnsi="Tahoma" w:cs="Tahoma"/>
                <w:sz w:val="20"/>
                <w:szCs w:val="20"/>
              </w:rPr>
              <w:br/>
            </w:r>
            <w:r w:rsidRPr="00C810BC">
              <w:rPr>
                <w:rFonts w:ascii="Tahoma" w:hAnsi="Tahoma" w:cs="Tahoma"/>
                <w:sz w:val="20"/>
                <w:szCs w:val="20"/>
              </w:rPr>
              <w:object w:dxaOrig="225" w:dyaOrig="225">
                <v:shape id="_x0000_i1096" type="#_x0000_t75" style="width:17.5pt;height:22.5pt" o:ole="">
                  <v:imagedata r:id="rId32" o:title=""/>
                </v:shape>
                <w:control r:id="rId33" w:name="DefaultOcxName2" w:shapeid="_x0000_i1096"/>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Primary (12)</w:t>
            </w:r>
            <w:r w:rsidRPr="00C810BC">
              <w:rPr>
                <w:rFonts w:ascii="Tahoma" w:hAnsi="Tahoma" w:cs="Tahoma"/>
                <w:sz w:val="20"/>
                <w:szCs w:val="20"/>
              </w:rPr>
              <w:br/>
            </w:r>
            <w:r w:rsidRPr="00C810BC">
              <w:rPr>
                <w:rFonts w:ascii="Tahoma" w:hAnsi="Tahoma" w:cs="Tahoma"/>
                <w:sz w:val="20"/>
                <w:szCs w:val="20"/>
              </w:rPr>
              <w:object w:dxaOrig="225" w:dyaOrig="225">
                <v:shape id="_x0000_i1099" type="#_x0000_t75" style="width:17.5pt;height:22.5pt" o:ole="">
                  <v:imagedata r:id="rId34" o:title=""/>
                </v:shape>
                <w:control r:id="rId35" w:name="DefaultOcxName3" w:shapeid="_x0000_i1099"/>
              </w:objec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Primary (16)</w: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Primary (20)</w:t>
            </w:r>
          </w:p>
        </w:tc>
      </w:tr>
      <w:tr w:rsidR="00C810BC" w:rsidRPr="00C810BC" w:rsidTr="00C810BC">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b/>
                <w:bCs/>
                <w:sz w:val="20"/>
                <w:szCs w:val="20"/>
              </w:rPr>
            </w:pPr>
            <w:r w:rsidRPr="00C810BC">
              <w:rPr>
                <w:rFonts w:ascii="Tahoma" w:hAnsi="Tahoma" w:cs="Tahoma"/>
                <w:b/>
                <w:bCs/>
                <w:sz w:val="20"/>
                <w:szCs w:val="20"/>
              </w:rPr>
              <w:t>3 - Moderate</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Low (3)</w: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Contingency (6)</w:t>
            </w:r>
            <w:r w:rsidRPr="00C810BC">
              <w:rPr>
                <w:rFonts w:ascii="Tahoma" w:hAnsi="Tahoma" w:cs="Tahoma"/>
                <w:sz w:val="20"/>
                <w:szCs w:val="20"/>
              </w:rPr>
              <w:br/>
            </w:r>
            <w:r w:rsidRPr="00C810BC">
              <w:rPr>
                <w:rFonts w:ascii="Tahoma" w:hAnsi="Tahoma" w:cs="Tahoma"/>
                <w:sz w:val="20"/>
                <w:szCs w:val="20"/>
              </w:rPr>
              <w:object w:dxaOrig="225" w:dyaOrig="225">
                <v:shape id="_x0000_i1102" type="#_x0000_t75" style="width:17.5pt;height:22.5pt" o:ole="">
                  <v:imagedata r:id="rId36" o:title=""/>
                </v:shape>
                <w:control r:id="rId37" w:name="DefaultOcxName4" w:shapeid="_x0000_i1102"/>
              </w:object>
            </w:r>
          </w:p>
        </w:tc>
        <w:tc>
          <w:tcPr>
            <w:tcW w:w="1050" w:type="dxa"/>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Contingency (9)</w: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Primary (12)</w:t>
            </w:r>
          </w:p>
        </w:tc>
        <w:tc>
          <w:tcPr>
            <w:tcW w:w="1050" w:type="dxa"/>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Primary (15)</w:t>
            </w:r>
          </w:p>
        </w:tc>
      </w:tr>
      <w:tr w:rsidR="00C810BC" w:rsidRPr="00C810BC" w:rsidTr="00C810BC">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b/>
                <w:bCs/>
                <w:sz w:val="20"/>
                <w:szCs w:val="20"/>
              </w:rPr>
            </w:pPr>
            <w:r w:rsidRPr="00C810BC">
              <w:rPr>
                <w:rFonts w:ascii="Tahoma" w:hAnsi="Tahoma" w:cs="Tahoma"/>
                <w:b/>
                <w:bCs/>
                <w:sz w:val="20"/>
                <w:szCs w:val="20"/>
              </w:rPr>
              <w:t>2 - Minor</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Low (2)</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Low (4)</w:t>
            </w:r>
            <w:r w:rsidRPr="00C810BC">
              <w:rPr>
                <w:rFonts w:ascii="Tahoma" w:hAnsi="Tahoma" w:cs="Tahoma"/>
                <w:sz w:val="20"/>
                <w:szCs w:val="20"/>
              </w:rPr>
              <w:br/>
            </w:r>
            <w:r w:rsidRPr="00C810BC">
              <w:rPr>
                <w:rFonts w:ascii="Tahoma" w:hAnsi="Tahoma" w:cs="Tahoma"/>
                <w:sz w:val="20"/>
                <w:szCs w:val="20"/>
              </w:rPr>
              <w:object w:dxaOrig="225" w:dyaOrig="225">
                <v:shape id="_x0000_i1105" type="#_x0000_t75" style="width:17.5pt;height:22.5pt" o:ole="">
                  <v:imagedata r:id="rId38" o:title=""/>
                </v:shape>
                <w:control r:id="rId39" w:name="DefaultOcxName5" w:shapeid="_x0000_i1105"/>
              </w:objec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House Keeping (6)</w:t>
            </w:r>
            <w:r w:rsidRPr="00C810BC">
              <w:rPr>
                <w:rFonts w:ascii="Tahoma" w:hAnsi="Tahoma" w:cs="Tahoma"/>
                <w:sz w:val="20"/>
                <w:szCs w:val="20"/>
              </w:rPr>
              <w:br/>
            </w:r>
            <w:r w:rsidRPr="00C810BC">
              <w:rPr>
                <w:rFonts w:ascii="Tahoma" w:hAnsi="Tahoma" w:cs="Tahoma"/>
                <w:sz w:val="20"/>
                <w:szCs w:val="20"/>
              </w:rPr>
              <w:object w:dxaOrig="225" w:dyaOrig="225">
                <v:shape id="_x0000_i1108" type="#_x0000_t75" style="width:17.5pt;height:22.5pt" o:ole="">
                  <v:imagedata r:id="rId40" o:title=""/>
                </v:shape>
                <w:control r:id="rId41" w:name="DefaultOcxName6" w:shapeid="_x0000_i1108"/>
              </w:objec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House Keeping (8)</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House Keeping (10)</w:t>
            </w:r>
          </w:p>
        </w:tc>
      </w:tr>
      <w:tr w:rsidR="00C810BC" w:rsidRPr="00C810BC" w:rsidTr="00C810BC">
        <w:trPr>
          <w:trHeight w:val="1050"/>
          <w:tblCellSpacing w:w="15" w:type="dxa"/>
        </w:trPr>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b/>
                <w:bCs/>
                <w:sz w:val="20"/>
                <w:szCs w:val="20"/>
              </w:rPr>
            </w:pPr>
            <w:r w:rsidRPr="00C810BC">
              <w:rPr>
                <w:rFonts w:ascii="Tahoma" w:hAnsi="Tahoma" w:cs="Tahoma"/>
                <w:b/>
                <w:bCs/>
                <w:sz w:val="20"/>
                <w:szCs w:val="20"/>
              </w:rPr>
              <w:t>1 - Insignificant</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Low (1)</w:t>
            </w:r>
          </w:p>
        </w:tc>
        <w:tc>
          <w:tcPr>
            <w:tcW w:w="1050" w:type="dxa"/>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Low (2)</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House Keeping (3)</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House Keeping (4)</w:t>
            </w:r>
          </w:p>
        </w:tc>
        <w:tc>
          <w:tcPr>
            <w:tcW w:w="1050" w:type="dxa"/>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sz w:val="20"/>
                <w:szCs w:val="20"/>
              </w:rPr>
            </w:pPr>
            <w:r w:rsidRPr="00C810BC">
              <w:rPr>
                <w:rFonts w:ascii="Tahoma" w:hAnsi="Tahoma" w:cs="Tahoma"/>
                <w:sz w:val="20"/>
                <w:szCs w:val="20"/>
              </w:rPr>
              <w:t>House Keeping (5)</w:t>
            </w:r>
          </w:p>
        </w:tc>
      </w:tr>
      <w:tr w:rsidR="00C810BC" w:rsidRPr="00C810BC" w:rsidTr="00C810BC">
        <w:trPr>
          <w:trHeight w:val="1050"/>
          <w:tblCellSpacing w:w="15" w:type="dxa"/>
        </w:trPr>
        <w:tc>
          <w:tcPr>
            <w:tcW w:w="1050" w:type="dxa"/>
            <w:tcBorders>
              <w:top w:val="nil"/>
              <w:left w:val="nil"/>
              <w:bottom w:val="nil"/>
              <w:right w:val="nil"/>
            </w:tcBorders>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b/>
                <w:bCs/>
                <w:sz w:val="20"/>
                <w:szCs w:val="20"/>
              </w:rPr>
            </w:pPr>
            <w:r w:rsidRPr="00C810BC">
              <w:rPr>
                <w:rFonts w:ascii="Tahoma" w:hAnsi="Tahoma" w:cs="Tahoma"/>
                <w:b/>
                <w:bCs/>
                <w:sz w:val="20"/>
                <w:szCs w:val="20"/>
              </w:rPr>
              <w:t> </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b/>
                <w:bCs/>
                <w:sz w:val="20"/>
                <w:szCs w:val="20"/>
              </w:rPr>
            </w:pPr>
            <w:r w:rsidRPr="00C810BC">
              <w:rPr>
                <w:rFonts w:ascii="Tahoma" w:hAnsi="Tahoma" w:cs="Tahoma"/>
                <w:b/>
                <w:bCs/>
                <w:sz w:val="20"/>
                <w:szCs w:val="20"/>
              </w:rPr>
              <w:t xml:space="preserve">1 - Negligible </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b/>
                <w:bCs/>
                <w:sz w:val="20"/>
                <w:szCs w:val="20"/>
              </w:rPr>
            </w:pPr>
            <w:r w:rsidRPr="00C810BC">
              <w:rPr>
                <w:rFonts w:ascii="Tahoma" w:hAnsi="Tahoma" w:cs="Tahoma"/>
                <w:b/>
                <w:bCs/>
                <w:sz w:val="20"/>
                <w:szCs w:val="20"/>
              </w:rPr>
              <w:t>2 - Rare</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b/>
                <w:bCs/>
                <w:sz w:val="20"/>
                <w:szCs w:val="20"/>
              </w:rPr>
            </w:pPr>
            <w:r w:rsidRPr="00C810BC">
              <w:rPr>
                <w:rFonts w:ascii="Tahoma" w:hAnsi="Tahoma" w:cs="Tahoma"/>
                <w:b/>
                <w:bCs/>
                <w:sz w:val="20"/>
                <w:szCs w:val="20"/>
              </w:rPr>
              <w:t>3 - Unlikely</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b/>
                <w:bCs/>
                <w:sz w:val="20"/>
                <w:szCs w:val="20"/>
              </w:rPr>
            </w:pPr>
            <w:r w:rsidRPr="00C810BC">
              <w:rPr>
                <w:rFonts w:ascii="Tahoma" w:hAnsi="Tahoma" w:cs="Tahoma"/>
                <w:b/>
                <w:bCs/>
                <w:sz w:val="20"/>
                <w:szCs w:val="20"/>
              </w:rPr>
              <w:t>4 - Possible</w:t>
            </w:r>
          </w:p>
        </w:tc>
        <w:tc>
          <w:tcPr>
            <w:tcW w:w="1050" w:type="dxa"/>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C810BC" w:rsidRPr="00C810BC" w:rsidRDefault="00C810BC" w:rsidP="00C810BC">
            <w:pPr>
              <w:tabs>
                <w:tab w:val="left" w:pos="567"/>
              </w:tabs>
              <w:rPr>
                <w:rFonts w:ascii="Tahoma" w:hAnsi="Tahoma" w:cs="Tahoma"/>
                <w:b/>
                <w:bCs/>
                <w:sz w:val="20"/>
                <w:szCs w:val="20"/>
              </w:rPr>
            </w:pPr>
            <w:r w:rsidRPr="00C810BC">
              <w:rPr>
                <w:rFonts w:ascii="Tahoma" w:hAnsi="Tahoma" w:cs="Tahoma"/>
                <w:b/>
                <w:bCs/>
                <w:sz w:val="20"/>
                <w:szCs w:val="20"/>
              </w:rPr>
              <w:t>5 - Probable</w:t>
            </w:r>
          </w:p>
        </w:tc>
      </w:tr>
    </w:tbl>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Pr="00C810BC" w:rsidRDefault="00C810BC" w:rsidP="00C810BC">
      <w:pPr>
        <w:tabs>
          <w:tab w:val="left" w:pos="567"/>
        </w:tabs>
        <w:rPr>
          <w:rFonts w:ascii="Tahoma" w:hAnsi="Tahoma" w:cs="Tahoma"/>
        </w:rPr>
      </w:pPr>
    </w:p>
    <w:p w:rsidR="009032A8" w:rsidRDefault="009032A8" w:rsidP="002E7B36">
      <w:pPr>
        <w:tabs>
          <w:tab w:val="left" w:pos="567"/>
        </w:tabs>
        <w:rPr>
          <w:rFonts w:ascii="Tahoma" w:hAnsi="Tahoma" w:cs="Tahoma"/>
          <w:b/>
        </w:rPr>
      </w:pPr>
    </w:p>
    <w:p w:rsidR="00C810BC" w:rsidRPr="00C810BC" w:rsidRDefault="00C810BC" w:rsidP="009032A8">
      <w:pPr>
        <w:numPr>
          <w:ilvl w:val="0"/>
          <w:numId w:val="10"/>
        </w:numPr>
        <w:tabs>
          <w:tab w:val="left" w:pos="567"/>
        </w:tabs>
        <w:rPr>
          <w:rFonts w:ascii="Tahoma" w:hAnsi="Tahoma" w:cs="Tahoma"/>
          <w:b/>
          <w:vanish/>
        </w:rPr>
      </w:pPr>
    </w:p>
    <w:p w:rsidR="00C810BC" w:rsidRPr="00C810BC" w:rsidRDefault="00C810BC" w:rsidP="009032A8">
      <w:pPr>
        <w:numPr>
          <w:ilvl w:val="0"/>
          <w:numId w:val="10"/>
        </w:numPr>
        <w:tabs>
          <w:tab w:val="left" w:pos="567"/>
        </w:tabs>
        <w:rPr>
          <w:rFonts w:ascii="Tahoma" w:hAnsi="Tahoma" w:cs="Tahoma"/>
          <w:b/>
          <w:vanish/>
        </w:rPr>
      </w:pPr>
    </w:p>
    <w:p w:rsidR="00C810BC" w:rsidRPr="00C810BC" w:rsidRDefault="00C810BC" w:rsidP="009032A8">
      <w:pPr>
        <w:numPr>
          <w:ilvl w:val="0"/>
          <w:numId w:val="10"/>
        </w:numPr>
        <w:tabs>
          <w:tab w:val="left" w:pos="567"/>
        </w:tabs>
        <w:rPr>
          <w:rFonts w:ascii="Tahoma" w:hAnsi="Tahoma" w:cs="Tahoma"/>
          <w:b/>
          <w:vanish/>
        </w:rPr>
      </w:pPr>
    </w:p>
    <w:p w:rsidR="00C810BC" w:rsidRPr="00C810BC" w:rsidRDefault="00C810BC" w:rsidP="009032A8">
      <w:pPr>
        <w:numPr>
          <w:ilvl w:val="0"/>
          <w:numId w:val="10"/>
        </w:numPr>
        <w:tabs>
          <w:tab w:val="left" w:pos="567"/>
        </w:tabs>
        <w:rPr>
          <w:rFonts w:ascii="Tahoma" w:hAnsi="Tahoma" w:cs="Tahoma"/>
          <w:b/>
          <w:vanish/>
        </w:rPr>
      </w:pPr>
    </w:p>
    <w:p w:rsidR="00C810BC" w:rsidRPr="00C810BC" w:rsidRDefault="00C810BC" w:rsidP="009032A8">
      <w:pPr>
        <w:numPr>
          <w:ilvl w:val="0"/>
          <w:numId w:val="10"/>
        </w:numPr>
        <w:tabs>
          <w:tab w:val="left" w:pos="567"/>
        </w:tabs>
        <w:rPr>
          <w:rFonts w:ascii="Tahoma" w:hAnsi="Tahoma" w:cs="Tahoma"/>
          <w:b/>
          <w:vanish/>
        </w:rPr>
      </w:pPr>
    </w:p>
    <w:p w:rsidR="00C810BC" w:rsidRPr="00C810BC" w:rsidRDefault="00C810BC" w:rsidP="009032A8">
      <w:pPr>
        <w:numPr>
          <w:ilvl w:val="0"/>
          <w:numId w:val="10"/>
        </w:numPr>
        <w:tabs>
          <w:tab w:val="left" w:pos="567"/>
        </w:tabs>
        <w:rPr>
          <w:rFonts w:ascii="Tahoma" w:hAnsi="Tahoma" w:cs="Tahoma"/>
          <w:b/>
          <w:vanish/>
        </w:rPr>
      </w:pPr>
    </w:p>
    <w:p w:rsidR="009032A8" w:rsidRPr="009032A8" w:rsidRDefault="009032A8" w:rsidP="009032A8">
      <w:pPr>
        <w:numPr>
          <w:ilvl w:val="0"/>
          <w:numId w:val="10"/>
        </w:numPr>
        <w:tabs>
          <w:tab w:val="left" w:pos="567"/>
        </w:tabs>
        <w:rPr>
          <w:rFonts w:ascii="Tahoma" w:hAnsi="Tahoma" w:cs="Tahoma"/>
          <w:b/>
          <w:vanish/>
        </w:rPr>
      </w:pPr>
      <w:r w:rsidRPr="009032A8">
        <w:rPr>
          <w:rFonts w:ascii="Tahoma" w:hAnsi="Tahoma" w:cs="Tahoma"/>
          <w:b/>
          <w:vanish/>
        </w:rPr>
        <w:t>Inherent Risk Priority (I x L)</w:t>
      </w:r>
    </w:p>
    <w:p w:rsidR="009032A8" w:rsidRPr="009032A8" w:rsidRDefault="009032A8" w:rsidP="009032A8">
      <w:pPr>
        <w:numPr>
          <w:ilvl w:val="0"/>
          <w:numId w:val="10"/>
        </w:numPr>
        <w:tabs>
          <w:tab w:val="left" w:pos="567"/>
        </w:tabs>
        <w:rPr>
          <w:rFonts w:ascii="Tahoma" w:hAnsi="Tahoma" w:cs="Tahoma"/>
          <w:b/>
          <w:vanish/>
        </w:rPr>
      </w:pPr>
      <w:r w:rsidRPr="009032A8">
        <w:rPr>
          <w:rFonts w:ascii="Tahoma" w:hAnsi="Tahoma" w:cs="Tahoma"/>
          <w:b/>
          <w:vanish/>
        </w:rPr>
        <w:t>Residual Risk Priority (I x L)</w:t>
      </w:r>
    </w:p>
    <w:p w:rsidR="008D1022" w:rsidRPr="008D1022" w:rsidRDefault="008D1022" w:rsidP="008D1022">
      <w:pPr>
        <w:numPr>
          <w:ilvl w:val="0"/>
          <w:numId w:val="7"/>
        </w:numPr>
        <w:tabs>
          <w:tab w:val="left" w:pos="567"/>
        </w:tabs>
        <w:rPr>
          <w:rFonts w:ascii="Tahoma" w:hAnsi="Tahoma" w:cs="Tahoma"/>
          <w:b/>
          <w:vanish/>
        </w:rPr>
      </w:pPr>
      <w:r w:rsidRPr="008D1022">
        <w:rPr>
          <w:rFonts w:ascii="Tahoma" w:hAnsi="Tahoma" w:cs="Tahoma"/>
          <w:b/>
          <w:vanish/>
        </w:rPr>
        <w:t>Inherent Risk Priority (I x L)</w:t>
      </w:r>
    </w:p>
    <w:p w:rsidR="008D1022" w:rsidRPr="008D1022" w:rsidRDefault="008D1022" w:rsidP="008D1022">
      <w:pPr>
        <w:numPr>
          <w:ilvl w:val="0"/>
          <w:numId w:val="7"/>
        </w:numPr>
        <w:tabs>
          <w:tab w:val="left" w:pos="567"/>
        </w:tabs>
        <w:rPr>
          <w:rFonts w:ascii="Tahoma" w:hAnsi="Tahoma" w:cs="Tahoma"/>
          <w:b/>
          <w:vanish/>
        </w:rPr>
      </w:pPr>
      <w:r w:rsidRPr="008D1022">
        <w:rPr>
          <w:rFonts w:ascii="Tahoma" w:hAnsi="Tahoma" w:cs="Tahoma"/>
          <w:b/>
          <w:vanish/>
        </w:rPr>
        <w:t>Residual Risk Priority (I x L)</w:t>
      </w:r>
    </w:p>
    <w:p w:rsidR="00D57949" w:rsidRPr="00C810BC" w:rsidRDefault="00D57949" w:rsidP="00C810BC">
      <w:pPr>
        <w:tabs>
          <w:tab w:val="left" w:pos="567"/>
        </w:tabs>
        <w:rPr>
          <w:rFonts w:ascii="Tahoma" w:hAnsi="Tahoma" w:cs="Tahoma"/>
          <w:b/>
        </w:rPr>
      </w:pPr>
    </w:p>
    <w:p w:rsidR="00EE05EB" w:rsidRDefault="00EE05EB" w:rsidP="00C7559C">
      <w:pPr>
        <w:tabs>
          <w:tab w:val="left" w:pos="0"/>
        </w:tabs>
        <w:rPr>
          <w:rFonts w:ascii="Tahoma" w:hAnsi="Tahoma" w:cs="Tahoma"/>
          <w:b/>
        </w:rPr>
      </w:pPr>
      <w:r>
        <w:rPr>
          <w:rFonts w:ascii="Tahoma" w:hAnsi="Tahoma" w:cs="Tahoma"/>
          <w:b/>
        </w:rPr>
        <w:lastRenderedPageBreak/>
        <w:t>5.    Risk Register</w:t>
      </w:r>
    </w:p>
    <w:p w:rsidR="00EE05EB" w:rsidRDefault="00EE05EB" w:rsidP="00EE05EB">
      <w:pPr>
        <w:tabs>
          <w:tab w:val="left" w:pos="709"/>
        </w:tabs>
        <w:rPr>
          <w:rFonts w:ascii="Tahoma" w:hAnsi="Tahoma" w:cs="Tahoma"/>
        </w:rPr>
      </w:pPr>
    </w:p>
    <w:p w:rsidR="00EE05EB" w:rsidRDefault="00C7559C" w:rsidP="008137B2">
      <w:pPr>
        <w:tabs>
          <w:tab w:val="left" w:pos="567"/>
        </w:tabs>
        <w:ind w:left="567" w:hanging="567"/>
        <w:rPr>
          <w:rFonts w:ascii="Tahoma" w:hAnsi="Tahoma" w:cs="Tahoma"/>
        </w:rPr>
      </w:pPr>
      <w:r>
        <w:rPr>
          <w:rFonts w:ascii="Tahoma" w:hAnsi="Tahoma" w:cs="Tahoma"/>
        </w:rPr>
        <w:t xml:space="preserve">5.1  </w:t>
      </w:r>
      <w:r w:rsidR="00C16577">
        <w:rPr>
          <w:rFonts w:ascii="Tahoma" w:hAnsi="Tahoma" w:cs="Tahoma"/>
        </w:rPr>
        <w:t xml:space="preserve"> </w:t>
      </w:r>
      <w:r w:rsidR="00E86E24">
        <w:rPr>
          <w:rFonts w:ascii="Tahoma" w:hAnsi="Tahoma" w:cs="Tahoma"/>
        </w:rPr>
        <w:t xml:space="preserve">The </w:t>
      </w:r>
      <w:r w:rsidR="00BC7EF2">
        <w:rPr>
          <w:rFonts w:ascii="Tahoma" w:hAnsi="Tahoma" w:cs="Tahoma"/>
        </w:rPr>
        <w:t xml:space="preserve">Insight4GRC </w:t>
      </w:r>
      <w:r w:rsidR="00E86E24">
        <w:rPr>
          <w:rFonts w:ascii="Tahoma" w:hAnsi="Tahoma" w:cs="Tahoma"/>
        </w:rPr>
        <w:t xml:space="preserve">methodology </w:t>
      </w:r>
      <w:r w:rsidR="00850690">
        <w:rPr>
          <w:rFonts w:ascii="Tahoma" w:hAnsi="Tahoma" w:cs="Tahoma"/>
        </w:rPr>
        <w:t xml:space="preserve">and Risk Management Policy </w:t>
      </w:r>
      <w:r w:rsidR="00C10A7B">
        <w:rPr>
          <w:rFonts w:ascii="Tahoma" w:hAnsi="Tahoma" w:cs="Tahoma"/>
        </w:rPr>
        <w:t>is</w:t>
      </w:r>
      <w:r>
        <w:rPr>
          <w:rFonts w:ascii="Tahoma" w:hAnsi="Tahoma" w:cs="Tahoma"/>
        </w:rPr>
        <w:t xml:space="preserve"> in place and work is </w:t>
      </w:r>
      <w:r w:rsidR="00E86E24">
        <w:rPr>
          <w:rFonts w:ascii="Tahoma" w:hAnsi="Tahoma" w:cs="Tahoma"/>
        </w:rPr>
        <w:t xml:space="preserve">continuing to </w:t>
      </w:r>
      <w:r w:rsidR="00197F20">
        <w:rPr>
          <w:rFonts w:ascii="Tahoma" w:hAnsi="Tahoma" w:cs="Tahoma"/>
        </w:rPr>
        <w:t xml:space="preserve">embed it into the </w:t>
      </w:r>
      <w:r w:rsidR="00850690">
        <w:rPr>
          <w:rFonts w:ascii="Tahoma" w:hAnsi="Tahoma" w:cs="Tahoma"/>
        </w:rPr>
        <w:t xml:space="preserve">day to day work of the </w:t>
      </w:r>
      <w:r w:rsidR="00197F20">
        <w:rPr>
          <w:rFonts w:ascii="Tahoma" w:hAnsi="Tahoma" w:cs="Tahoma"/>
        </w:rPr>
        <w:t>OPCC.</w:t>
      </w:r>
    </w:p>
    <w:p w:rsidR="00EE05EB" w:rsidRDefault="00EE05EB" w:rsidP="00C10A7B">
      <w:pPr>
        <w:tabs>
          <w:tab w:val="left" w:pos="709"/>
        </w:tabs>
        <w:rPr>
          <w:rFonts w:ascii="Tahoma" w:hAnsi="Tahoma" w:cs="Tahoma"/>
        </w:rPr>
      </w:pPr>
    </w:p>
    <w:p w:rsidR="00EE05EB" w:rsidRDefault="00C10A7B" w:rsidP="008137B2">
      <w:pPr>
        <w:tabs>
          <w:tab w:val="left" w:pos="567"/>
        </w:tabs>
        <w:ind w:left="567" w:hanging="567"/>
        <w:rPr>
          <w:rFonts w:ascii="Tahoma" w:hAnsi="Tahoma" w:cs="Tahoma"/>
        </w:rPr>
      </w:pPr>
      <w:r>
        <w:rPr>
          <w:rFonts w:ascii="Tahoma" w:hAnsi="Tahoma" w:cs="Tahoma"/>
        </w:rPr>
        <w:t>5.2</w:t>
      </w:r>
      <w:r>
        <w:rPr>
          <w:rFonts w:ascii="Tahoma" w:hAnsi="Tahoma" w:cs="Tahoma"/>
        </w:rPr>
        <w:tab/>
      </w:r>
      <w:r w:rsidR="00EE05EB">
        <w:rPr>
          <w:rFonts w:ascii="Tahoma" w:hAnsi="Tahoma" w:cs="Tahoma"/>
        </w:rPr>
        <w:t>All of the risks have and will continue to be allocated to individual Officers</w:t>
      </w:r>
      <w:r w:rsidR="00850690">
        <w:rPr>
          <w:rFonts w:ascii="Tahoma" w:hAnsi="Tahoma" w:cs="Tahoma"/>
        </w:rPr>
        <w:t xml:space="preserve"> </w:t>
      </w:r>
      <w:r w:rsidR="00C16577">
        <w:rPr>
          <w:rFonts w:ascii="Tahoma" w:hAnsi="Tahoma" w:cs="Tahoma"/>
        </w:rPr>
        <w:t>with regular</w:t>
      </w:r>
      <w:r w:rsidR="00850690">
        <w:rPr>
          <w:rFonts w:ascii="Tahoma" w:hAnsi="Tahoma" w:cs="Tahoma"/>
        </w:rPr>
        <w:t xml:space="preserve"> updates required.</w:t>
      </w:r>
    </w:p>
    <w:p w:rsidR="00EE05EB" w:rsidRDefault="00EE05EB" w:rsidP="00C10A7B">
      <w:pPr>
        <w:rPr>
          <w:rFonts w:ascii="Tahoma" w:hAnsi="Tahoma" w:cs="Tahoma"/>
        </w:rPr>
      </w:pPr>
    </w:p>
    <w:p w:rsidR="00BC7EF2" w:rsidRPr="00C810BC" w:rsidRDefault="00EE05EB" w:rsidP="00C810BC">
      <w:pPr>
        <w:rPr>
          <w:rFonts w:ascii="Tahoma" w:hAnsi="Tahoma" w:cs="Tahoma"/>
        </w:rPr>
      </w:pPr>
      <w:r>
        <w:rPr>
          <w:rFonts w:ascii="Tahoma" w:hAnsi="Tahoma" w:cs="Tahoma"/>
        </w:rPr>
        <w:t xml:space="preserve">5.3  </w:t>
      </w:r>
      <w:r w:rsidR="00850690">
        <w:rPr>
          <w:rFonts w:ascii="Tahoma" w:hAnsi="Tahoma" w:cs="Tahoma"/>
        </w:rPr>
        <w:t xml:space="preserve"> </w:t>
      </w:r>
      <w:r>
        <w:rPr>
          <w:rFonts w:ascii="Tahoma" w:hAnsi="Tahoma" w:cs="Tahoma"/>
        </w:rPr>
        <w:t xml:space="preserve">A copy of the Strategic Risk Register is included </w:t>
      </w:r>
      <w:r w:rsidR="00C810BC">
        <w:rPr>
          <w:rFonts w:ascii="Tahoma" w:hAnsi="Tahoma" w:cs="Tahoma"/>
        </w:rPr>
        <w:t>at todays meeting.</w:t>
      </w:r>
    </w:p>
    <w:p w:rsidR="002E7B36" w:rsidRDefault="002E7B36" w:rsidP="00EE05EB">
      <w:pPr>
        <w:tabs>
          <w:tab w:val="left" w:pos="709"/>
        </w:tabs>
        <w:outlineLvl w:val="0"/>
        <w:rPr>
          <w:rFonts w:ascii="Tahoma" w:hAnsi="Tahoma" w:cs="Tahoma"/>
          <w:b/>
        </w:rPr>
      </w:pPr>
    </w:p>
    <w:p w:rsidR="00EE05EB" w:rsidRDefault="008137B2" w:rsidP="008137B2">
      <w:pPr>
        <w:tabs>
          <w:tab w:val="left" w:pos="567"/>
        </w:tabs>
        <w:outlineLvl w:val="0"/>
        <w:rPr>
          <w:rFonts w:ascii="Tahoma" w:hAnsi="Tahoma" w:cs="Tahoma"/>
          <w:b/>
        </w:rPr>
      </w:pPr>
      <w:r>
        <w:rPr>
          <w:rFonts w:ascii="Tahoma" w:hAnsi="Tahoma" w:cs="Tahoma"/>
          <w:b/>
        </w:rPr>
        <w:t>6.</w:t>
      </w:r>
      <w:r>
        <w:rPr>
          <w:rFonts w:ascii="Tahoma" w:hAnsi="Tahoma" w:cs="Tahoma"/>
          <w:b/>
        </w:rPr>
        <w:tab/>
      </w:r>
      <w:r w:rsidR="00EE05EB">
        <w:rPr>
          <w:rFonts w:ascii="Tahoma" w:hAnsi="Tahoma" w:cs="Tahoma"/>
          <w:b/>
        </w:rPr>
        <w:t>Implications</w:t>
      </w:r>
    </w:p>
    <w:p w:rsidR="00EE05EB" w:rsidRDefault="00EE05EB" w:rsidP="00EE05EB">
      <w:pPr>
        <w:rPr>
          <w:rFonts w:ascii="Tahoma" w:hAnsi="Tahoma" w:cs="Tahoma"/>
        </w:rPr>
      </w:pPr>
    </w:p>
    <w:p w:rsidR="00EE05EB" w:rsidRDefault="008137B2" w:rsidP="008137B2">
      <w:pPr>
        <w:tabs>
          <w:tab w:val="left" w:pos="567"/>
        </w:tabs>
        <w:outlineLvl w:val="0"/>
        <w:rPr>
          <w:rFonts w:ascii="Tahoma" w:hAnsi="Tahoma" w:cs="Tahoma"/>
          <w:u w:val="single"/>
        </w:rPr>
      </w:pPr>
      <w:r>
        <w:rPr>
          <w:rFonts w:ascii="Tahoma" w:hAnsi="Tahoma" w:cs="Tahoma"/>
          <w:bCs/>
        </w:rPr>
        <w:t>6.1</w:t>
      </w:r>
      <w:r>
        <w:rPr>
          <w:rFonts w:ascii="Tahoma" w:hAnsi="Tahoma" w:cs="Tahoma"/>
          <w:bCs/>
        </w:rPr>
        <w:tab/>
      </w:r>
      <w:r w:rsidR="00EE05EB">
        <w:rPr>
          <w:rFonts w:ascii="Tahoma" w:hAnsi="Tahoma" w:cs="Tahoma"/>
          <w:bCs/>
          <w:u w:val="single"/>
        </w:rPr>
        <w:t>Finance</w:t>
      </w:r>
    </w:p>
    <w:p w:rsidR="00EE05EB" w:rsidRDefault="00EE05EB" w:rsidP="008137B2">
      <w:pPr>
        <w:ind w:left="567"/>
        <w:rPr>
          <w:rFonts w:ascii="Tahoma" w:hAnsi="Tahoma" w:cs="Tahoma"/>
        </w:rPr>
      </w:pPr>
      <w:r>
        <w:rPr>
          <w:rFonts w:ascii="Tahoma" w:hAnsi="Tahoma" w:cs="Tahoma"/>
        </w:rPr>
        <w:t>There are no known financial implications at the present time. However, as the process progresses the financial implications will be continually reviewed.</w:t>
      </w:r>
    </w:p>
    <w:p w:rsidR="00EE05EB" w:rsidRDefault="00EE05EB" w:rsidP="00EE05EB">
      <w:pPr>
        <w:ind w:left="720"/>
        <w:rPr>
          <w:rFonts w:ascii="Tahoma" w:hAnsi="Tahoma" w:cs="Tahoma"/>
        </w:rPr>
      </w:pPr>
    </w:p>
    <w:p w:rsidR="00EE05EB" w:rsidRDefault="00EE05EB" w:rsidP="008137B2">
      <w:pPr>
        <w:tabs>
          <w:tab w:val="left" w:pos="567"/>
        </w:tabs>
        <w:outlineLvl w:val="0"/>
        <w:rPr>
          <w:rFonts w:ascii="Tahoma" w:hAnsi="Tahoma" w:cs="Tahoma"/>
          <w:u w:val="single"/>
        </w:rPr>
      </w:pPr>
      <w:r>
        <w:rPr>
          <w:rFonts w:ascii="Tahoma" w:hAnsi="Tahoma" w:cs="Tahoma"/>
        </w:rPr>
        <w:t>6.2</w:t>
      </w:r>
      <w:r>
        <w:rPr>
          <w:rFonts w:ascii="Tahoma" w:hAnsi="Tahoma" w:cs="Tahoma"/>
        </w:rPr>
        <w:tab/>
      </w:r>
      <w:r>
        <w:rPr>
          <w:rFonts w:ascii="Tahoma" w:hAnsi="Tahoma" w:cs="Tahoma"/>
          <w:u w:val="single"/>
        </w:rPr>
        <w:t>Diversity and Equal Opportunities</w:t>
      </w:r>
    </w:p>
    <w:p w:rsidR="00EE05EB" w:rsidRDefault="00EE05EB" w:rsidP="008137B2">
      <w:pPr>
        <w:ind w:left="567"/>
        <w:rPr>
          <w:rFonts w:ascii="Tahoma" w:hAnsi="Tahoma" w:cs="Tahoma"/>
        </w:rPr>
      </w:pPr>
      <w:r>
        <w:rPr>
          <w:rFonts w:ascii="Tahoma" w:hAnsi="Tahoma" w:cs="Tahoma"/>
        </w:rPr>
        <w:t>There are no diversity or equal opportunities implications arising from the content of this report.</w:t>
      </w:r>
    </w:p>
    <w:p w:rsidR="00EE05EB" w:rsidRDefault="00EE05EB" w:rsidP="00EE05EB">
      <w:pPr>
        <w:rPr>
          <w:rFonts w:ascii="Tahoma" w:hAnsi="Tahoma" w:cs="Tahoma"/>
        </w:rPr>
      </w:pPr>
    </w:p>
    <w:p w:rsidR="00EE05EB" w:rsidRDefault="00EE05EB" w:rsidP="008137B2">
      <w:pPr>
        <w:tabs>
          <w:tab w:val="left" w:pos="567"/>
        </w:tabs>
        <w:outlineLvl w:val="0"/>
        <w:rPr>
          <w:rFonts w:ascii="Tahoma" w:hAnsi="Tahoma" w:cs="Tahoma"/>
          <w:u w:val="single"/>
        </w:rPr>
      </w:pPr>
      <w:r>
        <w:rPr>
          <w:rFonts w:ascii="Tahoma" w:hAnsi="Tahoma" w:cs="Tahoma"/>
        </w:rPr>
        <w:t>6.3</w:t>
      </w:r>
      <w:r>
        <w:rPr>
          <w:rFonts w:ascii="Tahoma" w:hAnsi="Tahoma" w:cs="Tahoma"/>
        </w:rPr>
        <w:tab/>
      </w:r>
      <w:r>
        <w:rPr>
          <w:rFonts w:ascii="Tahoma" w:hAnsi="Tahoma" w:cs="Tahoma"/>
          <w:u w:val="single"/>
        </w:rPr>
        <w:t>Human Rights Act</w:t>
      </w:r>
    </w:p>
    <w:p w:rsidR="00EE05EB" w:rsidRDefault="00EE05EB" w:rsidP="008137B2">
      <w:pPr>
        <w:ind w:left="567" w:firstLine="11"/>
        <w:rPr>
          <w:rFonts w:ascii="Tahoma" w:hAnsi="Tahoma" w:cs="Tahoma"/>
        </w:rPr>
      </w:pPr>
      <w:r>
        <w:rPr>
          <w:rFonts w:ascii="Tahoma" w:hAnsi="Tahoma" w:cs="Tahoma"/>
        </w:rPr>
        <w:t>There are no Human Rights Act implications arising from the content of this report.</w:t>
      </w:r>
    </w:p>
    <w:p w:rsidR="00EE05EB" w:rsidRDefault="00EE05EB" w:rsidP="00EE05EB">
      <w:pPr>
        <w:rPr>
          <w:rFonts w:ascii="Tahoma" w:hAnsi="Tahoma" w:cs="Tahoma"/>
          <w:u w:val="single"/>
        </w:rPr>
      </w:pPr>
    </w:p>
    <w:p w:rsidR="00EE05EB" w:rsidRDefault="00EE05EB" w:rsidP="008137B2">
      <w:pPr>
        <w:tabs>
          <w:tab w:val="left" w:pos="567"/>
        </w:tabs>
        <w:outlineLvl w:val="0"/>
        <w:rPr>
          <w:rFonts w:ascii="Tahoma" w:hAnsi="Tahoma" w:cs="Tahoma"/>
          <w:u w:val="single"/>
        </w:rPr>
      </w:pPr>
      <w:r>
        <w:rPr>
          <w:rFonts w:ascii="Tahoma" w:hAnsi="Tahoma" w:cs="Tahoma"/>
        </w:rPr>
        <w:t>6.4</w:t>
      </w:r>
      <w:r>
        <w:rPr>
          <w:rFonts w:ascii="Tahoma" w:hAnsi="Tahoma" w:cs="Tahoma"/>
        </w:rPr>
        <w:tab/>
      </w:r>
      <w:r>
        <w:rPr>
          <w:rFonts w:ascii="Tahoma" w:hAnsi="Tahoma" w:cs="Tahoma"/>
          <w:u w:val="single"/>
        </w:rPr>
        <w:t>Sustainability</w:t>
      </w:r>
    </w:p>
    <w:p w:rsidR="00EE05EB" w:rsidRPr="00197F20" w:rsidRDefault="00EE05EB" w:rsidP="008137B2">
      <w:pPr>
        <w:ind w:left="567"/>
        <w:rPr>
          <w:rFonts w:ascii="Tahoma" w:hAnsi="Tahoma" w:cs="Tahoma"/>
        </w:rPr>
      </w:pPr>
      <w:r>
        <w:rPr>
          <w:rFonts w:ascii="Tahoma" w:hAnsi="Tahoma" w:cs="Tahoma"/>
        </w:rPr>
        <w:t>Risk Management is a vital element in ensuring the sustainable delivery of services and delivering the PCC’s priorities.</w:t>
      </w:r>
      <w:r>
        <w:rPr>
          <w:rFonts w:ascii="Tahoma" w:hAnsi="Tahoma" w:cs="Tahoma"/>
          <w:u w:val="single"/>
        </w:rPr>
        <w:br/>
      </w:r>
    </w:p>
    <w:p w:rsidR="00EE05EB" w:rsidRDefault="00EE05EB" w:rsidP="008137B2">
      <w:pPr>
        <w:tabs>
          <w:tab w:val="left" w:pos="567"/>
        </w:tabs>
        <w:outlineLvl w:val="0"/>
        <w:rPr>
          <w:rFonts w:ascii="Tahoma" w:hAnsi="Tahoma" w:cs="Tahoma"/>
          <w:u w:val="single"/>
        </w:rPr>
      </w:pPr>
      <w:r>
        <w:rPr>
          <w:rFonts w:ascii="Tahoma" w:hAnsi="Tahoma" w:cs="Tahoma"/>
        </w:rPr>
        <w:t>6.5</w:t>
      </w:r>
      <w:r>
        <w:rPr>
          <w:rFonts w:ascii="Tahoma" w:hAnsi="Tahoma" w:cs="Tahoma"/>
        </w:rPr>
        <w:tab/>
      </w:r>
      <w:r>
        <w:rPr>
          <w:rFonts w:ascii="Tahoma" w:hAnsi="Tahoma" w:cs="Tahoma"/>
          <w:u w:val="single"/>
        </w:rPr>
        <w:t>Risk</w:t>
      </w:r>
    </w:p>
    <w:p w:rsidR="00EE05EB" w:rsidRDefault="00EE05EB" w:rsidP="008137B2">
      <w:pPr>
        <w:ind w:left="567"/>
        <w:rPr>
          <w:rFonts w:ascii="Tahoma" w:hAnsi="Tahoma" w:cs="Tahoma"/>
        </w:rPr>
      </w:pPr>
      <w:r>
        <w:rPr>
          <w:rFonts w:ascii="Tahoma" w:hAnsi="Tahoma" w:cs="Tahoma"/>
        </w:rPr>
        <w:t>Risk Management is crucial in ensuring the sustainable delivery of services and delivery of the PCC’s priorities through the effective identification and management of the principal risks to the delivery of corporate objectives.</w:t>
      </w:r>
    </w:p>
    <w:p w:rsidR="00850690" w:rsidRDefault="00850690" w:rsidP="00EE05EB">
      <w:pPr>
        <w:rPr>
          <w:rFonts w:ascii="Tahoma" w:hAnsi="Tahoma" w:cs="Tahoma"/>
        </w:rPr>
      </w:pPr>
    </w:p>
    <w:p w:rsidR="00EE05EB" w:rsidRDefault="00EE05EB" w:rsidP="008137B2">
      <w:pPr>
        <w:tabs>
          <w:tab w:val="left" w:pos="567"/>
        </w:tabs>
        <w:outlineLvl w:val="0"/>
        <w:rPr>
          <w:rFonts w:ascii="Tahoma" w:hAnsi="Tahoma" w:cs="Tahoma"/>
          <w:b/>
          <w:bCs/>
        </w:rPr>
      </w:pPr>
      <w:r>
        <w:rPr>
          <w:rFonts w:ascii="Tahoma" w:hAnsi="Tahoma" w:cs="Tahoma"/>
          <w:b/>
          <w:bCs/>
        </w:rPr>
        <w:t>7.</w:t>
      </w:r>
      <w:r>
        <w:rPr>
          <w:rFonts w:ascii="Tahoma" w:hAnsi="Tahoma" w:cs="Tahoma"/>
          <w:b/>
          <w:bCs/>
        </w:rPr>
        <w:tab/>
        <w:t>Conclusion</w:t>
      </w:r>
    </w:p>
    <w:p w:rsidR="00EE05EB" w:rsidRDefault="00EE05EB" w:rsidP="00EE05EB">
      <w:pPr>
        <w:rPr>
          <w:rFonts w:ascii="Tahoma" w:hAnsi="Tahoma" w:cs="Tahoma"/>
        </w:rPr>
      </w:pPr>
    </w:p>
    <w:p w:rsidR="00EE05EB" w:rsidRPr="00850690" w:rsidRDefault="00EE05EB" w:rsidP="008137B2">
      <w:pPr>
        <w:numPr>
          <w:ilvl w:val="1"/>
          <w:numId w:val="3"/>
        </w:numPr>
        <w:tabs>
          <w:tab w:val="clear" w:pos="720"/>
          <w:tab w:val="num" w:pos="567"/>
        </w:tabs>
        <w:ind w:left="567" w:hanging="567"/>
        <w:outlineLvl w:val="0"/>
        <w:rPr>
          <w:rFonts w:ascii="Tahoma" w:hAnsi="Tahoma" w:cs="Tahoma"/>
        </w:rPr>
      </w:pPr>
      <w:r w:rsidRPr="00850690">
        <w:rPr>
          <w:rFonts w:ascii="Tahoma" w:hAnsi="Tahoma" w:cs="Tahoma"/>
          <w:iCs/>
        </w:rPr>
        <w:t xml:space="preserve">The risk </w:t>
      </w:r>
      <w:r w:rsidR="00850690" w:rsidRPr="00850690">
        <w:rPr>
          <w:rFonts w:ascii="Tahoma" w:hAnsi="Tahoma" w:cs="Tahoma"/>
          <w:iCs/>
        </w:rPr>
        <w:t xml:space="preserve">register and the work to embed risk </w:t>
      </w:r>
      <w:r w:rsidRPr="00850690">
        <w:rPr>
          <w:rFonts w:ascii="Tahoma" w:hAnsi="Tahoma" w:cs="Tahoma"/>
          <w:iCs/>
        </w:rPr>
        <w:t>management</w:t>
      </w:r>
      <w:r w:rsidR="00850690" w:rsidRPr="00850690">
        <w:rPr>
          <w:rFonts w:ascii="Tahoma" w:hAnsi="Tahoma" w:cs="Tahoma"/>
          <w:iCs/>
        </w:rPr>
        <w:t xml:space="preserve"> within the work of the OPCC </w:t>
      </w:r>
      <w:proofErr w:type="gramStart"/>
      <w:r w:rsidR="00850690" w:rsidRPr="00850690">
        <w:rPr>
          <w:rFonts w:ascii="Tahoma" w:hAnsi="Tahoma" w:cs="Tahoma"/>
          <w:iCs/>
        </w:rPr>
        <w:t>is</w:t>
      </w:r>
      <w:proofErr w:type="gramEnd"/>
      <w:r w:rsidR="00850690" w:rsidRPr="00850690">
        <w:rPr>
          <w:rFonts w:ascii="Tahoma" w:hAnsi="Tahoma" w:cs="Tahoma"/>
          <w:iCs/>
        </w:rPr>
        <w:t xml:space="preserve"> on-going and work will continue to ensure progress is maintained and risks are appropriately captured and managed</w:t>
      </w:r>
      <w:r w:rsidR="00850690" w:rsidRPr="00850690">
        <w:rPr>
          <w:rFonts w:ascii="Tahoma" w:hAnsi="Tahoma" w:cs="Tahoma"/>
        </w:rPr>
        <w:t>.</w:t>
      </w:r>
    </w:p>
    <w:p w:rsidR="00C01ACF" w:rsidRDefault="00C01ACF"/>
    <w:sectPr w:rsidR="00C01ACF" w:rsidSect="00AD6A88">
      <w:pgSz w:w="11906" w:h="16838"/>
      <w:pgMar w:top="1276"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B7951"/>
    <w:multiLevelType w:val="hybridMultilevel"/>
    <w:tmpl w:val="F6C0B34E"/>
    <w:lvl w:ilvl="0" w:tplc="D018D658">
      <w:start w:val="4"/>
      <w:numFmt w:val="decimal"/>
      <w:lvlText w:val="%1"/>
      <w:lvlJc w:val="left"/>
      <w:pPr>
        <w:tabs>
          <w:tab w:val="num" w:pos="2591"/>
        </w:tabs>
        <w:ind w:left="2591" w:hanging="360"/>
      </w:pPr>
    </w:lvl>
    <w:lvl w:ilvl="1" w:tplc="08090019">
      <w:start w:val="1"/>
      <w:numFmt w:val="lowerLetter"/>
      <w:lvlText w:val="%2."/>
      <w:lvlJc w:val="left"/>
      <w:pPr>
        <w:tabs>
          <w:tab w:val="num" w:pos="2602"/>
        </w:tabs>
        <w:ind w:left="2602" w:hanging="360"/>
      </w:pPr>
    </w:lvl>
    <w:lvl w:ilvl="2" w:tplc="0809001B">
      <w:start w:val="1"/>
      <w:numFmt w:val="lowerRoman"/>
      <w:lvlText w:val="%3."/>
      <w:lvlJc w:val="right"/>
      <w:pPr>
        <w:tabs>
          <w:tab w:val="num" w:pos="3322"/>
        </w:tabs>
        <w:ind w:left="3322" w:hanging="180"/>
      </w:pPr>
    </w:lvl>
    <w:lvl w:ilvl="3" w:tplc="0809000F">
      <w:start w:val="1"/>
      <w:numFmt w:val="decimal"/>
      <w:lvlText w:val="%4."/>
      <w:lvlJc w:val="left"/>
      <w:pPr>
        <w:tabs>
          <w:tab w:val="num" w:pos="4042"/>
        </w:tabs>
        <w:ind w:left="4042" w:hanging="360"/>
      </w:pPr>
    </w:lvl>
    <w:lvl w:ilvl="4" w:tplc="08090019">
      <w:start w:val="1"/>
      <w:numFmt w:val="lowerLetter"/>
      <w:lvlText w:val="%5."/>
      <w:lvlJc w:val="left"/>
      <w:pPr>
        <w:tabs>
          <w:tab w:val="num" w:pos="4762"/>
        </w:tabs>
        <w:ind w:left="4762" w:hanging="360"/>
      </w:pPr>
    </w:lvl>
    <w:lvl w:ilvl="5" w:tplc="0809001B">
      <w:start w:val="1"/>
      <w:numFmt w:val="lowerRoman"/>
      <w:lvlText w:val="%6."/>
      <w:lvlJc w:val="right"/>
      <w:pPr>
        <w:tabs>
          <w:tab w:val="num" w:pos="5482"/>
        </w:tabs>
        <w:ind w:left="5482" w:hanging="180"/>
      </w:pPr>
    </w:lvl>
    <w:lvl w:ilvl="6" w:tplc="0809000F">
      <w:start w:val="1"/>
      <w:numFmt w:val="decimal"/>
      <w:lvlText w:val="%7."/>
      <w:lvlJc w:val="left"/>
      <w:pPr>
        <w:tabs>
          <w:tab w:val="num" w:pos="6202"/>
        </w:tabs>
        <w:ind w:left="6202" w:hanging="360"/>
      </w:pPr>
    </w:lvl>
    <w:lvl w:ilvl="7" w:tplc="08090019">
      <w:start w:val="1"/>
      <w:numFmt w:val="lowerLetter"/>
      <w:lvlText w:val="%8."/>
      <w:lvlJc w:val="left"/>
      <w:pPr>
        <w:tabs>
          <w:tab w:val="num" w:pos="6922"/>
        </w:tabs>
        <w:ind w:left="6922" w:hanging="360"/>
      </w:pPr>
    </w:lvl>
    <w:lvl w:ilvl="8" w:tplc="0809001B">
      <w:start w:val="1"/>
      <w:numFmt w:val="lowerRoman"/>
      <w:lvlText w:val="%9."/>
      <w:lvlJc w:val="right"/>
      <w:pPr>
        <w:tabs>
          <w:tab w:val="num" w:pos="7642"/>
        </w:tabs>
        <w:ind w:left="7642" w:hanging="180"/>
      </w:pPr>
    </w:lvl>
  </w:abstractNum>
  <w:abstractNum w:abstractNumId="1">
    <w:nsid w:val="209239CD"/>
    <w:multiLevelType w:val="hybridMultilevel"/>
    <w:tmpl w:val="35C4225C"/>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
    <w:nsid w:val="226251F3"/>
    <w:multiLevelType w:val="multilevel"/>
    <w:tmpl w:val="35684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E40C1C"/>
    <w:multiLevelType w:val="multilevel"/>
    <w:tmpl w:val="80FCB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A76EDF"/>
    <w:multiLevelType w:val="multilevel"/>
    <w:tmpl w:val="4F7EE89E"/>
    <w:lvl w:ilvl="0">
      <w:start w:val="7"/>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nsid w:val="4AB2436C"/>
    <w:multiLevelType w:val="multilevel"/>
    <w:tmpl w:val="9E9C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B92461"/>
    <w:multiLevelType w:val="multilevel"/>
    <w:tmpl w:val="21C612A4"/>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7">
    <w:nsid w:val="6A0C2EDC"/>
    <w:multiLevelType w:val="multilevel"/>
    <w:tmpl w:val="D2FE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6F7214"/>
    <w:multiLevelType w:val="multilevel"/>
    <w:tmpl w:val="817C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1A184D"/>
    <w:multiLevelType w:val="multilevel"/>
    <w:tmpl w:val="D5FA7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1A4140"/>
    <w:multiLevelType w:val="multilevel"/>
    <w:tmpl w:val="EB1C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8AB0744"/>
    <w:multiLevelType w:val="multilevel"/>
    <w:tmpl w:val="F6247958"/>
    <w:lvl w:ilvl="0">
      <w:start w:val="4"/>
      <w:numFmt w:val="decimal"/>
      <w:lvlText w:val="%1"/>
      <w:lvlJc w:val="left"/>
      <w:pPr>
        <w:tabs>
          <w:tab w:val="num" w:pos="927"/>
        </w:tabs>
        <w:ind w:left="927" w:hanging="360"/>
      </w:pPr>
    </w:lvl>
    <w:lvl w:ilvl="1">
      <w:start w:val="1"/>
      <w:numFmt w:val="decimal"/>
      <w:isLgl/>
      <w:lvlText w:val="%1.%2"/>
      <w:lvlJc w:val="left"/>
      <w:pPr>
        <w:tabs>
          <w:tab w:val="num" w:pos="1287"/>
        </w:tabs>
        <w:ind w:left="1287" w:hanging="720"/>
      </w:pPr>
    </w:lvl>
    <w:lvl w:ilvl="2">
      <w:start w:val="1"/>
      <w:numFmt w:val="decimal"/>
      <w:isLgl/>
      <w:lvlText w:val="%1.%2.%3"/>
      <w:lvlJc w:val="left"/>
      <w:pPr>
        <w:tabs>
          <w:tab w:val="num" w:pos="1287"/>
        </w:tabs>
        <w:ind w:left="1287" w:hanging="720"/>
      </w:pPr>
    </w:lvl>
    <w:lvl w:ilvl="3">
      <w:start w:val="1"/>
      <w:numFmt w:val="decimal"/>
      <w:isLgl/>
      <w:lvlText w:val="%1.%2.%3.%4"/>
      <w:lvlJc w:val="left"/>
      <w:pPr>
        <w:tabs>
          <w:tab w:val="num" w:pos="1647"/>
        </w:tabs>
        <w:ind w:left="1647" w:hanging="1080"/>
      </w:pPr>
    </w:lvl>
    <w:lvl w:ilvl="4">
      <w:start w:val="1"/>
      <w:numFmt w:val="decimal"/>
      <w:isLgl/>
      <w:lvlText w:val="%1.%2.%3.%4.%5"/>
      <w:lvlJc w:val="left"/>
      <w:pPr>
        <w:tabs>
          <w:tab w:val="num" w:pos="2007"/>
        </w:tabs>
        <w:ind w:left="2007" w:hanging="1440"/>
      </w:pPr>
    </w:lvl>
    <w:lvl w:ilvl="5">
      <w:start w:val="1"/>
      <w:numFmt w:val="decimal"/>
      <w:isLgl/>
      <w:lvlText w:val="%1.%2.%3.%4.%5.%6"/>
      <w:lvlJc w:val="left"/>
      <w:pPr>
        <w:tabs>
          <w:tab w:val="num" w:pos="2007"/>
        </w:tabs>
        <w:ind w:left="2007" w:hanging="1440"/>
      </w:pPr>
    </w:lvl>
    <w:lvl w:ilvl="6">
      <w:start w:val="1"/>
      <w:numFmt w:val="decimal"/>
      <w:isLgl/>
      <w:lvlText w:val="%1.%2.%3.%4.%5.%6.%7"/>
      <w:lvlJc w:val="left"/>
      <w:pPr>
        <w:tabs>
          <w:tab w:val="num" w:pos="2367"/>
        </w:tabs>
        <w:ind w:left="2367" w:hanging="1800"/>
      </w:pPr>
    </w:lvl>
    <w:lvl w:ilvl="7">
      <w:start w:val="1"/>
      <w:numFmt w:val="decimal"/>
      <w:isLgl/>
      <w:lvlText w:val="%1.%2.%3.%4.%5.%6.%7.%8"/>
      <w:lvlJc w:val="left"/>
      <w:pPr>
        <w:tabs>
          <w:tab w:val="num" w:pos="2727"/>
        </w:tabs>
        <w:ind w:left="2727" w:hanging="2160"/>
      </w:pPr>
    </w:lvl>
    <w:lvl w:ilvl="8">
      <w:start w:val="1"/>
      <w:numFmt w:val="decimal"/>
      <w:isLgl/>
      <w:lvlText w:val="%1.%2.%3.%4.%5.%6.%7.%8.%9"/>
      <w:lvlJc w:val="left"/>
      <w:pPr>
        <w:tabs>
          <w:tab w:val="num" w:pos="2727"/>
        </w:tabs>
        <w:ind w:left="2727" w:hanging="2160"/>
      </w:pPr>
    </w:lvl>
  </w:abstractNum>
  <w:abstractNum w:abstractNumId="12">
    <w:nsid w:val="7CEF3B5C"/>
    <w:multiLevelType w:val="multilevel"/>
    <w:tmpl w:val="0DE8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num>
  <w:num w:numId="6">
    <w:abstractNumId w:val="5"/>
  </w:num>
  <w:num w:numId="7">
    <w:abstractNumId w:val="9"/>
  </w:num>
  <w:num w:numId="8">
    <w:abstractNumId w:val="12"/>
  </w:num>
  <w:num w:numId="9">
    <w:abstractNumId w:val="8"/>
  </w:num>
  <w:num w:numId="10">
    <w:abstractNumId w:val="3"/>
  </w:num>
  <w:num w:numId="11">
    <w:abstractNumId w:val="10"/>
  </w:num>
  <w:num w:numId="12">
    <w:abstractNumId w:val="2"/>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20/02/2019 14:14"/>
  </w:docVars>
  <w:rsids>
    <w:rsidRoot w:val="00EE05EB"/>
    <w:rsid w:val="00036BAC"/>
    <w:rsid w:val="000705E8"/>
    <w:rsid w:val="00147B9F"/>
    <w:rsid w:val="00156B1B"/>
    <w:rsid w:val="00167FBD"/>
    <w:rsid w:val="00180DF7"/>
    <w:rsid w:val="00197F20"/>
    <w:rsid w:val="001F427F"/>
    <w:rsid w:val="001F7815"/>
    <w:rsid w:val="002074D5"/>
    <w:rsid w:val="00284437"/>
    <w:rsid w:val="00284BEC"/>
    <w:rsid w:val="002854C3"/>
    <w:rsid w:val="002D631A"/>
    <w:rsid w:val="002E7B36"/>
    <w:rsid w:val="003071C9"/>
    <w:rsid w:val="00397B1B"/>
    <w:rsid w:val="003B4C63"/>
    <w:rsid w:val="00411E2D"/>
    <w:rsid w:val="00421C22"/>
    <w:rsid w:val="004E737E"/>
    <w:rsid w:val="00526E4B"/>
    <w:rsid w:val="00554C46"/>
    <w:rsid w:val="0057014F"/>
    <w:rsid w:val="005D3689"/>
    <w:rsid w:val="005E06F9"/>
    <w:rsid w:val="005E7EC7"/>
    <w:rsid w:val="00643EF6"/>
    <w:rsid w:val="006604A9"/>
    <w:rsid w:val="006A4EDE"/>
    <w:rsid w:val="006E42A1"/>
    <w:rsid w:val="006F5F89"/>
    <w:rsid w:val="00702553"/>
    <w:rsid w:val="00710EA0"/>
    <w:rsid w:val="007D3774"/>
    <w:rsid w:val="008137B2"/>
    <w:rsid w:val="00850690"/>
    <w:rsid w:val="00855D5F"/>
    <w:rsid w:val="008B7274"/>
    <w:rsid w:val="008D1022"/>
    <w:rsid w:val="009032A8"/>
    <w:rsid w:val="00990B9F"/>
    <w:rsid w:val="009D4A94"/>
    <w:rsid w:val="009E564C"/>
    <w:rsid w:val="00A770BC"/>
    <w:rsid w:val="00A916C4"/>
    <w:rsid w:val="00AD6A88"/>
    <w:rsid w:val="00B82AA2"/>
    <w:rsid w:val="00BC7EF2"/>
    <w:rsid w:val="00C01ACF"/>
    <w:rsid w:val="00C10A7B"/>
    <w:rsid w:val="00C16577"/>
    <w:rsid w:val="00C16CBA"/>
    <w:rsid w:val="00C23DCB"/>
    <w:rsid w:val="00C7559C"/>
    <w:rsid w:val="00C810BC"/>
    <w:rsid w:val="00CA01A6"/>
    <w:rsid w:val="00D57949"/>
    <w:rsid w:val="00DD4807"/>
    <w:rsid w:val="00E5272E"/>
    <w:rsid w:val="00E80517"/>
    <w:rsid w:val="00E86E24"/>
    <w:rsid w:val="00EE05EB"/>
    <w:rsid w:val="00EE331F"/>
    <w:rsid w:val="00EF1104"/>
    <w:rsid w:val="00F06E5E"/>
    <w:rsid w:val="00F45178"/>
    <w:rsid w:val="00FB3913"/>
    <w:rsid w:val="00FE39E9"/>
    <w:rsid w:val="00FF1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5EB"/>
    <w:pPr>
      <w:spacing w:after="0" w:line="240" w:lineRule="auto"/>
    </w:pPr>
    <w:rPr>
      <w:rFonts w:ascii="Arial" w:eastAsia="Times New Roman" w:hAnsi="Arial"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7F20"/>
    <w:rPr>
      <w:rFonts w:ascii="Tahoma" w:hAnsi="Tahoma" w:cs="Tahoma"/>
      <w:sz w:val="16"/>
      <w:szCs w:val="16"/>
    </w:rPr>
  </w:style>
  <w:style w:type="character" w:customStyle="1" w:styleId="BalloonTextChar">
    <w:name w:val="Balloon Text Char"/>
    <w:basedOn w:val="DefaultParagraphFont"/>
    <w:link w:val="BalloonText"/>
    <w:uiPriority w:val="99"/>
    <w:semiHidden/>
    <w:rsid w:val="00197F20"/>
    <w:rPr>
      <w:rFonts w:ascii="Tahoma" w:eastAsia="Times New Roman" w:hAnsi="Tahoma" w:cs="Tahoma"/>
      <w:sz w:val="16"/>
      <w:szCs w:val="16"/>
      <w:lang w:eastAsia="en-GB"/>
    </w:rPr>
  </w:style>
  <w:style w:type="paragraph" w:styleId="ListParagraph">
    <w:name w:val="List Paragraph"/>
    <w:basedOn w:val="Normal"/>
    <w:uiPriority w:val="34"/>
    <w:qFormat/>
    <w:rsid w:val="001F427F"/>
    <w:pPr>
      <w:ind w:left="720"/>
      <w:contextualSpacing/>
    </w:pPr>
  </w:style>
  <w:style w:type="character" w:styleId="Hyperlink">
    <w:name w:val="Hyperlink"/>
    <w:basedOn w:val="DefaultParagraphFont"/>
    <w:uiPriority w:val="99"/>
    <w:unhideWhenUsed/>
    <w:rsid w:val="00526E4B"/>
    <w:rPr>
      <w:color w:val="0000FF" w:themeColor="hyperlink"/>
      <w:u w:val="single"/>
    </w:rPr>
  </w:style>
  <w:style w:type="paragraph" w:styleId="z-TopofForm">
    <w:name w:val="HTML Top of Form"/>
    <w:basedOn w:val="Normal"/>
    <w:next w:val="Normal"/>
    <w:link w:val="z-TopofFormChar"/>
    <w:hidden/>
    <w:uiPriority w:val="99"/>
    <w:semiHidden/>
    <w:unhideWhenUsed/>
    <w:rsid w:val="003071C9"/>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3071C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3071C9"/>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071C9"/>
    <w:rPr>
      <w:rFonts w:ascii="Arial" w:eastAsia="Times New Roman" w:hAnsi="Arial" w:cs="Arial"/>
      <w:vanish/>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5EB"/>
    <w:pPr>
      <w:spacing w:after="0" w:line="240" w:lineRule="auto"/>
    </w:pPr>
    <w:rPr>
      <w:rFonts w:ascii="Arial" w:eastAsia="Times New Roman" w:hAnsi="Arial"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7F20"/>
    <w:rPr>
      <w:rFonts w:ascii="Tahoma" w:hAnsi="Tahoma" w:cs="Tahoma"/>
      <w:sz w:val="16"/>
      <w:szCs w:val="16"/>
    </w:rPr>
  </w:style>
  <w:style w:type="character" w:customStyle="1" w:styleId="BalloonTextChar">
    <w:name w:val="Balloon Text Char"/>
    <w:basedOn w:val="DefaultParagraphFont"/>
    <w:link w:val="BalloonText"/>
    <w:uiPriority w:val="99"/>
    <w:semiHidden/>
    <w:rsid w:val="00197F20"/>
    <w:rPr>
      <w:rFonts w:ascii="Tahoma" w:eastAsia="Times New Roman" w:hAnsi="Tahoma" w:cs="Tahoma"/>
      <w:sz w:val="16"/>
      <w:szCs w:val="16"/>
      <w:lang w:eastAsia="en-GB"/>
    </w:rPr>
  </w:style>
  <w:style w:type="paragraph" w:styleId="ListParagraph">
    <w:name w:val="List Paragraph"/>
    <w:basedOn w:val="Normal"/>
    <w:uiPriority w:val="34"/>
    <w:qFormat/>
    <w:rsid w:val="001F427F"/>
    <w:pPr>
      <w:ind w:left="720"/>
      <w:contextualSpacing/>
    </w:pPr>
  </w:style>
  <w:style w:type="character" w:styleId="Hyperlink">
    <w:name w:val="Hyperlink"/>
    <w:basedOn w:val="DefaultParagraphFont"/>
    <w:uiPriority w:val="99"/>
    <w:unhideWhenUsed/>
    <w:rsid w:val="00526E4B"/>
    <w:rPr>
      <w:color w:val="0000FF" w:themeColor="hyperlink"/>
      <w:u w:val="single"/>
    </w:rPr>
  </w:style>
  <w:style w:type="paragraph" w:styleId="z-TopofForm">
    <w:name w:val="HTML Top of Form"/>
    <w:basedOn w:val="Normal"/>
    <w:next w:val="Normal"/>
    <w:link w:val="z-TopofFormChar"/>
    <w:hidden/>
    <w:uiPriority w:val="99"/>
    <w:semiHidden/>
    <w:unhideWhenUsed/>
    <w:rsid w:val="003071C9"/>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3071C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3071C9"/>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071C9"/>
    <w:rPr>
      <w:rFonts w:ascii="Arial" w:eastAsia="Times New Roman" w:hAnsi="Arial" w:cs="Arial"/>
      <w:vanish/>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5278">
      <w:bodyDiv w:val="1"/>
      <w:marLeft w:val="0"/>
      <w:marRight w:val="0"/>
      <w:marTop w:val="0"/>
      <w:marBottom w:val="0"/>
      <w:divBdr>
        <w:top w:val="none" w:sz="0" w:space="0" w:color="auto"/>
        <w:left w:val="none" w:sz="0" w:space="0" w:color="auto"/>
        <w:bottom w:val="none" w:sz="0" w:space="0" w:color="auto"/>
        <w:right w:val="none" w:sz="0" w:space="0" w:color="auto"/>
      </w:divBdr>
      <w:divsChild>
        <w:div w:id="56972838">
          <w:marLeft w:val="0"/>
          <w:marRight w:val="0"/>
          <w:marTop w:val="0"/>
          <w:marBottom w:val="0"/>
          <w:divBdr>
            <w:top w:val="none" w:sz="0" w:space="0" w:color="auto"/>
            <w:left w:val="none" w:sz="0" w:space="0" w:color="auto"/>
            <w:bottom w:val="none" w:sz="0" w:space="0" w:color="auto"/>
            <w:right w:val="none" w:sz="0" w:space="0" w:color="auto"/>
          </w:divBdr>
          <w:divsChild>
            <w:div w:id="574049312">
              <w:marLeft w:val="0"/>
              <w:marRight w:val="0"/>
              <w:marTop w:val="0"/>
              <w:marBottom w:val="0"/>
              <w:divBdr>
                <w:top w:val="none" w:sz="0" w:space="0" w:color="auto"/>
                <w:left w:val="none" w:sz="0" w:space="0" w:color="auto"/>
                <w:bottom w:val="none" w:sz="0" w:space="0" w:color="auto"/>
                <w:right w:val="none" w:sz="0" w:space="0" w:color="auto"/>
              </w:divBdr>
              <w:divsChild>
                <w:div w:id="1701515653">
                  <w:marLeft w:val="0"/>
                  <w:marRight w:val="0"/>
                  <w:marTop w:val="0"/>
                  <w:marBottom w:val="150"/>
                  <w:divBdr>
                    <w:top w:val="none" w:sz="0" w:space="0" w:color="auto"/>
                    <w:left w:val="none" w:sz="0" w:space="0" w:color="auto"/>
                    <w:bottom w:val="none" w:sz="0" w:space="0" w:color="auto"/>
                    <w:right w:val="none" w:sz="0" w:space="0" w:color="auto"/>
                  </w:divBdr>
                  <w:divsChild>
                    <w:div w:id="797072476">
                      <w:marLeft w:val="0"/>
                      <w:marRight w:val="0"/>
                      <w:marTop w:val="0"/>
                      <w:marBottom w:val="0"/>
                      <w:divBdr>
                        <w:top w:val="none" w:sz="0" w:space="0" w:color="auto"/>
                        <w:left w:val="none" w:sz="0" w:space="0" w:color="auto"/>
                        <w:bottom w:val="none" w:sz="0" w:space="0" w:color="auto"/>
                        <w:right w:val="none" w:sz="0" w:space="0" w:color="auto"/>
                      </w:divBdr>
                      <w:divsChild>
                        <w:div w:id="1073159620">
                          <w:marLeft w:val="0"/>
                          <w:marRight w:val="0"/>
                          <w:marTop w:val="0"/>
                          <w:marBottom w:val="0"/>
                          <w:divBdr>
                            <w:top w:val="none" w:sz="0" w:space="0" w:color="auto"/>
                            <w:left w:val="none" w:sz="0" w:space="0" w:color="auto"/>
                            <w:bottom w:val="none" w:sz="0" w:space="0" w:color="auto"/>
                            <w:right w:val="none" w:sz="0" w:space="0" w:color="auto"/>
                          </w:divBdr>
                          <w:divsChild>
                            <w:div w:id="702943838">
                              <w:marLeft w:val="0"/>
                              <w:marRight w:val="0"/>
                              <w:marTop w:val="0"/>
                              <w:marBottom w:val="0"/>
                              <w:divBdr>
                                <w:top w:val="none" w:sz="0" w:space="0" w:color="auto"/>
                                <w:left w:val="none" w:sz="0" w:space="0" w:color="auto"/>
                                <w:bottom w:val="none" w:sz="0" w:space="0" w:color="auto"/>
                                <w:right w:val="none" w:sz="0" w:space="0" w:color="auto"/>
                              </w:divBdr>
                              <w:divsChild>
                                <w:div w:id="53569601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239828877">
      <w:bodyDiv w:val="1"/>
      <w:marLeft w:val="0"/>
      <w:marRight w:val="0"/>
      <w:marTop w:val="0"/>
      <w:marBottom w:val="0"/>
      <w:divBdr>
        <w:top w:val="none" w:sz="0" w:space="0" w:color="auto"/>
        <w:left w:val="none" w:sz="0" w:space="0" w:color="auto"/>
        <w:bottom w:val="none" w:sz="0" w:space="0" w:color="auto"/>
        <w:right w:val="none" w:sz="0" w:space="0" w:color="auto"/>
      </w:divBdr>
      <w:divsChild>
        <w:div w:id="623075295">
          <w:marLeft w:val="0"/>
          <w:marRight w:val="0"/>
          <w:marTop w:val="0"/>
          <w:marBottom w:val="0"/>
          <w:divBdr>
            <w:top w:val="none" w:sz="0" w:space="0" w:color="auto"/>
            <w:left w:val="none" w:sz="0" w:space="0" w:color="auto"/>
            <w:bottom w:val="none" w:sz="0" w:space="0" w:color="auto"/>
            <w:right w:val="none" w:sz="0" w:space="0" w:color="auto"/>
          </w:divBdr>
          <w:divsChild>
            <w:div w:id="1872374000">
              <w:marLeft w:val="0"/>
              <w:marRight w:val="0"/>
              <w:marTop w:val="0"/>
              <w:marBottom w:val="0"/>
              <w:divBdr>
                <w:top w:val="none" w:sz="0" w:space="0" w:color="auto"/>
                <w:left w:val="none" w:sz="0" w:space="0" w:color="auto"/>
                <w:bottom w:val="none" w:sz="0" w:space="0" w:color="auto"/>
                <w:right w:val="none" w:sz="0" w:space="0" w:color="auto"/>
              </w:divBdr>
              <w:divsChild>
                <w:div w:id="1820533108">
                  <w:marLeft w:val="0"/>
                  <w:marRight w:val="0"/>
                  <w:marTop w:val="0"/>
                  <w:marBottom w:val="150"/>
                  <w:divBdr>
                    <w:top w:val="none" w:sz="0" w:space="0" w:color="auto"/>
                    <w:left w:val="none" w:sz="0" w:space="0" w:color="auto"/>
                    <w:bottom w:val="none" w:sz="0" w:space="0" w:color="auto"/>
                    <w:right w:val="none" w:sz="0" w:space="0" w:color="auto"/>
                  </w:divBdr>
                  <w:divsChild>
                    <w:div w:id="742070897">
                      <w:marLeft w:val="0"/>
                      <w:marRight w:val="0"/>
                      <w:marTop w:val="0"/>
                      <w:marBottom w:val="0"/>
                      <w:divBdr>
                        <w:top w:val="none" w:sz="0" w:space="0" w:color="auto"/>
                        <w:left w:val="none" w:sz="0" w:space="0" w:color="auto"/>
                        <w:bottom w:val="none" w:sz="0" w:space="0" w:color="auto"/>
                        <w:right w:val="none" w:sz="0" w:space="0" w:color="auto"/>
                      </w:divBdr>
                      <w:divsChild>
                        <w:div w:id="1600987148">
                          <w:marLeft w:val="0"/>
                          <w:marRight w:val="0"/>
                          <w:marTop w:val="0"/>
                          <w:marBottom w:val="0"/>
                          <w:divBdr>
                            <w:top w:val="none" w:sz="0" w:space="0" w:color="auto"/>
                            <w:left w:val="none" w:sz="0" w:space="0" w:color="auto"/>
                            <w:bottom w:val="none" w:sz="0" w:space="0" w:color="auto"/>
                            <w:right w:val="none" w:sz="0" w:space="0" w:color="auto"/>
                          </w:divBdr>
                          <w:divsChild>
                            <w:div w:id="22631219">
                              <w:marLeft w:val="0"/>
                              <w:marRight w:val="0"/>
                              <w:marTop w:val="0"/>
                              <w:marBottom w:val="0"/>
                              <w:divBdr>
                                <w:top w:val="none" w:sz="0" w:space="0" w:color="auto"/>
                                <w:left w:val="none" w:sz="0" w:space="0" w:color="auto"/>
                                <w:bottom w:val="none" w:sz="0" w:space="0" w:color="auto"/>
                                <w:right w:val="none" w:sz="0" w:space="0" w:color="auto"/>
                              </w:divBdr>
                              <w:divsChild>
                                <w:div w:id="125443693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365984661">
      <w:bodyDiv w:val="1"/>
      <w:marLeft w:val="0"/>
      <w:marRight w:val="0"/>
      <w:marTop w:val="0"/>
      <w:marBottom w:val="0"/>
      <w:divBdr>
        <w:top w:val="none" w:sz="0" w:space="0" w:color="auto"/>
        <w:left w:val="none" w:sz="0" w:space="0" w:color="auto"/>
        <w:bottom w:val="none" w:sz="0" w:space="0" w:color="auto"/>
        <w:right w:val="none" w:sz="0" w:space="0" w:color="auto"/>
      </w:divBdr>
      <w:divsChild>
        <w:div w:id="1516580197">
          <w:marLeft w:val="0"/>
          <w:marRight w:val="0"/>
          <w:marTop w:val="0"/>
          <w:marBottom w:val="0"/>
          <w:divBdr>
            <w:top w:val="none" w:sz="0" w:space="0" w:color="auto"/>
            <w:left w:val="none" w:sz="0" w:space="0" w:color="auto"/>
            <w:bottom w:val="none" w:sz="0" w:space="0" w:color="auto"/>
            <w:right w:val="none" w:sz="0" w:space="0" w:color="auto"/>
          </w:divBdr>
          <w:divsChild>
            <w:div w:id="1550728379">
              <w:marLeft w:val="0"/>
              <w:marRight w:val="0"/>
              <w:marTop w:val="0"/>
              <w:marBottom w:val="0"/>
              <w:divBdr>
                <w:top w:val="none" w:sz="0" w:space="0" w:color="auto"/>
                <w:left w:val="none" w:sz="0" w:space="0" w:color="auto"/>
                <w:bottom w:val="none" w:sz="0" w:space="0" w:color="auto"/>
                <w:right w:val="none" w:sz="0" w:space="0" w:color="auto"/>
              </w:divBdr>
              <w:divsChild>
                <w:div w:id="1002439409">
                  <w:marLeft w:val="0"/>
                  <w:marRight w:val="0"/>
                  <w:marTop w:val="0"/>
                  <w:marBottom w:val="150"/>
                  <w:divBdr>
                    <w:top w:val="none" w:sz="0" w:space="0" w:color="auto"/>
                    <w:left w:val="none" w:sz="0" w:space="0" w:color="auto"/>
                    <w:bottom w:val="none" w:sz="0" w:space="0" w:color="auto"/>
                    <w:right w:val="none" w:sz="0" w:space="0" w:color="auto"/>
                  </w:divBdr>
                  <w:divsChild>
                    <w:div w:id="53941494">
                      <w:marLeft w:val="0"/>
                      <w:marRight w:val="0"/>
                      <w:marTop w:val="0"/>
                      <w:marBottom w:val="0"/>
                      <w:divBdr>
                        <w:top w:val="none" w:sz="0" w:space="0" w:color="auto"/>
                        <w:left w:val="none" w:sz="0" w:space="0" w:color="auto"/>
                        <w:bottom w:val="none" w:sz="0" w:space="0" w:color="auto"/>
                        <w:right w:val="none" w:sz="0" w:space="0" w:color="auto"/>
                      </w:divBdr>
                      <w:divsChild>
                        <w:div w:id="605307149">
                          <w:marLeft w:val="0"/>
                          <w:marRight w:val="0"/>
                          <w:marTop w:val="0"/>
                          <w:marBottom w:val="0"/>
                          <w:divBdr>
                            <w:top w:val="none" w:sz="0" w:space="0" w:color="auto"/>
                            <w:left w:val="none" w:sz="0" w:space="0" w:color="auto"/>
                            <w:bottom w:val="none" w:sz="0" w:space="0" w:color="auto"/>
                            <w:right w:val="none" w:sz="0" w:space="0" w:color="auto"/>
                          </w:divBdr>
                          <w:divsChild>
                            <w:div w:id="1787961407">
                              <w:marLeft w:val="0"/>
                              <w:marRight w:val="0"/>
                              <w:marTop w:val="0"/>
                              <w:marBottom w:val="0"/>
                              <w:divBdr>
                                <w:top w:val="none" w:sz="0" w:space="0" w:color="auto"/>
                                <w:left w:val="none" w:sz="0" w:space="0" w:color="auto"/>
                                <w:bottom w:val="none" w:sz="0" w:space="0" w:color="auto"/>
                                <w:right w:val="none" w:sz="0" w:space="0" w:color="auto"/>
                              </w:divBdr>
                              <w:divsChild>
                                <w:div w:id="33889451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465776214">
      <w:bodyDiv w:val="1"/>
      <w:marLeft w:val="0"/>
      <w:marRight w:val="0"/>
      <w:marTop w:val="0"/>
      <w:marBottom w:val="0"/>
      <w:divBdr>
        <w:top w:val="none" w:sz="0" w:space="0" w:color="auto"/>
        <w:left w:val="none" w:sz="0" w:space="0" w:color="auto"/>
        <w:bottom w:val="none" w:sz="0" w:space="0" w:color="auto"/>
        <w:right w:val="none" w:sz="0" w:space="0" w:color="auto"/>
      </w:divBdr>
      <w:divsChild>
        <w:div w:id="673073401">
          <w:marLeft w:val="0"/>
          <w:marRight w:val="0"/>
          <w:marTop w:val="0"/>
          <w:marBottom w:val="0"/>
          <w:divBdr>
            <w:top w:val="none" w:sz="0" w:space="0" w:color="auto"/>
            <w:left w:val="none" w:sz="0" w:space="0" w:color="auto"/>
            <w:bottom w:val="none" w:sz="0" w:space="0" w:color="auto"/>
            <w:right w:val="none" w:sz="0" w:space="0" w:color="auto"/>
          </w:divBdr>
          <w:divsChild>
            <w:div w:id="877426631">
              <w:marLeft w:val="0"/>
              <w:marRight w:val="0"/>
              <w:marTop w:val="0"/>
              <w:marBottom w:val="0"/>
              <w:divBdr>
                <w:top w:val="none" w:sz="0" w:space="0" w:color="auto"/>
                <w:left w:val="none" w:sz="0" w:space="0" w:color="auto"/>
                <w:bottom w:val="none" w:sz="0" w:space="0" w:color="auto"/>
                <w:right w:val="none" w:sz="0" w:space="0" w:color="auto"/>
              </w:divBdr>
              <w:divsChild>
                <w:div w:id="2010135511">
                  <w:marLeft w:val="0"/>
                  <w:marRight w:val="0"/>
                  <w:marTop w:val="0"/>
                  <w:marBottom w:val="150"/>
                  <w:divBdr>
                    <w:top w:val="none" w:sz="0" w:space="0" w:color="auto"/>
                    <w:left w:val="none" w:sz="0" w:space="0" w:color="auto"/>
                    <w:bottom w:val="none" w:sz="0" w:space="0" w:color="auto"/>
                    <w:right w:val="none" w:sz="0" w:space="0" w:color="auto"/>
                  </w:divBdr>
                  <w:divsChild>
                    <w:div w:id="59972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507694">
      <w:bodyDiv w:val="1"/>
      <w:marLeft w:val="0"/>
      <w:marRight w:val="0"/>
      <w:marTop w:val="0"/>
      <w:marBottom w:val="0"/>
      <w:divBdr>
        <w:top w:val="none" w:sz="0" w:space="0" w:color="auto"/>
        <w:left w:val="none" w:sz="0" w:space="0" w:color="auto"/>
        <w:bottom w:val="none" w:sz="0" w:space="0" w:color="auto"/>
        <w:right w:val="none" w:sz="0" w:space="0" w:color="auto"/>
      </w:divBdr>
      <w:divsChild>
        <w:div w:id="1510021193">
          <w:marLeft w:val="0"/>
          <w:marRight w:val="0"/>
          <w:marTop w:val="0"/>
          <w:marBottom w:val="0"/>
          <w:divBdr>
            <w:top w:val="none" w:sz="0" w:space="0" w:color="auto"/>
            <w:left w:val="none" w:sz="0" w:space="0" w:color="auto"/>
            <w:bottom w:val="none" w:sz="0" w:space="0" w:color="auto"/>
            <w:right w:val="none" w:sz="0" w:space="0" w:color="auto"/>
          </w:divBdr>
          <w:divsChild>
            <w:div w:id="157769056">
              <w:marLeft w:val="0"/>
              <w:marRight w:val="0"/>
              <w:marTop w:val="0"/>
              <w:marBottom w:val="0"/>
              <w:divBdr>
                <w:top w:val="none" w:sz="0" w:space="0" w:color="auto"/>
                <w:left w:val="none" w:sz="0" w:space="0" w:color="auto"/>
                <w:bottom w:val="none" w:sz="0" w:space="0" w:color="auto"/>
                <w:right w:val="none" w:sz="0" w:space="0" w:color="auto"/>
              </w:divBdr>
              <w:divsChild>
                <w:div w:id="1252817332">
                  <w:marLeft w:val="0"/>
                  <w:marRight w:val="0"/>
                  <w:marTop w:val="0"/>
                  <w:marBottom w:val="150"/>
                  <w:divBdr>
                    <w:top w:val="none" w:sz="0" w:space="0" w:color="auto"/>
                    <w:left w:val="none" w:sz="0" w:space="0" w:color="auto"/>
                    <w:bottom w:val="none" w:sz="0" w:space="0" w:color="auto"/>
                    <w:right w:val="none" w:sz="0" w:space="0" w:color="auto"/>
                  </w:divBdr>
                  <w:divsChild>
                    <w:div w:id="1026447782">
                      <w:marLeft w:val="0"/>
                      <w:marRight w:val="0"/>
                      <w:marTop w:val="0"/>
                      <w:marBottom w:val="0"/>
                      <w:divBdr>
                        <w:top w:val="none" w:sz="0" w:space="0" w:color="auto"/>
                        <w:left w:val="none" w:sz="0" w:space="0" w:color="auto"/>
                        <w:bottom w:val="none" w:sz="0" w:space="0" w:color="auto"/>
                        <w:right w:val="none" w:sz="0" w:space="0" w:color="auto"/>
                      </w:divBdr>
                      <w:divsChild>
                        <w:div w:id="675306114">
                          <w:marLeft w:val="0"/>
                          <w:marRight w:val="0"/>
                          <w:marTop w:val="0"/>
                          <w:marBottom w:val="0"/>
                          <w:divBdr>
                            <w:top w:val="none" w:sz="0" w:space="0" w:color="auto"/>
                            <w:left w:val="none" w:sz="0" w:space="0" w:color="auto"/>
                            <w:bottom w:val="none" w:sz="0" w:space="0" w:color="auto"/>
                            <w:right w:val="none" w:sz="0" w:space="0" w:color="auto"/>
                          </w:divBdr>
                          <w:divsChild>
                            <w:div w:id="141628198">
                              <w:marLeft w:val="0"/>
                              <w:marRight w:val="0"/>
                              <w:marTop w:val="0"/>
                              <w:marBottom w:val="0"/>
                              <w:divBdr>
                                <w:top w:val="none" w:sz="0" w:space="0" w:color="auto"/>
                                <w:left w:val="none" w:sz="0" w:space="0" w:color="auto"/>
                                <w:bottom w:val="none" w:sz="0" w:space="0" w:color="auto"/>
                                <w:right w:val="none" w:sz="0" w:space="0" w:color="auto"/>
                              </w:divBdr>
                              <w:divsChild>
                                <w:div w:id="1683505237">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890464498">
      <w:bodyDiv w:val="1"/>
      <w:marLeft w:val="0"/>
      <w:marRight w:val="0"/>
      <w:marTop w:val="0"/>
      <w:marBottom w:val="0"/>
      <w:divBdr>
        <w:top w:val="none" w:sz="0" w:space="0" w:color="auto"/>
        <w:left w:val="none" w:sz="0" w:space="0" w:color="auto"/>
        <w:bottom w:val="none" w:sz="0" w:space="0" w:color="auto"/>
        <w:right w:val="none" w:sz="0" w:space="0" w:color="auto"/>
      </w:divBdr>
      <w:divsChild>
        <w:div w:id="412051031">
          <w:marLeft w:val="0"/>
          <w:marRight w:val="0"/>
          <w:marTop w:val="0"/>
          <w:marBottom w:val="0"/>
          <w:divBdr>
            <w:top w:val="none" w:sz="0" w:space="0" w:color="auto"/>
            <w:left w:val="none" w:sz="0" w:space="0" w:color="auto"/>
            <w:bottom w:val="none" w:sz="0" w:space="0" w:color="auto"/>
            <w:right w:val="none" w:sz="0" w:space="0" w:color="auto"/>
          </w:divBdr>
          <w:divsChild>
            <w:div w:id="28379454">
              <w:marLeft w:val="0"/>
              <w:marRight w:val="0"/>
              <w:marTop w:val="0"/>
              <w:marBottom w:val="0"/>
              <w:divBdr>
                <w:top w:val="none" w:sz="0" w:space="0" w:color="auto"/>
                <w:left w:val="none" w:sz="0" w:space="0" w:color="auto"/>
                <w:bottom w:val="none" w:sz="0" w:space="0" w:color="auto"/>
                <w:right w:val="none" w:sz="0" w:space="0" w:color="auto"/>
              </w:divBdr>
              <w:divsChild>
                <w:div w:id="1969511437">
                  <w:marLeft w:val="0"/>
                  <w:marRight w:val="0"/>
                  <w:marTop w:val="0"/>
                  <w:marBottom w:val="150"/>
                  <w:divBdr>
                    <w:top w:val="none" w:sz="0" w:space="0" w:color="auto"/>
                    <w:left w:val="none" w:sz="0" w:space="0" w:color="auto"/>
                    <w:bottom w:val="none" w:sz="0" w:space="0" w:color="auto"/>
                    <w:right w:val="none" w:sz="0" w:space="0" w:color="auto"/>
                  </w:divBdr>
                  <w:divsChild>
                    <w:div w:id="808976747">
                      <w:marLeft w:val="0"/>
                      <w:marRight w:val="0"/>
                      <w:marTop w:val="0"/>
                      <w:marBottom w:val="0"/>
                      <w:divBdr>
                        <w:top w:val="none" w:sz="0" w:space="0" w:color="auto"/>
                        <w:left w:val="none" w:sz="0" w:space="0" w:color="auto"/>
                        <w:bottom w:val="none" w:sz="0" w:space="0" w:color="auto"/>
                        <w:right w:val="none" w:sz="0" w:space="0" w:color="auto"/>
                      </w:divBdr>
                      <w:divsChild>
                        <w:div w:id="720522914">
                          <w:marLeft w:val="0"/>
                          <w:marRight w:val="0"/>
                          <w:marTop w:val="0"/>
                          <w:marBottom w:val="0"/>
                          <w:divBdr>
                            <w:top w:val="none" w:sz="0" w:space="0" w:color="auto"/>
                            <w:left w:val="none" w:sz="0" w:space="0" w:color="auto"/>
                            <w:bottom w:val="none" w:sz="0" w:space="0" w:color="auto"/>
                            <w:right w:val="none" w:sz="0" w:space="0" w:color="auto"/>
                          </w:divBdr>
                          <w:divsChild>
                            <w:div w:id="1046956081">
                              <w:marLeft w:val="0"/>
                              <w:marRight w:val="0"/>
                              <w:marTop w:val="0"/>
                              <w:marBottom w:val="0"/>
                              <w:divBdr>
                                <w:top w:val="none" w:sz="0" w:space="0" w:color="auto"/>
                                <w:left w:val="none" w:sz="0" w:space="0" w:color="auto"/>
                                <w:bottom w:val="none" w:sz="0" w:space="0" w:color="auto"/>
                                <w:right w:val="none" w:sz="0" w:space="0" w:color="auto"/>
                              </w:divBdr>
                              <w:divsChild>
                                <w:div w:id="1097942723">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991717347">
      <w:bodyDiv w:val="1"/>
      <w:marLeft w:val="0"/>
      <w:marRight w:val="0"/>
      <w:marTop w:val="0"/>
      <w:marBottom w:val="0"/>
      <w:divBdr>
        <w:top w:val="none" w:sz="0" w:space="0" w:color="auto"/>
        <w:left w:val="none" w:sz="0" w:space="0" w:color="auto"/>
        <w:bottom w:val="none" w:sz="0" w:space="0" w:color="auto"/>
        <w:right w:val="none" w:sz="0" w:space="0" w:color="auto"/>
      </w:divBdr>
      <w:divsChild>
        <w:div w:id="1606840066">
          <w:marLeft w:val="0"/>
          <w:marRight w:val="0"/>
          <w:marTop w:val="0"/>
          <w:marBottom w:val="0"/>
          <w:divBdr>
            <w:top w:val="none" w:sz="0" w:space="0" w:color="auto"/>
            <w:left w:val="none" w:sz="0" w:space="0" w:color="auto"/>
            <w:bottom w:val="none" w:sz="0" w:space="0" w:color="auto"/>
            <w:right w:val="none" w:sz="0" w:space="0" w:color="auto"/>
          </w:divBdr>
          <w:divsChild>
            <w:div w:id="850415274">
              <w:marLeft w:val="0"/>
              <w:marRight w:val="0"/>
              <w:marTop w:val="0"/>
              <w:marBottom w:val="0"/>
              <w:divBdr>
                <w:top w:val="none" w:sz="0" w:space="0" w:color="auto"/>
                <w:left w:val="none" w:sz="0" w:space="0" w:color="auto"/>
                <w:bottom w:val="none" w:sz="0" w:space="0" w:color="auto"/>
                <w:right w:val="none" w:sz="0" w:space="0" w:color="auto"/>
              </w:divBdr>
              <w:divsChild>
                <w:div w:id="958492127">
                  <w:marLeft w:val="0"/>
                  <w:marRight w:val="0"/>
                  <w:marTop w:val="0"/>
                  <w:marBottom w:val="150"/>
                  <w:divBdr>
                    <w:top w:val="none" w:sz="0" w:space="0" w:color="auto"/>
                    <w:left w:val="none" w:sz="0" w:space="0" w:color="auto"/>
                    <w:bottom w:val="none" w:sz="0" w:space="0" w:color="auto"/>
                    <w:right w:val="none" w:sz="0" w:space="0" w:color="auto"/>
                  </w:divBdr>
                  <w:divsChild>
                    <w:div w:id="113065132">
                      <w:marLeft w:val="0"/>
                      <w:marRight w:val="0"/>
                      <w:marTop w:val="0"/>
                      <w:marBottom w:val="0"/>
                      <w:divBdr>
                        <w:top w:val="none" w:sz="0" w:space="0" w:color="auto"/>
                        <w:left w:val="none" w:sz="0" w:space="0" w:color="auto"/>
                        <w:bottom w:val="none" w:sz="0" w:space="0" w:color="auto"/>
                        <w:right w:val="none" w:sz="0" w:space="0" w:color="auto"/>
                      </w:divBdr>
                      <w:divsChild>
                        <w:div w:id="1978803592">
                          <w:marLeft w:val="0"/>
                          <w:marRight w:val="0"/>
                          <w:marTop w:val="0"/>
                          <w:marBottom w:val="0"/>
                          <w:divBdr>
                            <w:top w:val="none" w:sz="0" w:space="0" w:color="auto"/>
                            <w:left w:val="none" w:sz="0" w:space="0" w:color="auto"/>
                            <w:bottom w:val="none" w:sz="0" w:space="0" w:color="auto"/>
                            <w:right w:val="none" w:sz="0" w:space="0" w:color="auto"/>
                          </w:divBdr>
                          <w:divsChild>
                            <w:div w:id="1618442712">
                              <w:marLeft w:val="0"/>
                              <w:marRight w:val="0"/>
                              <w:marTop w:val="0"/>
                              <w:marBottom w:val="0"/>
                              <w:divBdr>
                                <w:top w:val="none" w:sz="0" w:space="0" w:color="auto"/>
                                <w:left w:val="none" w:sz="0" w:space="0" w:color="auto"/>
                                <w:bottom w:val="none" w:sz="0" w:space="0" w:color="auto"/>
                                <w:right w:val="none" w:sz="0" w:space="0" w:color="auto"/>
                              </w:divBdr>
                              <w:divsChild>
                                <w:div w:id="354891255">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042054006">
      <w:bodyDiv w:val="1"/>
      <w:marLeft w:val="0"/>
      <w:marRight w:val="0"/>
      <w:marTop w:val="0"/>
      <w:marBottom w:val="0"/>
      <w:divBdr>
        <w:top w:val="none" w:sz="0" w:space="0" w:color="auto"/>
        <w:left w:val="none" w:sz="0" w:space="0" w:color="auto"/>
        <w:bottom w:val="none" w:sz="0" w:space="0" w:color="auto"/>
        <w:right w:val="none" w:sz="0" w:space="0" w:color="auto"/>
      </w:divBdr>
      <w:divsChild>
        <w:div w:id="728378349">
          <w:marLeft w:val="0"/>
          <w:marRight w:val="0"/>
          <w:marTop w:val="0"/>
          <w:marBottom w:val="0"/>
          <w:divBdr>
            <w:top w:val="none" w:sz="0" w:space="0" w:color="auto"/>
            <w:left w:val="none" w:sz="0" w:space="0" w:color="auto"/>
            <w:bottom w:val="none" w:sz="0" w:space="0" w:color="auto"/>
            <w:right w:val="none" w:sz="0" w:space="0" w:color="auto"/>
          </w:divBdr>
          <w:divsChild>
            <w:div w:id="589236866">
              <w:marLeft w:val="0"/>
              <w:marRight w:val="0"/>
              <w:marTop w:val="0"/>
              <w:marBottom w:val="0"/>
              <w:divBdr>
                <w:top w:val="none" w:sz="0" w:space="0" w:color="auto"/>
                <w:left w:val="none" w:sz="0" w:space="0" w:color="auto"/>
                <w:bottom w:val="none" w:sz="0" w:space="0" w:color="auto"/>
                <w:right w:val="none" w:sz="0" w:space="0" w:color="auto"/>
              </w:divBdr>
              <w:divsChild>
                <w:div w:id="418598425">
                  <w:marLeft w:val="0"/>
                  <w:marRight w:val="0"/>
                  <w:marTop w:val="0"/>
                  <w:marBottom w:val="150"/>
                  <w:divBdr>
                    <w:top w:val="none" w:sz="0" w:space="0" w:color="auto"/>
                    <w:left w:val="none" w:sz="0" w:space="0" w:color="auto"/>
                    <w:bottom w:val="none" w:sz="0" w:space="0" w:color="auto"/>
                    <w:right w:val="none" w:sz="0" w:space="0" w:color="auto"/>
                  </w:divBdr>
                  <w:divsChild>
                    <w:div w:id="121897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880689">
      <w:bodyDiv w:val="1"/>
      <w:marLeft w:val="0"/>
      <w:marRight w:val="0"/>
      <w:marTop w:val="0"/>
      <w:marBottom w:val="0"/>
      <w:divBdr>
        <w:top w:val="none" w:sz="0" w:space="0" w:color="auto"/>
        <w:left w:val="none" w:sz="0" w:space="0" w:color="auto"/>
        <w:bottom w:val="none" w:sz="0" w:space="0" w:color="auto"/>
        <w:right w:val="none" w:sz="0" w:space="0" w:color="auto"/>
      </w:divBdr>
      <w:divsChild>
        <w:div w:id="977219489">
          <w:marLeft w:val="0"/>
          <w:marRight w:val="0"/>
          <w:marTop w:val="0"/>
          <w:marBottom w:val="0"/>
          <w:divBdr>
            <w:top w:val="none" w:sz="0" w:space="0" w:color="auto"/>
            <w:left w:val="none" w:sz="0" w:space="0" w:color="auto"/>
            <w:bottom w:val="none" w:sz="0" w:space="0" w:color="auto"/>
            <w:right w:val="none" w:sz="0" w:space="0" w:color="auto"/>
          </w:divBdr>
          <w:divsChild>
            <w:div w:id="413860439">
              <w:marLeft w:val="0"/>
              <w:marRight w:val="0"/>
              <w:marTop w:val="0"/>
              <w:marBottom w:val="0"/>
              <w:divBdr>
                <w:top w:val="none" w:sz="0" w:space="0" w:color="auto"/>
                <w:left w:val="none" w:sz="0" w:space="0" w:color="auto"/>
                <w:bottom w:val="none" w:sz="0" w:space="0" w:color="auto"/>
                <w:right w:val="none" w:sz="0" w:space="0" w:color="auto"/>
              </w:divBdr>
              <w:divsChild>
                <w:div w:id="1183938232">
                  <w:marLeft w:val="0"/>
                  <w:marRight w:val="0"/>
                  <w:marTop w:val="0"/>
                  <w:marBottom w:val="150"/>
                  <w:divBdr>
                    <w:top w:val="none" w:sz="0" w:space="0" w:color="auto"/>
                    <w:left w:val="none" w:sz="0" w:space="0" w:color="auto"/>
                    <w:bottom w:val="none" w:sz="0" w:space="0" w:color="auto"/>
                    <w:right w:val="none" w:sz="0" w:space="0" w:color="auto"/>
                  </w:divBdr>
                  <w:divsChild>
                    <w:div w:id="215707240">
                      <w:marLeft w:val="0"/>
                      <w:marRight w:val="0"/>
                      <w:marTop w:val="0"/>
                      <w:marBottom w:val="0"/>
                      <w:divBdr>
                        <w:top w:val="none" w:sz="0" w:space="0" w:color="auto"/>
                        <w:left w:val="none" w:sz="0" w:space="0" w:color="auto"/>
                        <w:bottom w:val="none" w:sz="0" w:space="0" w:color="auto"/>
                        <w:right w:val="none" w:sz="0" w:space="0" w:color="auto"/>
                      </w:divBdr>
                      <w:divsChild>
                        <w:div w:id="1037198278">
                          <w:marLeft w:val="0"/>
                          <w:marRight w:val="0"/>
                          <w:marTop w:val="0"/>
                          <w:marBottom w:val="0"/>
                          <w:divBdr>
                            <w:top w:val="none" w:sz="0" w:space="0" w:color="auto"/>
                            <w:left w:val="none" w:sz="0" w:space="0" w:color="auto"/>
                            <w:bottom w:val="none" w:sz="0" w:space="0" w:color="auto"/>
                            <w:right w:val="none" w:sz="0" w:space="0" w:color="auto"/>
                          </w:divBdr>
                          <w:divsChild>
                            <w:div w:id="818107987">
                              <w:marLeft w:val="0"/>
                              <w:marRight w:val="0"/>
                              <w:marTop w:val="0"/>
                              <w:marBottom w:val="0"/>
                              <w:divBdr>
                                <w:top w:val="none" w:sz="0" w:space="0" w:color="auto"/>
                                <w:left w:val="none" w:sz="0" w:space="0" w:color="auto"/>
                                <w:bottom w:val="none" w:sz="0" w:space="0" w:color="auto"/>
                                <w:right w:val="none" w:sz="0" w:space="0" w:color="auto"/>
                              </w:divBdr>
                              <w:divsChild>
                                <w:div w:id="173808470">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174807409">
      <w:bodyDiv w:val="1"/>
      <w:marLeft w:val="0"/>
      <w:marRight w:val="0"/>
      <w:marTop w:val="0"/>
      <w:marBottom w:val="0"/>
      <w:divBdr>
        <w:top w:val="none" w:sz="0" w:space="0" w:color="auto"/>
        <w:left w:val="none" w:sz="0" w:space="0" w:color="auto"/>
        <w:bottom w:val="none" w:sz="0" w:space="0" w:color="auto"/>
        <w:right w:val="none" w:sz="0" w:space="0" w:color="auto"/>
      </w:divBdr>
      <w:divsChild>
        <w:div w:id="339814955">
          <w:marLeft w:val="0"/>
          <w:marRight w:val="0"/>
          <w:marTop w:val="0"/>
          <w:marBottom w:val="0"/>
          <w:divBdr>
            <w:top w:val="none" w:sz="0" w:space="0" w:color="auto"/>
            <w:left w:val="none" w:sz="0" w:space="0" w:color="auto"/>
            <w:bottom w:val="none" w:sz="0" w:space="0" w:color="auto"/>
            <w:right w:val="none" w:sz="0" w:space="0" w:color="auto"/>
          </w:divBdr>
          <w:divsChild>
            <w:div w:id="1846312703">
              <w:marLeft w:val="0"/>
              <w:marRight w:val="0"/>
              <w:marTop w:val="0"/>
              <w:marBottom w:val="0"/>
              <w:divBdr>
                <w:top w:val="none" w:sz="0" w:space="0" w:color="auto"/>
                <w:left w:val="none" w:sz="0" w:space="0" w:color="auto"/>
                <w:bottom w:val="none" w:sz="0" w:space="0" w:color="auto"/>
                <w:right w:val="none" w:sz="0" w:space="0" w:color="auto"/>
              </w:divBdr>
              <w:divsChild>
                <w:div w:id="1736734544">
                  <w:marLeft w:val="0"/>
                  <w:marRight w:val="0"/>
                  <w:marTop w:val="0"/>
                  <w:marBottom w:val="0"/>
                  <w:divBdr>
                    <w:top w:val="none" w:sz="0" w:space="0" w:color="auto"/>
                    <w:left w:val="none" w:sz="0" w:space="0" w:color="auto"/>
                    <w:bottom w:val="none" w:sz="0" w:space="0" w:color="auto"/>
                    <w:right w:val="none" w:sz="0" w:space="0" w:color="auto"/>
                  </w:divBdr>
                  <w:divsChild>
                    <w:div w:id="1911695570">
                      <w:marLeft w:val="0"/>
                      <w:marRight w:val="0"/>
                      <w:marTop w:val="0"/>
                      <w:marBottom w:val="0"/>
                      <w:divBdr>
                        <w:top w:val="none" w:sz="0" w:space="0" w:color="auto"/>
                        <w:left w:val="none" w:sz="0" w:space="0" w:color="auto"/>
                        <w:bottom w:val="none" w:sz="0" w:space="0" w:color="auto"/>
                        <w:right w:val="none" w:sz="0" w:space="0" w:color="auto"/>
                      </w:divBdr>
                      <w:divsChild>
                        <w:div w:id="1252154658">
                          <w:marLeft w:val="0"/>
                          <w:marRight w:val="0"/>
                          <w:marTop w:val="100"/>
                          <w:marBottom w:val="100"/>
                          <w:divBdr>
                            <w:top w:val="single" w:sz="6" w:space="0" w:color="DDDDDD"/>
                            <w:left w:val="single" w:sz="6" w:space="0" w:color="DDDDDD"/>
                            <w:bottom w:val="single" w:sz="6" w:space="0" w:color="DDDDDD"/>
                            <w:right w:val="single" w:sz="6" w:space="0" w:color="DDDDDD"/>
                          </w:divBdr>
                        </w:div>
                        <w:div w:id="289089537">
                          <w:marLeft w:val="0"/>
                          <w:marRight w:val="0"/>
                          <w:marTop w:val="100"/>
                          <w:marBottom w:val="100"/>
                          <w:divBdr>
                            <w:top w:val="single" w:sz="6" w:space="0" w:color="DDDDDD"/>
                            <w:left w:val="single" w:sz="6" w:space="0" w:color="DDDDDD"/>
                            <w:bottom w:val="single" w:sz="6" w:space="0" w:color="DDDDDD"/>
                            <w:right w:val="single" w:sz="6" w:space="0" w:color="DDDDDD"/>
                          </w:divBdr>
                        </w:div>
                        <w:div w:id="972641961">
                          <w:marLeft w:val="0"/>
                          <w:marRight w:val="0"/>
                          <w:marTop w:val="100"/>
                          <w:marBottom w:val="100"/>
                          <w:divBdr>
                            <w:top w:val="single" w:sz="6" w:space="0" w:color="DDDDDD"/>
                            <w:left w:val="single" w:sz="6" w:space="0" w:color="DDDDDD"/>
                            <w:bottom w:val="single" w:sz="6" w:space="0" w:color="DDDDDD"/>
                            <w:right w:val="single" w:sz="6" w:space="0" w:color="DDDDDD"/>
                          </w:divBdr>
                        </w:div>
                        <w:div w:id="849222940">
                          <w:marLeft w:val="0"/>
                          <w:marRight w:val="0"/>
                          <w:marTop w:val="100"/>
                          <w:marBottom w:val="100"/>
                          <w:divBdr>
                            <w:top w:val="single" w:sz="6" w:space="0" w:color="DDDDDD"/>
                            <w:left w:val="single" w:sz="6" w:space="0" w:color="DDDDDD"/>
                            <w:bottom w:val="single" w:sz="6" w:space="0" w:color="DDDDDD"/>
                            <w:right w:val="single" w:sz="6" w:space="0" w:color="DDDDDD"/>
                          </w:divBdr>
                        </w:div>
                        <w:div w:id="1122188179">
                          <w:marLeft w:val="0"/>
                          <w:marRight w:val="0"/>
                          <w:marTop w:val="100"/>
                          <w:marBottom w:val="100"/>
                          <w:divBdr>
                            <w:top w:val="single" w:sz="6" w:space="0" w:color="DDDDDD"/>
                            <w:left w:val="single" w:sz="6" w:space="0" w:color="DDDDDD"/>
                            <w:bottom w:val="single" w:sz="6" w:space="0" w:color="DDDDDD"/>
                            <w:right w:val="single" w:sz="6" w:space="0" w:color="DDDDDD"/>
                          </w:divBdr>
                        </w:div>
                        <w:div w:id="538859191">
                          <w:marLeft w:val="0"/>
                          <w:marRight w:val="0"/>
                          <w:marTop w:val="100"/>
                          <w:marBottom w:val="100"/>
                          <w:divBdr>
                            <w:top w:val="single" w:sz="6" w:space="0" w:color="DDDDDD"/>
                            <w:left w:val="single" w:sz="6" w:space="0" w:color="DDDDDD"/>
                            <w:bottom w:val="single" w:sz="6" w:space="0" w:color="DDDDDD"/>
                            <w:right w:val="single" w:sz="6" w:space="0" w:color="DDDDDD"/>
                          </w:divBdr>
                        </w:div>
                        <w:div w:id="1364211974">
                          <w:marLeft w:val="0"/>
                          <w:marRight w:val="0"/>
                          <w:marTop w:val="100"/>
                          <w:marBottom w:val="100"/>
                          <w:divBdr>
                            <w:top w:val="single" w:sz="6" w:space="0" w:color="DDDDDD"/>
                            <w:left w:val="single" w:sz="6" w:space="0" w:color="DDDDDD"/>
                            <w:bottom w:val="single" w:sz="6" w:space="0" w:color="DDDDDD"/>
                            <w:right w:val="single" w:sz="6" w:space="0" w:color="DDDDDD"/>
                          </w:divBdr>
                        </w:div>
                        <w:div w:id="781455433">
                          <w:marLeft w:val="0"/>
                          <w:marRight w:val="0"/>
                          <w:marTop w:val="100"/>
                          <w:marBottom w:val="10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218011900">
      <w:bodyDiv w:val="1"/>
      <w:marLeft w:val="0"/>
      <w:marRight w:val="0"/>
      <w:marTop w:val="0"/>
      <w:marBottom w:val="0"/>
      <w:divBdr>
        <w:top w:val="none" w:sz="0" w:space="0" w:color="auto"/>
        <w:left w:val="none" w:sz="0" w:space="0" w:color="auto"/>
        <w:bottom w:val="none" w:sz="0" w:space="0" w:color="auto"/>
        <w:right w:val="none" w:sz="0" w:space="0" w:color="auto"/>
      </w:divBdr>
      <w:divsChild>
        <w:div w:id="762334132">
          <w:marLeft w:val="0"/>
          <w:marRight w:val="0"/>
          <w:marTop w:val="0"/>
          <w:marBottom w:val="0"/>
          <w:divBdr>
            <w:top w:val="none" w:sz="0" w:space="0" w:color="auto"/>
            <w:left w:val="none" w:sz="0" w:space="0" w:color="auto"/>
            <w:bottom w:val="none" w:sz="0" w:space="0" w:color="auto"/>
            <w:right w:val="none" w:sz="0" w:space="0" w:color="auto"/>
          </w:divBdr>
          <w:divsChild>
            <w:div w:id="1477188688">
              <w:marLeft w:val="0"/>
              <w:marRight w:val="0"/>
              <w:marTop w:val="0"/>
              <w:marBottom w:val="0"/>
              <w:divBdr>
                <w:top w:val="none" w:sz="0" w:space="0" w:color="auto"/>
                <w:left w:val="none" w:sz="0" w:space="0" w:color="auto"/>
                <w:bottom w:val="none" w:sz="0" w:space="0" w:color="auto"/>
                <w:right w:val="none" w:sz="0" w:space="0" w:color="auto"/>
              </w:divBdr>
              <w:divsChild>
                <w:div w:id="2073193468">
                  <w:marLeft w:val="0"/>
                  <w:marRight w:val="0"/>
                  <w:marTop w:val="0"/>
                  <w:marBottom w:val="150"/>
                  <w:divBdr>
                    <w:top w:val="none" w:sz="0" w:space="0" w:color="auto"/>
                    <w:left w:val="none" w:sz="0" w:space="0" w:color="auto"/>
                    <w:bottom w:val="none" w:sz="0" w:space="0" w:color="auto"/>
                    <w:right w:val="none" w:sz="0" w:space="0" w:color="auto"/>
                  </w:divBdr>
                  <w:divsChild>
                    <w:div w:id="1881092423">
                      <w:marLeft w:val="0"/>
                      <w:marRight w:val="0"/>
                      <w:marTop w:val="0"/>
                      <w:marBottom w:val="0"/>
                      <w:divBdr>
                        <w:top w:val="none" w:sz="0" w:space="0" w:color="auto"/>
                        <w:left w:val="none" w:sz="0" w:space="0" w:color="auto"/>
                        <w:bottom w:val="none" w:sz="0" w:space="0" w:color="auto"/>
                        <w:right w:val="none" w:sz="0" w:space="0" w:color="auto"/>
                      </w:divBdr>
                      <w:divsChild>
                        <w:div w:id="96412599">
                          <w:marLeft w:val="0"/>
                          <w:marRight w:val="0"/>
                          <w:marTop w:val="0"/>
                          <w:marBottom w:val="0"/>
                          <w:divBdr>
                            <w:top w:val="none" w:sz="0" w:space="0" w:color="auto"/>
                            <w:left w:val="none" w:sz="0" w:space="0" w:color="auto"/>
                            <w:bottom w:val="none" w:sz="0" w:space="0" w:color="auto"/>
                            <w:right w:val="none" w:sz="0" w:space="0" w:color="auto"/>
                          </w:divBdr>
                          <w:divsChild>
                            <w:div w:id="1076514998">
                              <w:marLeft w:val="0"/>
                              <w:marRight w:val="0"/>
                              <w:marTop w:val="0"/>
                              <w:marBottom w:val="0"/>
                              <w:divBdr>
                                <w:top w:val="none" w:sz="0" w:space="0" w:color="auto"/>
                                <w:left w:val="none" w:sz="0" w:space="0" w:color="auto"/>
                                <w:bottom w:val="none" w:sz="0" w:space="0" w:color="auto"/>
                                <w:right w:val="none" w:sz="0" w:space="0" w:color="auto"/>
                              </w:divBdr>
                              <w:divsChild>
                                <w:div w:id="1915429241">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257791236">
      <w:bodyDiv w:val="1"/>
      <w:marLeft w:val="0"/>
      <w:marRight w:val="0"/>
      <w:marTop w:val="0"/>
      <w:marBottom w:val="0"/>
      <w:divBdr>
        <w:top w:val="none" w:sz="0" w:space="0" w:color="auto"/>
        <w:left w:val="none" w:sz="0" w:space="0" w:color="auto"/>
        <w:bottom w:val="none" w:sz="0" w:space="0" w:color="auto"/>
        <w:right w:val="none" w:sz="0" w:space="0" w:color="auto"/>
      </w:divBdr>
      <w:divsChild>
        <w:div w:id="1416437607">
          <w:marLeft w:val="0"/>
          <w:marRight w:val="0"/>
          <w:marTop w:val="0"/>
          <w:marBottom w:val="0"/>
          <w:divBdr>
            <w:top w:val="none" w:sz="0" w:space="0" w:color="auto"/>
            <w:left w:val="none" w:sz="0" w:space="0" w:color="auto"/>
            <w:bottom w:val="none" w:sz="0" w:space="0" w:color="auto"/>
            <w:right w:val="none" w:sz="0" w:space="0" w:color="auto"/>
          </w:divBdr>
          <w:divsChild>
            <w:div w:id="1330254454">
              <w:marLeft w:val="0"/>
              <w:marRight w:val="0"/>
              <w:marTop w:val="0"/>
              <w:marBottom w:val="0"/>
              <w:divBdr>
                <w:top w:val="none" w:sz="0" w:space="0" w:color="auto"/>
                <w:left w:val="none" w:sz="0" w:space="0" w:color="auto"/>
                <w:bottom w:val="none" w:sz="0" w:space="0" w:color="auto"/>
                <w:right w:val="none" w:sz="0" w:space="0" w:color="auto"/>
              </w:divBdr>
              <w:divsChild>
                <w:div w:id="1655143051">
                  <w:marLeft w:val="0"/>
                  <w:marRight w:val="0"/>
                  <w:marTop w:val="0"/>
                  <w:marBottom w:val="150"/>
                  <w:divBdr>
                    <w:top w:val="none" w:sz="0" w:space="0" w:color="auto"/>
                    <w:left w:val="none" w:sz="0" w:space="0" w:color="auto"/>
                    <w:bottom w:val="none" w:sz="0" w:space="0" w:color="auto"/>
                    <w:right w:val="none" w:sz="0" w:space="0" w:color="auto"/>
                  </w:divBdr>
                  <w:divsChild>
                    <w:div w:id="71520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832494">
      <w:bodyDiv w:val="1"/>
      <w:marLeft w:val="0"/>
      <w:marRight w:val="0"/>
      <w:marTop w:val="0"/>
      <w:marBottom w:val="0"/>
      <w:divBdr>
        <w:top w:val="none" w:sz="0" w:space="0" w:color="auto"/>
        <w:left w:val="none" w:sz="0" w:space="0" w:color="auto"/>
        <w:bottom w:val="none" w:sz="0" w:space="0" w:color="auto"/>
        <w:right w:val="none" w:sz="0" w:space="0" w:color="auto"/>
      </w:divBdr>
      <w:divsChild>
        <w:div w:id="664284939">
          <w:marLeft w:val="0"/>
          <w:marRight w:val="0"/>
          <w:marTop w:val="0"/>
          <w:marBottom w:val="0"/>
          <w:divBdr>
            <w:top w:val="none" w:sz="0" w:space="0" w:color="auto"/>
            <w:left w:val="none" w:sz="0" w:space="0" w:color="auto"/>
            <w:bottom w:val="none" w:sz="0" w:space="0" w:color="auto"/>
            <w:right w:val="none" w:sz="0" w:space="0" w:color="auto"/>
          </w:divBdr>
          <w:divsChild>
            <w:div w:id="1961523793">
              <w:marLeft w:val="0"/>
              <w:marRight w:val="0"/>
              <w:marTop w:val="0"/>
              <w:marBottom w:val="0"/>
              <w:divBdr>
                <w:top w:val="none" w:sz="0" w:space="0" w:color="auto"/>
                <w:left w:val="none" w:sz="0" w:space="0" w:color="auto"/>
                <w:bottom w:val="none" w:sz="0" w:space="0" w:color="auto"/>
                <w:right w:val="none" w:sz="0" w:space="0" w:color="auto"/>
              </w:divBdr>
              <w:divsChild>
                <w:div w:id="879777668">
                  <w:marLeft w:val="0"/>
                  <w:marRight w:val="0"/>
                  <w:marTop w:val="0"/>
                  <w:marBottom w:val="150"/>
                  <w:divBdr>
                    <w:top w:val="none" w:sz="0" w:space="0" w:color="auto"/>
                    <w:left w:val="none" w:sz="0" w:space="0" w:color="auto"/>
                    <w:bottom w:val="none" w:sz="0" w:space="0" w:color="auto"/>
                    <w:right w:val="none" w:sz="0" w:space="0" w:color="auto"/>
                  </w:divBdr>
                  <w:divsChild>
                    <w:div w:id="108253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579015">
      <w:bodyDiv w:val="1"/>
      <w:marLeft w:val="0"/>
      <w:marRight w:val="0"/>
      <w:marTop w:val="0"/>
      <w:marBottom w:val="0"/>
      <w:divBdr>
        <w:top w:val="none" w:sz="0" w:space="0" w:color="auto"/>
        <w:left w:val="none" w:sz="0" w:space="0" w:color="auto"/>
        <w:bottom w:val="none" w:sz="0" w:space="0" w:color="auto"/>
        <w:right w:val="none" w:sz="0" w:space="0" w:color="auto"/>
      </w:divBdr>
      <w:divsChild>
        <w:div w:id="1028023258">
          <w:marLeft w:val="0"/>
          <w:marRight w:val="0"/>
          <w:marTop w:val="0"/>
          <w:marBottom w:val="0"/>
          <w:divBdr>
            <w:top w:val="none" w:sz="0" w:space="0" w:color="auto"/>
            <w:left w:val="none" w:sz="0" w:space="0" w:color="auto"/>
            <w:bottom w:val="none" w:sz="0" w:space="0" w:color="auto"/>
            <w:right w:val="none" w:sz="0" w:space="0" w:color="auto"/>
          </w:divBdr>
          <w:divsChild>
            <w:div w:id="1786920122">
              <w:marLeft w:val="0"/>
              <w:marRight w:val="0"/>
              <w:marTop w:val="0"/>
              <w:marBottom w:val="0"/>
              <w:divBdr>
                <w:top w:val="none" w:sz="0" w:space="0" w:color="auto"/>
                <w:left w:val="none" w:sz="0" w:space="0" w:color="auto"/>
                <w:bottom w:val="none" w:sz="0" w:space="0" w:color="auto"/>
                <w:right w:val="none" w:sz="0" w:space="0" w:color="auto"/>
              </w:divBdr>
              <w:divsChild>
                <w:div w:id="2144342850">
                  <w:marLeft w:val="0"/>
                  <w:marRight w:val="0"/>
                  <w:marTop w:val="0"/>
                  <w:marBottom w:val="150"/>
                  <w:divBdr>
                    <w:top w:val="none" w:sz="0" w:space="0" w:color="auto"/>
                    <w:left w:val="none" w:sz="0" w:space="0" w:color="auto"/>
                    <w:bottom w:val="none" w:sz="0" w:space="0" w:color="auto"/>
                    <w:right w:val="none" w:sz="0" w:space="0" w:color="auto"/>
                  </w:divBdr>
                  <w:divsChild>
                    <w:div w:id="1501578465">
                      <w:marLeft w:val="0"/>
                      <w:marRight w:val="0"/>
                      <w:marTop w:val="0"/>
                      <w:marBottom w:val="0"/>
                      <w:divBdr>
                        <w:top w:val="none" w:sz="0" w:space="0" w:color="auto"/>
                        <w:left w:val="none" w:sz="0" w:space="0" w:color="auto"/>
                        <w:bottom w:val="none" w:sz="0" w:space="0" w:color="auto"/>
                        <w:right w:val="none" w:sz="0" w:space="0" w:color="auto"/>
                      </w:divBdr>
                      <w:divsChild>
                        <w:div w:id="1533377764">
                          <w:marLeft w:val="0"/>
                          <w:marRight w:val="0"/>
                          <w:marTop w:val="0"/>
                          <w:marBottom w:val="0"/>
                          <w:divBdr>
                            <w:top w:val="none" w:sz="0" w:space="0" w:color="auto"/>
                            <w:left w:val="none" w:sz="0" w:space="0" w:color="auto"/>
                            <w:bottom w:val="none" w:sz="0" w:space="0" w:color="auto"/>
                            <w:right w:val="none" w:sz="0" w:space="0" w:color="auto"/>
                          </w:divBdr>
                          <w:divsChild>
                            <w:div w:id="671185727">
                              <w:marLeft w:val="0"/>
                              <w:marRight w:val="0"/>
                              <w:marTop w:val="0"/>
                              <w:marBottom w:val="0"/>
                              <w:divBdr>
                                <w:top w:val="none" w:sz="0" w:space="0" w:color="auto"/>
                                <w:left w:val="none" w:sz="0" w:space="0" w:color="auto"/>
                                <w:bottom w:val="none" w:sz="0" w:space="0" w:color="auto"/>
                                <w:right w:val="none" w:sz="0" w:space="0" w:color="auto"/>
                              </w:divBdr>
                              <w:divsChild>
                                <w:div w:id="1950697498">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494101418">
      <w:bodyDiv w:val="1"/>
      <w:marLeft w:val="0"/>
      <w:marRight w:val="0"/>
      <w:marTop w:val="0"/>
      <w:marBottom w:val="0"/>
      <w:divBdr>
        <w:top w:val="none" w:sz="0" w:space="0" w:color="auto"/>
        <w:left w:val="none" w:sz="0" w:space="0" w:color="auto"/>
        <w:bottom w:val="none" w:sz="0" w:space="0" w:color="auto"/>
        <w:right w:val="none" w:sz="0" w:space="0" w:color="auto"/>
      </w:divBdr>
      <w:divsChild>
        <w:div w:id="2130776277">
          <w:marLeft w:val="0"/>
          <w:marRight w:val="0"/>
          <w:marTop w:val="0"/>
          <w:marBottom w:val="0"/>
          <w:divBdr>
            <w:top w:val="none" w:sz="0" w:space="0" w:color="auto"/>
            <w:left w:val="none" w:sz="0" w:space="0" w:color="auto"/>
            <w:bottom w:val="none" w:sz="0" w:space="0" w:color="auto"/>
            <w:right w:val="none" w:sz="0" w:space="0" w:color="auto"/>
          </w:divBdr>
          <w:divsChild>
            <w:div w:id="1083408019">
              <w:marLeft w:val="0"/>
              <w:marRight w:val="0"/>
              <w:marTop w:val="0"/>
              <w:marBottom w:val="0"/>
              <w:divBdr>
                <w:top w:val="none" w:sz="0" w:space="0" w:color="auto"/>
                <w:left w:val="none" w:sz="0" w:space="0" w:color="auto"/>
                <w:bottom w:val="none" w:sz="0" w:space="0" w:color="auto"/>
                <w:right w:val="none" w:sz="0" w:space="0" w:color="auto"/>
              </w:divBdr>
              <w:divsChild>
                <w:div w:id="1500539820">
                  <w:marLeft w:val="0"/>
                  <w:marRight w:val="0"/>
                  <w:marTop w:val="0"/>
                  <w:marBottom w:val="150"/>
                  <w:divBdr>
                    <w:top w:val="none" w:sz="0" w:space="0" w:color="auto"/>
                    <w:left w:val="none" w:sz="0" w:space="0" w:color="auto"/>
                    <w:bottom w:val="none" w:sz="0" w:space="0" w:color="auto"/>
                    <w:right w:val="none" w:sz="0" w:space="0" w:color="auto"/>
                  </w:divBdr>
                  <w:divsChild>
                    <w:div w:id="7061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079551">
      <w:bodyDiv w:val="1"/>
      <w:marLeft w:val="0"/>
      <w:marRight w:val="0"/>
      <w:marTop w:val="0"/>
      <w:marBottom w:val="0"/>
      <w:divBdr>
        <w:top w:val="none" w:sz="0" w:space="0" w:color="auto"/>
        <w:left w:val="none" w:sz="0" w:space="0" w:color="auto"/>
        <w:bottom w:val="none" w:sz="0" w:space="0" w:color="auto"/>
        <w:right w:val="none" w:sz="0" w:space="0" w:color="auto"/>
      </w:divBdr>
      <w:divsChild>
        <w:div w:id="1426077769">
          <w:marLeft w:val="0"/>
          <w:marRight w:val="0"/>
          <w:marTop w:val="0"/>
          <w:marBottom w:val="0"/>
          <w:divBdr>
            <w:top w:val="none" w:sz="0" w:space="0" w:color="auto"/>
            <w:left w:val="none" w:sz="0" w:space="0" w:color="auto"/>
            <w:bottom w:val="none" w:sz="0" w:space="0" w:color="auto"/>
            <w:right w:val="none" w:sz="0" w:space="0" w:color="auto"/>
          </w:divBdr>
          <w:divsChild>
            <w:div w:id="1060637175">
              <w:marLeft w:val="0"/>
              <w:marRight w:val="0"/>
              <w:marTop w:val="0"/>
              <w:marBottom w:val="0"/>
              <w:divBdr>
                <w:top w:val="none" w:sz="0" w:space="0" w:color="auto"/>
                <w:left w:val="none" w:sz="0" w:space="0" w:color="auto"/>
                <w:bottom w:val="none" w:sz="0" w:space="0" w:color="auto"/>
                <w:right w:val="none" w:sz="0" w:space="0" w:color="auto"/>
              </w:divBdr>
              <w:divsChild>
                <w:div w:id="1136290014">
                  <w:marLeft w:val="0"/>
                  <w:marRight w:val="0"/>
                  <w:marTop w:val="0"/>
                  <w:marBottom w:val="150"/>
                  <w:divBdr>
                    <w:top w:val="none" w:sz="0" w:space="0" w:color="auto"/>
                    <w:left w:val="none" w:sz="0" w:space="0" w:color="auto"/>
                    <w:bottom w:val="none" w:sz="0" w:space="0" w:color="auto"/>
                    <w:right w:val="none" w:sz="0" w:space="0" w:color="auto"/>
                  </w:divBdr>
                  <w:divsChild>
                    <w:div w:id="107763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127345">
      <w:bodyDiv w:val="1"/>
      <w:marLeft w:val="0"/>
      <w:marRight w:val="0"/>
      <w:marTop w:val="0"/>
      <w:marBottom w:val="0"/>
      <w:divBdr>
        <w:top w:val="none" w:sz="0" w:space="0" w:color="auto"/>
        <w:left w:val="none" w:sz="0" w:space="0" w:color="auto"/>
        <w:bottom w:val="none" w:sz="0" w:space="0" w:color="auto"/>
        <w:right w:val="none" w:sz="0" w:space="0" w:color="auto"/>
      </w:divBdr>
      <w:divsChild>
        <w:div w:id="351758930">
          <w:marLeft w:val="0"/>
          <w:marRight w:val="0"/>
          <w:marTop w:val="0"/>
          <w:marBottom w:val="0"/>
          <w:divBdr>
            <w:top w:val="none" w:sz="0" w:space="0" w:color="auto"/>
            <w:left w:val="none" w:sz="0" w:space="0" w:color="auto"/>
            <w:bottom w:val="none" w:sz="0" w:space="0" w:color="auto"/>
            <w:right w:val="none" w:sz="0" w:space="0" w:color="auto"/>
          </w:divBdr>
          <w:divsChild>
            <w:div w:id="1943099232">
              <w:marLeft w:val="0"/>
              <w:marRight w:val="0"/>
              <w:marTop w:val="0"/>
              <w:marBottom w:val="0"/>
              <w:divBdr>
                <w:top w:val="none" w:sz="0" w:space="0" w:color="auto"/>
                <w:left w:val="none" w:sz="0" w:space="0" w:color="auto"/>
                <w:bottom w:val="none" w:sz="0" w:space="0" w:color="auto"/>
                <w:right w:val="none" w:sz="0" w:space="0" w:color="auto"/>
              </w:divBdr>
              <w:divsChild>
                <w:div w:id="1760322183">
                  <w:marLeft w:val="0"/>
                  <w:marRight w:val="0"/>
                  <w:marTop w:val="0"/>
                  <w:marBottom w:val="150"/>
                  <w:divBdr>
                    <w:top w:val="none" w:sz="0" w:space="0" w:color="auto"/>
                    <w:left w:val="none" w:sz="0" w:space="0" w:color="auto"/>
                    <w:bottom w:val="none" w:sz="0" w:space="0" w:color="auto"/>
                    <w:right w:val="none" w:sz="0" w:space="0" w:color="auto"/>
                  </w:divBdr>
                  <w:divsChild>
                    <w:div w:id="19169383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895727">
      <w:bodyDiv w:val="1"/>
      <w:marLeft w:val="0"/>
      <w:marRight w:val="0"/>
      <w:marTop w:val="0"/>
      <w:marBottom w:val="0"/>
      <w:divBdr>
        <w:top w:val="none" w:sz="0" w:space="0" w:color="auto"/>
        <w:left w:val="none" w:sz="0" w:space="0" w:color="auto"/>
        <w:bottom w:val="none" w:sz="0" w:space="0" w:color="auto"/>
        <w:right w:val="none" w:sz="0" w:space="0" w:color="auto"/>
      </w:divBdr>
      <w:divsChild>
        <w:div w:id="1131898486">
          <w:marLeft w:val="0"/>
          <w:marRight w:val="0"/>
          <w:marTop w:val="0"/>
          <w:marBottom w:val="0"/>
          <w:divBdr>
            <w:top w:val="none" w:sz="0" w:space="0" w:color="auto"/>
            <w:left w:val="none" w:sz="0" w:space="0" w:color="auto"/>
            <w:bottom w:val="none" w:sz="0" w:space="0" w:color="auto"/>
            <w:right w:val="none" w:sz="0" w:space="0" w:color="auto"/>
          </w:divBdr>
          <w:divsChild>
            <w:div w:id="2122339866">
              <w:marLeft w:val="0"/>
              <w:marRight w:val="0"/>
              <w:marTop w:val="0"/>
              <w:marBottom w:val="0"/>
              <w:divBdr>
                <w:top w:val="none" w:sz="0" w:space="0" w:color="auto"/>
                <w:left w:val="none" w:sz="0" w:space="0" w:color="auto"/>
                <w:bottom w:val="none" w:sz="0" w:space="0" w:color="auto"/>
                <w:right w:val="none" w:sz="0" w:space="0" w:color="auto"/>
              </w:divBdr>
              <w:divsChild>
                <w:div w:id="248272475">
                  <w:marLeft w:val="0"/>
                  <w:marRight w:val="0"/>
                  <w:marTop w:val="0"/>
                  <w:marBottom w:val="150"/>
                  <w:divBdr>
                    <w:top w:val="none" w:sz="0" w:space="0" w:color="auto"/>
                    <w:left w:val="none" w:sz="0" w:space="0" w:color="auto"/>
                    <w:bottom w:val="none" w:sz="0" w:space="0" w:color="auto"/>
                    <w:right w:val="none" w:sz="0" w:space="0" w:color="auto"/>
                  </w:divBdr>
                  <w:divsChild>
                    <w:div w:id="1189568335">
                      <w:marLeft w:val="0"/>
                      <w:marRight w:val="0"/>
                      <w:marTop w:val="0"/>
                      <w:marBottom w:val="0"/>
                      <w:divBdr>
                        <w:top w:val="none" w:sz="0" w:space="0" w:color="auto"/>
                        <w:left w:val="none" w:sz="0" w:space="0" w:color="auto"/>
                        <w:bottom w:val="none" w:sz="0" w:space="0" w:color="auto"/>
                        <w:right w:val="none" w:sz="0" w:space="0" w:color="auto"/>
                      </w:divBdr>
                      <w:divsChild>
                        <w:div w:id="679936960">
                          <w:marLeft w:val="0"/>
                          <w:marRight w:val="0"/>
                          <w:marTop w:val="0"/>
                          <w:marBottom w:val="0"/>
                          <w:divBdr>
                            <w:top w:val="none" w:sz="0" w:space="0" w:color="auto"/>
                            <w:left w:val="none" w:sz="0" w:space="0" w:color="auto"/>
                            <w:bottom w:val="none" w:sz="0" w:space="0" w:color="auto"/>
                            <w:right w:val="none" w:sz="0" w:space="0" w:color="auto"/>
                          </w:divBdr>
                          <w:divsChild>
                            <w:div w:id="1154567658">
                              <w:marLeft w:val="0"/>
                              <w:marRight w:val="0"/>
                              <w:marTop w:val="0"/>
                              <w:marBottom w:val="0"/>
                              <w:divBdr>
                                <w:top w:val="none" w:sz="0" w:space="0" w:color="auto"/>
                                <w:left w:val="none" w:sz="0" w:space="0" w:color="auto"/>
                                <w:bottom w:val="none" w:sz="0" w:space="0" w:color="auto"/>
                                <w:right w:val="none" w:sz="0" w:space="0" w:color="auto"/>
                              </w:divBdr>
                              <w:divsChild>
                                <w:div w:id="70471341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2106340798">
      <w:bodyDiv w:val="1"/>
      <w:marLeft w:val="0"/>
      <w:marRight w:val="0"/>
      <w:marTop w:val="0"/>
      <w:marBottom w:val="0"/>
      <w:divBdr>
        <w:top w:val="none" w:sz="0" w:space="0" w:color="auto"/>
        <w:left w:val="none" w:sz="0" w:space="0" w:color="auto"/>
        <w:bottom w:val="none" w:sz="0" w:space="0" w:color="auto"/>
        <w:right w:val="none" w:sz="0" w:space="0" w:color="auto"/>
      </w:divBdr>
      <w:divsChild>
        <w:div w:id="2128772698">
          <w:marLeft w:val="0"/>
          <w:marRight w:val="0"/>
          <w:marTop w:val="0"/>
          <w:marBottom w:val="0"/>
          <w:divBdr>
            <w:top w:val="none" w:sz="0" w:space="0" w:color="auto"/>
            <w:left w:val="none" w:sz="0" w:space="0" w:color="auto"/>
            <w:bottom w:val="none" w:sz="0" w:space="0" w:color="auto"/>
            <w:right w:val="none" w:sz="0" w:space="0" w:color="auto"/>
          </w:divBdr>
          <w:divsChild>
            <w:div w:id="1161772847">
              <w:marLeft w:val="0"/>
              <w:marRight w:val="0"/>
              <w:marTop w:val="0"/>
              <w:marBottom w:val="0"/>
              <w:divBdr>
                <w:top w:val="none" w:sz="0" w:space="0" w:color="auto"/>
                <w:left w:val="none" w:sz="0" w:space="0" w:color="auto"/>
                <w:bottom w:val="none" w:sz="0" w:space="0" w:color="auto"/>
                <w:right w:val="none" w:sz="0" w:space="0" w:color="auto"/>
              </w:divBdr>
              <w:divsChild>
                <w:div w:id="675810517">
                  <w:marLeft w:val="0"/>
                  <w:marRight w:val="0"/>
                  <w:marTop w:val="0"/>
                  <w:marBottom w:val="150"/>
                  <w:divBdr>
                    <w:top w:val="none" w:sz="0" w:space="0" w:color="auto"/>
                    <w:left w:val="none" w:sz="0" w:space="0" w:color="auto"/>
                    <w:bottom w:val="none" w:sz="0" w:space="0" w:color="auto"/>
                    <w:right w:val="none" w:sz="0" w:space="0" w:color="auto"/>
                  </w:divBdr>
                  <w:divsChild>
                    <w:div w:id="120006253">
                      <w:marLeft w:val="0"/>
                      <w:marRight w:val="0"/>
                      <w:marTop w:val="0"/>
                      <w:marBottom w:val="0"/>
                      <w:divBdr>
                        <w:top w:val="none" w:sz="0" w:space="0" w:color="auto"/>
                        <w:left w:val="none" w:sz="0" w:space="0" w:color="auto"/>
                        <w:bottom w:val="none" w:sz="0" w:space="0" w:color="auto"/>
                        <w:right w:val="none" w:sz="0" w:space="0" w:color="auto"/>
                      </w:divBdr>
                      <w:divsChild>
                        <w:div w:id="2034110637">
                          <w:marLeft w:val="0"/>
                          <w:marRight w:val="0"/>
                          <w:marTop w:val="0"/>
                          <w:marBottom w:val="0"/>
                          <w:divBdr>
                            <w:top w:val="none" w:sz="0" w:space="0" w:color="auto"/>
                            <w:left w:val="none" w:sz="0" w:space="0" w:color="auto"/>
                            <w:bottom w:val="none" w:sz="0" w:space="0" w:color="auto"/>
                            <w:right w:val="none" w:sz="0" w:space="0" w:color="auto"/>
                          </w:divBdr>
                          <w:divsChild>
                            <w:div w:id="19876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901850">
      <w:bodyDiv w:val="1"/>
      <w:marLeft w:val="0"/>
      <w:marRight w:val="0"/>
      <w:marTop w:val="0"/>
      <w:marBottom w:val="0"/>
      <w:divBdr>
        <w:top w:val="none" w:sz="0" w:space="0" w:color="auto"/>
        <w:left w:val="none" w:sz="0" w:space="0" w:color="auto"/>
        <w:bottom w:val="none" w:sz="0" w:space="0" w:color="auto"/>
        <w:right w:val="none" w:sz="0" w:space="0" w:color="auto"/>
      </w:divBdr>
    </w:div>
    <w:div w:id="2129810915">
      <w:bodyDiv w:val="1"/>
      <w:marLeft w:val="0"/>
      <w:marRight w:val="0"/>
      <w:marTop w:val="0"/>
      <w:marBottom w:val="0"/>
      <w:divBdr>
        <w:top w:val="none" w:sz="0" w:space="0" w:color="auto"/>
        <w:left w:val="none" w:sz="0" w:space="0" w:color="auto"/>
        <w:bottom w:val="none" w:sz="0" w:space="0" w:color="auto"/>
        <w:right w:val="none" w:sz="0" w:space="0" w:color="auto"/>
      </w:divBdr>
      <w:divsChild>
        <w:div w:id="1563101061">
          <w:marLeft w:val="0"/>
          <w:marRight w:val="0"/>
          <w:marTop w:val="0"/>
          <w:marBottom w:val="0"/>
          <w:divBdr>
            <w:top w:val="none" w:sz="0" w:space="0" w:color="auto"/>
            <w:left w:val="none" w:sz="0" w:space="0" w:color="auto"/>
            <w:bottom w:val="none" w:sz="0" w:space="0" w:color="auto"/>
            <w:right w:val="none" w:sz="0" w:space="0" w:color="auto"/>
          </w:divBdr>
          <w:divsChild>
            <w:div w:id="1222247467">
              <w:marLeft w:val="0"/>
              <w:marRight w:val="0"/>
              <w:marTop w:val="0"/>
              <w:marBottom w:val="0"/>
              <w:divBdr>
                <w:top w:val="none" w:sz="0" w:space="0" w:color="auto"/>
                <w:left w:val="none" w:sz="0" w:space="0" w:color="auto"/>
                <w:bottom w:val="none" w:sz="0" w:space="0" w:color="auto"/>
                <w:right w:val="none" w:sz="0" w:space="0" w:color="auto"/>
              </w:divBdr>
              <w:divsChild>
                <w:div w:id="668678563">
                  <w:marLeft w:val="0"/>
                  <w:marRight w:val="0"/>
                  <w:marTop w:val="0"/>
                  <w:marBottom w:val="150"/>
                  <w:divBdr>
                    <w:top w:val="none" w:sz="0" w:space="0" w:color="auto"/>
                    <w:left w:val="none" w:sz="0" w:space="0" w:color="auto"/>
                    <w:bottom w:val="none" w:sz="0" w:space="0" w:color="auto"/>
                    <w:right w:val="none" w:sz="0" w:space="0" w:color="auto"/>
                  </w:divBdr>
                  <w:divsChild>
                    <w:div w:id="194781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control" Target="activeX/activeX16.xml"/><Relationship Id="rId3" Type="http://schemas.openxmlformats.org/officeDocument/2006/relationships/styles" Target="styles.xml"/><Relationship Id="rId21" Type="http://schemas.openxmlformats.org/officeDocument/2006/relationships/control" Target="activeX/activeX7.xml"/><Relationship Id="rId34" Type="http://schemas.openxmlformats.org/officeDocument/2006/relationships/image" Target="media/image15.wmf"/><Relationship Id="rId42"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3.xml"/><Relationship Id="rId38" Type="http://schemas.openxmlformats.org/officeDocument/2006/relationships/image" Target="media/image17.w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control" Target="activeX/activeX11.xml"/><Relationship Id="rId41" Type="http://schemas.openxmlformats.org/officeDocument/2006/relationships/control" Target="activeX/activeX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2.xml"/><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control" Target="activeX/activeX15.xml"/><Relationship Id="rId40" Type="http://schemas.openxmlformats.org/officeDocument/2006/relationships/image" Target="media/image18.wmf"/><Relationship Id="rId5" Type="http://schemas.openxmlformats.org/officeDocument/2006/relationships/settings" Target="setting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control" Target="activeX/activeX6.xml"/><Relationship Id="rId31" Type="http://schemas.openxmlformats.org/officeDocument/2006/relationships/control" Target="activeX/activeX12.xml"/><Relationship Id="rId4" Type="http://schemas.microsoft.com/office/2007/relationships/stylesWithEffects" Target="stylesWithEffect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control" Target="activeX/activeX10.xml"/><Relationship Id="rId30" Type="http://schemas.openxmlformats.org/officeDocument/2006/relationships/image" Target="media/image13.wmf"/><Relationship Id="rId35" Type="http://schemas.openxmlformats.org/officeDocument/2006/relationships/control" Target="activeX/activeX14.xml"/><Relationship Id="rId43"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0-5CC6-11CF-8D67-00AA00BDCE1D}" ax:persistence="persistStream" r:id="rId1"/>
</file>

<file path=word/activeX/activeX11.xml><?xml version="1.0" encoding="utf-8"?>
<ax:ocx xmlns:ax="http://schemas.microsoft.com/office/2006/activeX" xmlns:r="http://schemas.openxmlformats.org/officeDocument/2006/relationships" ax:classid="{5512D110-5CC6-11CF-8D67-00AA00BDCE1D}" ax:persistence="persistStream" r:id="rId1"/>
</file>

<file path=word/activeX/activeX12.xml><?xml version="1.0" encoding="utf-8"?>
<ax:ocx xmlns:ax="http://schemas.microsoft.com/office/2006/activeX" xmlns:r="http://schemas.openxmlformats.org/officeDocument/2006/relationships" ax:classid="{5512D110-5CC6-11CF-8D67-00AA00BDCE1D}" ax:persistence="persistStream" r:id="rId1"/>
</file>

<file path=word/activeX/activeX13.xml><?xml version="1.0" encoding="utf-8"?>
<ax:ocx xmlns:ax="http://schemas.microsoft.com/office/2006/activeX" xmlns:r="http://schemas.openxmlformats.org/officeDocument/2006/relationships" ax:classid="{5512D110-5CC6-11CF-8D67-00AA00BDCE1D}" ax:persistence="persistStream" r:id="rId1"/>
</file>

<file path=word/activeX/activeX14.xml><?xml version="1.0" encoding="utf-8"?>
<ax:ocx xmlns:ax="http://schemas.microsoft.com/office/2006/activeX" xmlns:r="http://schemas.openxmlformats.org/officeDocument/2006/relationships" ax:classid="{5512D110-5CC6-11CF-8D67-00AA00BDCE1D}" ax:persistence="persistStream" r:id="rId1"/>
</file>

<file path=word/activeX/activeX15.xml><?xml version="1.0" encoding="utf-8"?>
<ax:ocx xmlns:ax="http://schemas.microsoft.com/office/2006/activeX" xmlns:r="http://schemas.openxmlformats.org/officeDocument/2006/relationships" ax:classid="{5512D110-5CC6-11CF-8D67-00AA00BDCE1D}" ax:persistence="persistStream" r:id="rId1"/>
</file>

<file path=word/activeX/activeX16.xml><?xml version="1.0" encoding="utf-8"?>
<ax:ocx xmlns:ax="http://schemas.microsoft.com/office/2006/activeX" xmlns:r="http://schemas.openxmlformats.org/officeDocument/2006/relationships" ax:classid="{5512D110-5CC6-11CF-8D67-00AA00BDCE1D}" ax:persistence="persistStream" r:id="rId1"/>
</file>

<file path=word/activeX/activeX17.xml><?xml version="1.0" encoding="utf-8"?>
<ax:ocx xmlns:ax="http://schemas.microsoft.com/office/2006/activeX" xmlns:r="http://schemas.openxmlformats.org/officeDocument/2006/relationships" ax:classid="{5512D110-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activeX/activeX3.xml><?xml version="1.0" encoding="utf-8"?>
<ax:ocx xmlns:ax="http://schemas.microsoft.com/office/2006/activeX" xmlns:r="http://schemas.openxmlformats.org/officeDocument/2006/relationships" ax:classid="{5512D110-5CC6-11CF-8D67-00AA00BDCE1D}" ax:persistence="persistStream" r:id="rId1"/>
</file>

<file path=word/activeX/activeX4.xml><?xml version="1.0" encoding="utf-8"?>
<ax:ocx xmlns:ax="http://schemas.microsoft.com/office/2006/activeX" xmlns:r="http://schemas.openxmlformats.org/officeDocument/2006/relationships" ax:classid="{5512D110-5CC6-11CF-8D67-00AA00BDCE1D}" ax:persistence="persistStream" r:id="rId1"/>
</file>

<file path=word/activeX/activeX5.xml><?xml version="1.0" encoding="utf-8"?>
<ax:ocx xmlns:ax="http://schemas.microsoft.com/office/2006/activeX" xmlns:r="http://schemas.openxmlformats.org/officeDocument/2006/relationships" ax:classid="{5512D110-5CC6-11CF-8D67-00AA00BDCE1D}" ax:persistence="persistStream" r:id="rId1"/>
</file>

<file path=word/activeX/activeX6.xml><?xml version="1.0" encoding="utf-8"?>
<ax:ocx xmlns:ax="http://schemas.microsoft.com/office/2006/activeX" xmlns:r="http://schemas.openxmlformats.org/officeDocument/2006/relationships" ax:classid="{5512D110-5CC6-11CF-8D67-00AA00BDCE1D}" ax:persistence="persistStream" r:id="rId1"/>
</file>

<file path=word/activeX/activeX7.xml><?xml version="1.0" encoding="utf-8"?>
<ax:ocx xmlns:ax="http://schemas.microsoft.com/office/2006/activeX" xmlns:r="http://schemas.openxmlformats.org/officeDocument/2006/relationships" ax:classid="{5512D110-5CC6-11CF-8D67-00AA00BDCE1D}" ax:persistence="persistStream" r:id="rId1"/>
</file>

<file path=word/activeX/activeX8.xml><?xml version="1.0" encoding="utf-8"?>
<ax:ocx xmlns:ax="http://schemas.microsoft.com/office/2006/activeX" xmlns:r="http://schemas.openxmlformats.org/officeDocument/2006/relationships" ax:classid="{5512D110-5CC6-11CF-8D67-00AA00BDCE1D}" ax:persistence="persistStream" r:id="rId1"/>
</file>

<file path=word/activeX/activeX9.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BF093-1B0C-466A-877B-36171F788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1140</Words>
  <Characters>6498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7623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BAGE, John (C6616)</dc:creator>
  <cp:lastModifiedBy>YATES, Jennifer (C8507)</cp:lastModifiedBy>
  <cp:revision>2</cp:revision>
  <cp:lastPrinted>2014-09-16T11:29:00Z</cp:lastPrinted>
  <dcterms:created xsi:type="dcterms:W3CDTF">2019-02-20T14:14:00Z</dcterms:created>
  <dcterms:modified xsi:type="dcterms:W3CDTF">2019-02-20T14:14:00Z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49cbdc7a-d0db-49a1-b026-6e30df163e7c</vt:lpwstr>
  </property>
  <property fmtid="{D5CDD505-2E9C-101B-9397-08002B2CF9AE}" pid="3" name="Classification">
    <vt:lpwstr>OFFICIAL</vt:lpwstr>
  </property>
</Properties>
</file>