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201" w:rsidRPr="002D35D5" w:rsidRDefault="00507209" w:rsidP="0012515D">
      <w:pPr>
        <w:pStyle w:val="Heading3"/>
        <w:tabs>
          <w:tab w:val="left" w:pos="0"/>
        </w:tabs>
        <w:ind w:right="1"/>
        <w:jc w:val="both"/>
        <w:rPr>
          <w:rFonts w:ascii="Tahoma" w:eastAsia="Arial Unicode MS" w:hAnsi="Tahoma" w:cs="Tahoma"/>
          <w:szCs w:val="24"/>
        </w:rPr>
      </w:pPr>
      <w:r w:rsidRPr="002D35D5">
        <w:rPr>
          <w:rFonts w:ascii="Tahoma" w:hAnsi="Tahoma" w:cs="Tahoma"/>
          <w:szCs w:val="24"/>
        </w:rPr>
        <w:t>Report of the Chief Constable</w:t>
      </w:r>
      <w:r w:rsidR="00E87ED4" w:rsidRPr="002D35D5">
        <w:rPr>
          <w:rFonts w:ascii="Tahoma" w:hAnsi="Tahoma" w:cs="Tahoma"/>
          <w:szCs w:val="24"/>
        </w:rPr>
        <w:t xml:space="preserve"> </w:t>
      </w:r>
      <w:r w:rsidRPr="002D35D5">
        <w:rPr>
          <w:rFonts w:ascii="Tahoma" w:hAnsi="Tahoma" w:cs="Tahoma"/>
          <w:szCs w:val="24"/>
        </w:rPr>
        <w:t>to the Chair and Members</w:t>
      </w:r>
      <w:r w:rsidR="00B55CCF" w:rsidRPr="002D35D5">
        <w:rPr>
          <w:rFonts w:ascii="Tahoma" w:eastAsia="Arial Unicode MS" w:hAnsi="Tahoma" w:cs="Tahoma"/>
          <w:szCs w:val="24"/>
        </w:rPr>
        <w:t xml:space="preserve"> </w:t>
      </w:r>
      <w:r w:rsidRPr="002D35D5">
        <w:rPr>
          <w:rFonts w:ascii="Tahoma" w:hAnsi="Tahoma" w:cs="Tahoma"/>
          <w:szCs w:val="24"/>
        </w:rPr>
        <w:t xml:space="preserve">of the </w:t>
      </w:r>
      <w:r w:rsidR="004A6AE1" w:rsidRPr="002D35D5">
        <w:rPr>
          <w:rFonts w:ascii="Tahoma" w:hAnsi="Tahoma" w:cs="Tahoma"/>
          <w:szCs w:val="24"/>
        </w:rPr>
        <w:t xml:space="preserve">Audit </w:t>
      </w:r>
      <w:r w:rsidR="00535E44" w:rsidRPr="002D35D5">
        <w:rPr>
          <w:rFonts w:ascii="Tahoma" w:hAnsi="Tahoma" w:cs="Tahoma"/>
          <w:szCs w:val="24"/>
        </w:rPr>
        <w:t>Committee</w:t>
      </w:r>
    </w:p>
    <w:p w:rsidR="00507209" w:rsidRPr="002D35D5" w:rsidRDefault="004D327E" w:rsidP="0012515D">
      <w:pPr>
        <w:tabs>
          <w:tab w:val="left" w:pos="993"/>
        </w:tabs>
        <w:ind w:right="880"/>
        <w:jc w:val="both"/>
        <w:rPr>
          <w:rFonts w:ascii="Tahoma" w:hAnsi="Tahoma" w:cs="Tahoma"/>
          <w:b/>
          <w:bCs/>
          <w:sz w:val="24"/>
          <w:szCs w:val="24"/>
        </w:rPr>
      </w:pPr>
      <w:r w:rsidRPr="002D35D5">
        <w:rPr>
          <w:rFonts w:ascii="Tahoma" w:hAnsi="Tahoma" w:cs="Tahoma"/>
          <w:b/>
          <w:bCs/>
          <w:sz w:val="24"/>
          <w:szCs w:val="24"/>
        </w:rPr>
        <w:t>2</w:t>
      </w:r>
      <w:r w:rsidR="00D26629" w:rsidRPr="002D35D5">
        <w:rPr>
          <w:rFonts w:ascii="Tahoma" w:hAnsi="Tahoma" w:cs="Tahoma"/>
          <w:b/>
          <w:bCs/>
          <w:sz w:val="24"/>
          <w:szCs w:val="24"/>
        </w:rPr>
        <w:t>3</w:t>
      </w:r>
      <w:r w:rsidR="00D26629" w:rsidRPr="002D35D5">
        <w:rPr>
          <w:rFonts w:ascii="Tahoma" w:hAnsi="Tahoma" w:cs="Tahoma"/>
          <w:b/>
          <w:bCs/>
          <w:sz w:val="24"/>
          <w:szCs w:val="24"/>
          <w:vertAlign w:val="superscript"/>
        </w:rPr>
        <w:t>rd</w:t>
      </w:r>
      <w:r w:rsidR="00D26629" w:rsidRPr="002D35D5">
        <w:rPr>
          <w:rFonts w:ascii="Tahoma" w:hAnsi="Tahoma" w:cs="Tahoma"/>
          <w:b/>
          <w:bCs/>
          <w:sz w:val="24"/>
          <w:szCs w:val="24"/>
        </w:rPr>
        <w:t xml:space="preserve"> March</w:t>
      </w:r>
      <w:r w:rsidR="00831597" w:rsidRPr="002D35D5">
        <w:rPr>
          <w:rFonts w:ascii="Tahoma" w:hAnsi="Tahoma" w:cs="Tahoma"/>
          <w:b/>
          <w:bCs/>
          <w:sz w:val="24"/>
          <w:szCs w:val="24"/>
        </w:rPr>
        <w:t xml:space="preserve"> 201</w:t>
      </w:r>
      <w:r w:rsidR="00D26629" w:rsidRPr="002D35D5">
        <w:rPr>
          <w:rFonts w:ascii="Tahoma" w:hAnsi="Tahoma" w:cs="Tahoma"/>
          <w:b/>
          <w:bCs/>
          <w:sz w:val="24"/>
          <w:szCs w:val="24"/>
        </w:rPr>
        <w:t>7</w:t>
      </w:r>
    </w:p>
    <w:p w:rsidR="00810696" w:rsidRPr="002D35D5" w:rsidRDefault="00810696" w:rsidP="0012515D">
      <w:pPr>
        <w:tabs>
          <w:tab w:val="left" w:pos="993"/>
        </w:tabs>
        <w:ind w:right="880"/>
        <w:jc w:val="both"/>
        <w:rPr>
          <w:rFonts w:ascii="Tahoma" w:hAnsi="Tahoma" w:cs="Tahoma"/>
          <w:b/>
          <w:bCs/>
          <w:sz w:val="24"/>
          <w:szCs w:val="24"/>
        </w:rPr>
      </w:pPr>
    </w:p>
    <w:p w:rsidR="00507209" w:rsidRPr="002D35D5" w:rsidRDefault="0028080E" w:rsidP="0012515D">
      <w:pPr>
        <w:ind w:right="1"/>
        <w:jc w:val="both"/>
        <w:rPr>
          <w:rFonts w:ascii="Tahoma" w:hAnsi="Tahoma" w:cs="Tahoma"/>
          <w:b/>
          <w:sz w:val="24"/>
          <w:szCs w:val="24"/>
        </w:rPr>
      </w:pPr>
      <w:r w:rsidRPr="002D35D5">
        <w:rPr>
          <w:rFonts w:ascii="Tahoma" w:hAnsi="Tahoma" w:cs="Tahoma"/>
          <w:b/>
          <w:sz w:val="24"/>
          <w:szCs w:val="24"/>
        </w:rPr>
        <w:t xml:space="preserve">Executive </w:t>
      </w:r>
      <w:r w:rsidR="00B21C5D" w:rsidRPr="002D35D5">
        <w:rPr>
          <w:rFonts w:ascii="Tahoma" w:hAnsi="Tahoma" w:cs="Tahoma"/>
          <w:b/>
          <w:sz w:val="24"/>
          <w:szCs w:val="24"/>
        </w:rPr>
        <w:t xml:space="preserve">&amp; Presenting </w:t>
      </w:r>
      <w:r w:rsidRPr="002D35D5">
        <w:rPr>
          <w:rFonts w:ascii="Tahoma" w:hAnsi="Tahoma" w:cs="Tahoma"/>
          <w:b/>
          <w:sz w:val="24"/>
          <w:szCs w:val="24"/>
        </w:rPr>
        <w:t xml:space="preserve">Officer: Mr </w:t>
      </w:r>
      <w:r w:rsidR="00831597" w:rsidRPr="002D35D5">
        <w:rPr>
          <w:rFonts w:ascii="Tahoma" w:hAnsi="Tahoma" w:cs="Tahoma"/>
          <w:b/>
          <w:sz w:val="24"/>
          <w:szCs w:val="24"/>
        </w:rPr>
        <w:t>Graeme Slaughter, Chief Finance Officer</w:t>
      </w:r>
    </w:p>
    <w:p w:rsidR="00507209" w:rsidRPr="002D35D5" w:rsidRDefault="00507209" w:rsidP="0012515D">
      <w:pPr>
        <w:ind w:right="880"/>
        <w:jc w:val="both"/>
        <w:rPr>
          <w:rFonts w:ascii="Tahoma" w:hAnsi="Tahoma" w:cs="Tahoma"/>
          <w:b/>
          <w:sz w:val="24"/>
          <w:szCs w:val="24"/>
        </w:rPr>
      </w:pPr>
    </w:p>
    <w:p w:rsidR="00507209" w:rsidRPr="002D35D5" w:rsidRDefault="00507209" w:rsidP="0012515D">
      <w:pPr>
        <w:ind w:right="880"/>
        <w:jc w:val="both"/>
        <w:rPr>
          <w:rFonts w:ascii="Tahoma" w:hAnsi="Tahoma" w:cs="Tahoma"/>
          <w:b/>
          <w:sz w:val="24"/>
          <w:szCs w:val="24"/>
        </w:rPr>
      </w:pPr>
      <w:r w:rsidRPr="002D35D5">
        <w:rPr>
          <w:rFonts w:ascii="Tahoma" w:hAnsi="Tahoma" w:cs="Tahoma"/>
          <w:b/>
          <w:sz w:val="24"/>
          <w:szCs w:val="24"/>
        </w:rPr>
        <w:t xml:space="preserve">Status: For </w:t>
      </w:r>
      <w:r w:rsidR="00B21C5D" w:rsidRPr="002D35D5">
        <w:rPr>
          <w:rFonts w:ascii="Tahoma" w:hAnsi="Tahoma" w:cs="Tahoma"/>
          <w:b/>
          <w:sz w:val="24"/>
          <w:szCs w:val="24"/>
        </w:rPr>
        <w:t>Information</w:t>
      </w:r>
    </w:p>
    <w:p w:rsidR="00EB0584" w:rsidRPr="002D35D5" w:rsidRDefault="00EB0584" w:rsidP="0012515D">
      <w:pPr>
        <w:jc w:val="both"/>
        <w:rPr>
          <w:rFonts w:ascii="Tahoma" w:hAnsi="Tahoma" w:cs="Tahoma"/>
          <w:sz w:val="24"/>
          <w:szCs w:val="24"/>
        </w:rPr>
      </w:pPr>
    </w:p>
    <w:p w:rsidR="00507209" w:rsidRPr="002D35D5" w:rsidRDefault="00B44F60" w:rsidP="0012515D">
      <w:pPr>
        <w:ind w:right="1"/>
        <w:jc w:val="both"/>
        <w:rPr>
          <w:rFonts w:ascii="Tahoma" w:hAnsi="Tahoma" w:cs="Tahoma"/>
          <w:b/>
          <w:bCs/>
          <w:sz w:val="28"/>
          <w:szCs w:val="28"/>
        </w:rPr>
      </w:pPr>
      <w:r w:rsidRPr="002D35D5">
        <w:rPr>
          <w:rFonts w:ascii="Tahoma" w:hAnsi="Tahoma" w:cs="Tahoma"/>
          <w:b/>
          <w:bCs/>
          <w:sz w:val="28"/>
          <w:szCs w:val="28"/>
        </w:rPr>
        <w:t xml:space="preserve">Contract </w:t>
      </w:r>
      <w:r w:rsidR="007B3FA0" w:rsidRPr="002D35D5">
        <w:rPr>
          <w:rFonts w:ascii="Tahoma" w:hAnsi="Tahoma" w:cs="Tahoma"/>
          <w:b/>
          <w:bCs/>
          <w:sz w:val="28"/>
          <w:szCs w:val="28"/>
        </w:rPr>
        <w:t>Standing Order</w:t>
      </w:r>
      <w:r w:rsidR="00B55CCF" w:rsidRPr="002D35D5">
        <w:rPr>
          <w:rFonts w:ascii="Tahoma" w:hAnsi="Tahoma" w:cs="Tahoma"/>
          <w:b/>
          <w:bCs/>
          <w:sz w:val="28"/>
          <w:szCs w:val="28"/>
        </w:rPr>
        <w:t xml:space="preserve"> </w:t>
      </w:r>
      <w:r w:rsidR="00BE112F">
        <w:rPr>
          <w:rFonts w:ascii="Tahoma" w:hAnsi="Tahoma" w:cs="Tahoma"/>
          <w:b/>
          <w:bCs/>
          <w:sz w:val="28"/>
          <w:szCs w:val="28"/>
        </w:rPr>
        <w:t>10</w:t>
      </w:r>
      <w:r w:rsidR="00560FBC" w:rsidRPr="002D35D5">
        <w:rPr>
          <w:rFonts w:ascii="Tahoma" w:hAnsi="Tahoma" w:cs="Tahoma"/>
          <w:b/>
          <w:bCs/>
          <w:sz w:val="28"/>
          <w:szCs w:val="28"/>
        </w:rPr>
        <w:t xml:space="preserve"> </w:t>
      </w:r>
      <w:r w:rsidR="0036192D" w:rsidRPr="002D35D5">
        <w:rPr>
          <w:rFonts w:ascii="Tahoma" w:hAnsi="Tahoma" w:cs="Tahoma"/>
          <w:b/>
          <w:bCs/>
          <w:sz w:val="28"/>
          <w:szCs w:val="28"/>
        </w:rPr>
        <w:t>–</w:t>
      </w:r>
      <w:r w:rsidR="00B21C5D" w:rsidRPr="002D35D5">
        <w:rPr>
          <w:rFonts w:ascii="Tahoma" w:hAnsi="Tahoma" w:cs="Tahoma"/>
          <w:b/>
          <w:bCs/>
          <w:sz w:val="28"/>
          <w:szCs w:val="28"/>
        </w:rPr>
        <w:t xml:space="preserve"> </w:t>
      </w:r>
      <w:r w:rsidR="0036192D" w:rsidRPr="002D35D5">
        <w:rPr>
          <w:rFonts w:ascii="Tahoma" w:hAnsi="Tahoma" w:cs="Tahoma"/>
          <w:b/>
          <w:bCs/>
          <w:sz w:val="28"/>
          <w:szCs w:val="28"/>
        </w:rPr>
        <w:t>Exceptional Situations</w:t>
      </w:r>
      <w:r w:rsidR="001C6032" w:rsidRPr="002D35D5">
        <w:rPr>
          <w:rFonts w:ascii="Tahoma" w:hAnsi="Tahoma" w:cs="Tahoma"/>
          <w:b/>
          <w:bCs/>
          <w:sz w:val="28"/>
          <w:szCs w:val="28"/>
        </w:rPr>
        <w:t xml:space="preserve"> </w:t>
      </w:r>
    </w:p>
    <w:p w:rsidR="00474511" w:rsidRPr="002D35D5" w:rsidRDefault="00474511" w:rsidP="0012515D">
      <w:pPr>
        <w:ind w:right="880"/>
        <w:jc w:val="both"/>
        <w:rPr>
          <w:rFonts w:ascii="Tahoma" w:hAnsi="Tahoma" w:cs="Tahoma"/>
          <w:bCs/>
          <w:sz w:val="24"/>
          <w:szCs w:val="24"/>
        </w:rPr>
      </w:pPr>
    </w:p>
    <w:p w:rsidR="00474511" w:rsidRPr="002D35D5" w:rsidRDefault="00474511" w:rsidP="0012515D">
      <w:pPr>
        <w:ind w:right="880"/>
        <w:jc w:val="both"/>
        <w:rPr>
          <w:rFonts w:ascii="Tahoma" w:hAnsi="Tahoma" w:cs="Tahoma"/>
          <w:sz w:val="24"/>
          <w:szCs w:val="24"/>
        </w:rPr>
      </w:pPr>
    </w:p>
    <w:p w:rsidR="00507209" w:rsidRPr="002D35D5" w:rsidRDefault="00507209" w:rsidP="0012515D">
      <w:pPr>
        <w:pStyle w:val="BodyText"/>
        <w:tabs>
          <w:tab w:val="left" w:pos="709"/>
        </w:tabs>
        <w:jc w:val="both"/>
        <w:rPr>
          <w:rFonts w:ascii="Tahoma" w:hAnsi="Tahoma" w:cs="Tahoma"/>
          <w:b/>
          <w:bCs/>
          <w:szCs w:val="24"/>
        </w:rPr>
      </w:pPr>
      <w:r w:rsidRPr="002D35D5">
        <w:rPr>
          <w:rFonts w:ascii="Tahoma" w:hAnsi="Tahoma" w:cs="Tahoma"/>
          <w:b/>
          <w:bCs/>
          <w:szCs w:val="24"/>
        </w:rPr>
        <w:t>1</w:t>
      </w:r>
      <w:r w:rsidR="00B21C5D" w:rsidRPr="002D35D5">
        <w:rPr>
          <w:rFonts w:ascii="Tahoma" w:hAnsi="Tahoma" w:cs="Tahoma"/>
          <w:b/>
          <w:bCs/>
          <w:szCs w:val="24"/>
        </w:rPr>
        <w:t>.</w:t>
      </w:r>
      <w:r w:rsidRPr="002D35D5">
        <w:rPr>
          <w:rFonts w:ascii="Tahoma" w:hAnsi="Tahoma" w:cs="Tahoma"/>
          <w:b/>
          <w:bCs/>
          <w:szCs w:val="24"/>
        </w:rPr>
        <w:tab/>
        <w:t>Purpose</w:t>
      </w:r>
      <w:r w:rsidRPr="002D35D5">
        <w:rPr>
          <w:rFonts w:ascii="Tahoma" w:hAnsi="Tahoma" w:cs="Tahoma"/>
          <w:b/>
          <w:bCs/>
          <w:szCs w:val="24"/>
        </w:rPr>
        <w:br/>
      </w:r>
    </w:p>
    <w:p w:rsidR="00D941D0" w:rsidRPr="002D35D5" w:rsidRDefault="00D941D0" w:rsidP="0012515D">
      <w:pPr>
        <w:pStyle w:val="BodyTextIndent"/>
        <w:jc w:val="both"/>
        <w:rPr>
          <w:szCs w:val="24"/>
        </w:rPr>
      </w:pPr>
      <w:r w:rsidRPr="002D35D5">
        <w:rPr>
          <w:szCs w:val="24"/>
        </w:rPr>
        <w:t>1.1</w:t>
      </w:r>
      <w:r w:rsidRPr="002D35D5">
        <w:rPr>
          <w:szCs w:val="24"/>
        </w:rPr>
        <w:tab/>
      </w:r>
      <w:r w:rsidR="009C70F0" w:rsidRPr="002D35D5">
        <w:rPr>
          <w:szCs w:val="24"/>
        </w:rPr>
        <w:t>Contract standing orders were revised on 22</w:t>
      </w:r>
      <w:r w:rsidR="009C70F0" w:rsidRPr="002D35D5">
        <w:rPr>
          <w:szCs w:val="24"/>
          <w:vertAlign w:val="superscript"/>
        </w:rPr>
        <w:t>nd</w:t>
      </w:r>
      <w:r w:rsidR="009C70F0" w:rsidRPr="002D35D5">
        <w:rPr>
          <w:szCs w:val="24"/>
        </w:rPr>
        <w:t xml:space="preserve"> November 2012 following the introduction of the Police &amp; Crime Commissioner. Members will recall that an update of the Contract Standing Orders was agreed at the June 201</w:t>
      </w:r>
      <w:r w:rsidR="001D4964" w:rsidRPr="002D35D5">
        <w:rPr>
          <w:szCs w:val="24"/>
        </w:rPr>
        <w:t>6</w:t>
      </w:r>
      <w:r w:rsidR="009C70F0" w:rsidRPr="002D35D5">
        <w:rPr>
          <w:szCs w:val="24"/>
        </w:rPr>
        <w:t xml:space="preserve"> meeting of the Audit Committee. Contract Standing Orders state that “Utilisat</w:t>
      </w:r>
      <w:r w:rsidR="00BE112F">
        <w:rPr>
          <w:szCs w:val="24"/>
        </w:rPr>
        <w:t>ion of Contract Standing Order 10</w:t>
      </w:r>
      <w:r w:rsidR="009C70F0" w:rsidRPr="002D35D5">
        <w:rPr>
          <w:szCs w:val="24"/>
        </w:rPr>
        <w:t xml:space="preserve"> or failure to follow contract standing orders shall be reported </w:t>
      </w:r>
      <w:r w:rsidR="009C70F0" w:rsidRPr="002D35D5">
        <w:t xml:space="preserve">by the CFO of the CC </w:t>
      </w:r>
      <w:r w:rsidR="009C70F0" w:rsidRPr="002D35D5">
        <w:rPr>
          <w:szCs w:val="24"/>
        </w:rPr>
        <w:t>to the Audit Committee”.</w:t>
      </w:r>
    </w:p>
    <w:p w:rsidR="00D941D0" w:rsidRPr="002D35D5" w:rsidRDefault="00D941D0" w:rsidP="0012515D">
      <w:pPr>
        <w:pStyle w:val="BodyTextIndent"/>
        <w:ind w:left="0" w:firstLine="0"/>
        <w:jc w:val="both"/>
        <w:rPr>
          <w:szCs w:val="24"/>
        </w:rPr>
      </w:pPr>
    </w:p>
    <w:p w:rsidR="006D1B9A" w:rsidRPr="002D35D5" w:rsidRDefault="00C613BD" w:rsidP="0012515D">
      <w:pPr>
        <w:numPr>
          <w:ilvl w:val="1"/>
          <w:numId w:val="10"/>
        </w:numPr>
        <w:jc w:val="both"/>
        <w:rPr>
          <w:rFonts w:ascii="Tahoma" w:hAnsi="Tahoma" w:cs="Tahoma"/>
          <w:sz w:val="24"/>
          <w:szCs w:val="24"/>
        </w:rPr>
      </w:pPr>
      <w:r w:rsidRPr="002D35D5">
        <w:rPr>
          <w:rFonts w:ascii="Tahoma" w:hAnsi="Tahoma" w:cs="Tahoma"/>
          <w:sz w:val="24"/>
          <w:szCs w:val="24"/>
        </w:rPr>
        <w:t>The purpose of this report is to advise the Audit Committee on the use of Contract Standin</w:t>
      </w:r>
      <w:r w:rsidR="00A642D9" w:rsidRPr="002D35D5">
        <w:rPr>
          <w:rFonts w:ascii="Tahoma" w:hAnsi="Tahoma" w:cs="Tahoma"/>
          <w:sz w:val="24"/>
          <w:szCs w:val="24"/>
        </w:rPr>
        <w:t xml:space="preserve">g Order </w:t>
      </w:r>
      <w:r w:rsidR="00BE112F">
        <w:rPr>
          <w:rFonts w:ascii="Tahoma" w:hAnsi="Tahoma" w:cs="Tahoma"/>
          <w:sz w:val="24"/>
          <w:szCs w:val="24"/>
        </w:rPr>
        <w:t>10</w:t>
      </w:r>
      <w:r w:rsidR="00A642D9" w:rsidRPr="002D35D5">
        <w:rPr>
          <w:rFonts w:ascii="Tahoma" w:hAnsi="Tahoma" w:cs="Tahoma"/>
          <w:sz w:val="24"/>
          <w:szCs w:val="24"/>
        </w:rPr>
        <w:t xml:space="preserve"> during the period </w:t>
      </w:r>
      <w:r w:rsidR="00D26629" w:rsidRPr="002D35D5">
        <w:rPr>
          <w:rFonts w:ascii="Tahoma" w:hAnsi="Tahoma" w:cs="Tahoma"/>
          <w:sz w:val="24"/>
          <w:szCs w:val="24"/>
        </w:rPr>
        <w:t>September</w:t>
      </w:r>
      <w:r w:rsidR="00831597" w:rsidRPr="002D35D5">
        <w:rPr>
          <w:rFonts w:ascii="Tahoma" w:hAnsi="Tahoma" w:cs="Tahoma"/>
          <w:sz w:val="24"/>
          <w:szCs w:val="24"/>
        </w:rPr>
        <w:t xml:space="preserve"> 201</w:t>
      </w:r>
      <w:r w:rsidR="001D4964" w:rsidRPr="002D35D5">
        <w:rPr>
          <w:rFonts w:ascii="Tahoma" w:hAnsi="Tahoma" w:cs="Tahoma"/>
          <w:sz w:val="24"/>
          <w:szCs w:val="24"/>
        </w:rPr>
        <w:t>6</w:t>
      </w:r>
      <w:r w:rsidRPr="002D35D5">
        <w:rPr>
          <w:rFonts w:ascii="Tahoma" w:hAnsi="Tahoma" w:cs="Tahoma"/>
          <w:sz w:val="24"/>
          <w:szCs w:val="24"/>
        </w:rPr>
        <w:t xml:space="preserve"> to </w:t>
      </w:r>
      <w:r w:rsidR="00D26629" w:rsidRPr="002D35D5">
        <w:rPr>
          <w:rFonts w:ascii="Tahoma" w:hAnsi="Tahoma" w:cs="Tahoma"/>
          <w:sz w:val="24"/>
          <w:szCs w:val="24"/>
        </w:rPr>
        <w:t>February</w:t>
      </w:r>
      <w:r w:rsidR="00831597" w:rsidRPr="002D35D5">
        <w:rPr>
          <w:rFonts w:ascii="Tahoma" w:hAnsi="Tahoma" w:cs="Tahoma"/>
          <w:sz w:val="24"/>
          <w:szCs w:val="24"/>
        </w:rPr>
        <w:t xml:space="preserve"> </w:t>
      </w:r>
      <w:r w:rsidRPr="002D35D5">
        <w:rPr>
          <w:rFonts w:ascii="Tahoma" w:hAnsi="Tahoma" w:cs="Tahoma"/>
          <w:sz w:val="24"/>
          <w:szCs w:val="24"/>
        </w:rPr>
        <w:t>201</w:t>
      </w:r>
      <w:r w:rsidR="00D26629" w:rsidRPr="002D35D5">
        <w:rPr>
          <w:rFonts w:ascii="Tahoma" w:hAnsi="Tahoma" w:cs="Tahoma"/>
          <w:sz w:val="24"/>
          <w:szCs w:val="24"/>
        </w:rPr>
        <w:t>7</w:t>
      </w:r>
      <w:r w:rsidRPr="002D35D5">
        <w:rPr>
          <w:rFonts w:ascii="Tahoma" w:hAnsi="Tahoma" w:cs="Tahoma"/>
          <w:sz w:val="24"/>
          <w:szCs w:val="24"/>
        </w:rPr>
        <w:t>.</w:t>
      </w:r>
    </w:p>
    <w:p w:rsidR="00831597" w:rsidRPr="002D35D5" w:rsidRDefault="00831597" w:rsidP="0012515D">
      <w:pPr>
        <w:jc w:val="both"/>
        <w:rPr>
          <w:rFonts w:ascii="Tahoma" w:hAnsi="Tahoma" w:cs="Tahoma"/>
          <w:sz w:val="24"/>
          <w:szCs w:val="24"/>
        </w:rPr>
      </w:pPr>
    </w:p>
    <w:p w:rsidR="00507209" w:rsidRPr="002D35D5" w:rsidRDefault="00507209"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Recommendations</w:t>
      </w:r>
    </w:p>
    <w:p w:rsidR="00507209" w:rsidRPr="002D35D5" w:rsidRDefault="00507209" w:rsidP="0012515D">
      <w:pPr>
        <w:pStyle w:val="BodyText"/>
        <w:jc w:val="both"/>
        <w:rPr>
          <w:rFonts w:ascii="Tahoma" w:hAnsi="Tahoma" w:cs="Tahoma"/>
          <w:szCs w:val="24"/>
        </w:rPr>
      </w:pPr>
    </w:p>
    <w:p w:rsidR="0033176A" w:rsidRPr="002D35D5" w:rsidRDefault="0033176A" w:rsidP="0012515D">
      <w:pPr>
        <w:pStyle w:val="BodyTextIndent2"/>
        <w:numPr>
          <w:ilvl w:val="1"/>
          <w:numId w:val="3"/>
        </w:numPr>
        <w:jc w:val="both"/>
        <w:rPr>
          <w:szCs w:val="24"/>
        </w:rPr>
      </w:pPr>
      <w:r w:rsidRPr="002D35D5">
        <w:rPr>
          <w:szCs w:val="24"/>
        </w:rPr>
        <w:t xml:space="preserve">It is recommended that </w:t>
      </w:r>
      <w:r w:rsidR="00535E44" w:rsidRPr="002D35D5">
        <w:rPr>
          <w:szCs w:val="24"/>
        </w:rPr>
        <w:t xml:space="preserve">the </w:t>
      </w:r>
      <w:r w:rsidR="00B55CCF" w:rsidRPr="002D35D5">
        <w:rPr>
          <w:szCs w:val="24"/>
        </w:rPr>
        <w:t xml:space="preserve">Audit </w:t>
      </w:r>
      <w:r w:rsidR="00535E44" w:rsidRPr="002D35D5">
        <w:rPr>
          <w:szCs w:val="24"/>
        </w:rPr>
        <w:t>Committee</w:t>
      </w:r>
      <w:r w:rsidR="00B55CCF" w:rsidRPr="002D35D5">
        <w:rPr>
          <w:szCs w:val="24"/>
        </w:rPr>
        <w:t xml:space="preserve"> note the exceptional situations detailed in Appendix 1</w:t>
      </w:r>
      <w:r w:rsidRPr="002D35D5">
        <w:rPr>
          <w:szCs w:val="24"/>
        </w:rPr>
        <w:t xml:space="preserve">.  </w:t>
      </w:r>
    </w:p>
    <w:p w:rsidR="00831597" w:rsidRPr="002D35D5" w:rsidRDefault="00831597" w:rsidP="0012515D">
      <w:pPr>
        <w:pStyle w:val="BodyTextIndent2"/>
        <w:ind w:left="0" w:firstLine="0"/>
        <w:jc w:val="both"/>
        <w:rPr>
          <w:szCs w:val="24"/>
        </w:rPr>
      </w:pPr>
    </w:p>
    <w:p w:rsidR="00507209" w:rsidRPr="002D35D5" w:rsidRDefault="00B55CCF"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Background</w:t>
      </w:r>
    </w:p>
    <w:p w:rsidR="00507209" w:rsidRPr="002D35D5" w:rsidRDefault="00507209" w:rsidP="0012515D">
      <w:pPr>
        <w:pStyle w:val="BodyText"/>
        <w:ind w:left="360"/>
        <w:jc w:val="both"/>
        <w:rPr>
          <w:rFonts w:ascii="Tahoma" w:hAnsi="Tahoma" w:cs="Tahoma"/>
          <w:szCs w:val="24"/>
        </w:rPr>
      </w:pPr>
    </w:p>
    <w:p w:rsidR="00C613BD" w:rsidRPr="002D35D5" w:rsidRDefault="00C613BD"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reflect both the policies of the Office of the Police &amp; Crime Commissioner for Cleveland and the requirements of current legislation. Their purpose is to provide help and guidance to all members of staff who are involved in supplier negotiations for the provision of goods and services. They are mandatory and as such must be complied with at all times.</w:t>
      </w:r>
    </w:p>
    <w:p w:rsidR="00C613BD" w:rsidRPr="002D35D5" w:rsidRDefault="00C613BD" w:rsidP="0012515D">
      <w:pPr>
        <w:jc w:val="both"/>
        <w:rPr>
          <w:rFonts w:ascii="Tahoma" w:hAnsi="Tahoma" w:cs="Tahoma"/>
          <w:sz w:val="24"/>
          <w:szCs w:val="24"/>
        </w:rPr>
      </w:pPr>
    </w:p>
    <w:p w:rsidR="00674FD9" w:rsidRPr="002D35D5" w:rsidRDefault="00C43B46"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regulate the arrangements and procedures for acquiring goods and services. There is an underlying requirement that where such an acquisition is amenable to competitive tender that this mechanism</w:t>
      </w:r>
      <w:r w:rsidR="0033176A" w:rsidRPr="002D35D5">
        <w:rPr>
          <w:rFonts w:ascii="Tahoma" w:hAnsi="Tahoma" w:cs="Tahoma"/>
          <w:sz w:val="24"/>
          <w:szCs w:val="24"/>
        </w:rPr>
        <w:t xml:space="preserve"> </w:t>
      </w:r>
      <w:r w:rsidRPr="002D35D5">
        <w:rPr>
          <w:rFonts w:ascii="Tahoma" w:hAnsi="Tahoma" w:cs="Tahoma"/>
          <w:sz w:val="24"/>
          <w:szCs w:val="24"/>
        </w:rPr>
        <w:t>should be</w:t>
      </w:r>
      <w:r w:rsidR="00674FD9" w:rsidRPr="002D35D5">
        <w:rPr>
          <w:rFonts w:ascii="Tahoma" w:hAnsi="Tahoma" w:cs="Tahoma"/>
          <w:sz w:val="24"/>
          <w:szCs w:val="24"/>
        </w:rPr>
        <w:t xml:space="preserve"> </w:t>
      </w:r>
      <w:r w:rsidRPr="002D35D5">
        <w:rPr>
          <w:rFonts w:ascii="Tahoma" w:hAnsi="Tahoma" w:cs="Tahoma"/>
          <w:sz w:val="24"/>
          <w:szCs w:val="24"/>
        </w:rPr>
        <w:t xml:space="preserve">employed. This requirement is modified in practice </w:t>
      </w:r>
      <w:r w:rsidR="00500B1E" w:rsidRPr="002D35D5">
        <w:rPr>
          <w:rFonts w:ascii="Tahoma" w:hAnsi="Tahoma" w:cs="Tahoma"/>
          <w:sz w:val="24"/>
          <w:szCs w:val="24"/>
        </w:rPr>
        <w:t xml:space="preserve">when </w:t>
      </w:r>
      <w:r w:rsidR="00AF1E13" w:rsidRPr="002D35D5">
        <w:rPr>
          <w:rFonts w:ascii="Tahoma" w:hAnsi="Tahoma" w:cs="Tahoma"/>
          <w:sz w:val="24"/>
          <w:szCs w:val="24"/>
        </w:rPr>
        <w:t>competitive</w:t>
      </w:r>
      <w:r w:rsidRPr="002D35D5">
        <w:rPr>
          <w:rFonts w:ascii="Tahoma" w:hAnsi="Tahoma" w:cs="Tahoma"/>
          <w:sz w:val="24"/>
          <w:szCs w:val="24"/>
        </w:rPr>
        <w:t xml:space="preserve"> tendering is not considered either efficient or practical.</w:t>
      </w:r>
    </w:p>
    <w:p w:rsidR="00674FD9" w:rsidRPr="002D35D5" w:rsidRDefault="00674FD9" w:rsidP="0012515D">
      <w:pPr>
        <w:numPr>
          <w:ilvl w:val="1"/>
          <w:numId w:val="2"/>
        </w:numPr>
        <w:jc w:val="both"/>
        <w:rPr>
          <w:rFonts w:ascii="Tahoma" w:hAnsi="Tahoma" w:cs="Tahoma"/>
          <w:sz w:val="24"/>
          <w:szCs w:val="24"/>
        </w:rPr>
        <w:sectPr w:rsidR="00674FD9" w:rsidRPr="002D35D5" w:rsidSect="00535E44">
          <w:headerReference w:type="default" r:id="rId9"/>
          <w:footerReference w:type="even" r:id="rId10"/>
          <w:footerReference w:type="default" r:id="rId11"/>
          <w:pgSz w:w="11909" w:h="16834" w:code="9"/>
          <w:pgMar w:top="1134" w:right="1134" w:bottom="1134" w:left="1134" w:header="709" w:footer="709" w:gutter="0"/>
          <w:paperSrc w:first="15" w:other="15"/>
          <w:cols w:space="720"/>
          <w:formProt w:val="0"/>
        </w:sectPr>
      </w:pPr>
    </w:p>
    <w:p w:rsidR="009B782C" w:rsidRPr="002D35D5" w:rsidRDefault="009A2DC8" w:rsidP="0012515D">
      <w:pPr>
        <w:ind w:left="709" w:hanging="709"/>
        <w:jc w:val="both"/>
        <w:rPr>
          <w:rFonts w:ascii="Tahoma" w:hAnsi="Tahoma" w:cs="Tahoma"/>
          <w:sz w:val="24"/>
          <w:szCs w:val="24"/>
        </w:rPr>
      </w:pPr>
      <w:r w:rsidRPr="002D35D5">
        <w:rPr>
          <w:rFonts w:ascii="Tahoma" w:hAnsi="Tahoma" w:cs="Tahoma"/>
          <w:sz w:val="24"/>
          <w:szCs w:val="24"/>
        </w:rPr>
        <w:lastRenderedPageBreak/>
        <w:t>3.3</w:t>
      </w:r>
      <w:r w:rsidRPr="002D35D5">
        <w:rPr>
          <w:rFonts w:ascii="Tahoma" w:hAnsi="Tahoma" w:cs="Tahoma"/>
          <w:sz w:val="24"/>
          <w:szCs w:val="24"/>
        </w:rPr>
        <w:tab/>
        <w:t>Furthermore there are classes of goods and services which are not amenable to competitive tendering, examples of these would be property rental, water supply and contributions to national bodies supplying services to police forces either</w:t>
      </w:r>
      <w:r w:rsidR="00A642D9" w:rsidRPr="002D35D5">
        <w:rPr>
          <w:rFonts w:ascii="Tahoma" w:hAnsi="Tahoma" w:cs="Tahoma"/>
          <w:sz w:val="24"/>
          <w:szCs w:val="24"/>
        </w:rPr>
        <w:t xml:space="preserve"> </w:t>
      </w:r>
      <w:r w:rsidR="009B782C" w:rsidRPr="002D35D5">
        <w:rPr>
          <w:rFonts w:ascii="Tahoma" w:hAnsi="Tahoma" w:cs="Tahoma"/>
          <w:sz w:val="24"/>
          <w:szCs w:val="24"/>
        </w:rPr>
        <w:t xml:space="preserve">individually or as a “community of interest”. </w:t>
      </w:r>
    </w:p>
    <w:p w:rsidR="009B782C" w:rsidRPr="002D35D5" w:rsidRDefault="009B782C" w:rsidP="0012515D">
      <w:pPr>
        <w:jc w:val="both"/>
        <w:rPr>
          <w:rFonts w:ascii="Tahoma" w:hAnsi="Tahoma" w:cs="Tahoma"/>
          <w:sz w:val="24"/>
          <w:szCs w:val="24"/>
        </w:rPr>
      </w:pPr>
    </w:p>
    <w:p w:rsidR="0036192D" w:rsidRPr="002D35D5" w:rsidRDefault="00BE112F" w:rsidP="0012515D">
      <w:pPr>
        <w:numPr>
          <w:ilvl w:val="1"/>
          <w:numId w:val="11"/>
        </w:numPr>
        <w:jc w:val="both"/>
        <w:rPr>
          <w:rFonts w:ascii="Tahoma" w:hAnsi="Tahoma" w:cs="Tahoma"/>
          <w:sz w:val="24"/>
          <w:szCs w:val="24"/>
        </w:rPr>
      </w:pPr>
      <w:r>
        <w:rPr>
          <w:rFonts w:ascii="Tahoma" w:hAnsi="Tahoma" w:cs="Tahoma"/>
          <w:sz w:val="24"/>
          <w:szCs w:val="24"/>
        </w:rPr>
        <w:t>Contract Standing Order 10</w:t>
      </w:r>
      <w:r w:rsidR="0036192D" w:rsidRPr="002D35D5">
        <w:rPr>
          <w:rFonts w:ascii="Tahoma" w:hAnsi="Tahoma" w:cs="Tahoma"/>
          <w:sz w:val="24"/>
          <w:szCs w:val="24"/>
        </w:rPr>
        <w:t xml:space="preserve"> states that “Exceptional situations are those created by external actions and events over which the Force has no control but has an obligation to respond.”</w:t>
      </w:r>
    </w:p>
    <w:p w:rsidR="0036192D" w:rsidRPr="002D35D5" w:rsidRDefault="0036192D" w:rsidP="0012515D">
      <w:pPr>
        <w:jc w:val="both"/>
        <w:rPr>
          <w:rFonts w:ascii="Tahoma" w:hAnsi="Tahoma" w:cs="Tahoma"/>
          <w:sz w:val="24"/>
          <w:szCs w:val="24"/>
        </w:rPr>
      </w:pPr>
    </w:p>
    <w:p w:rsidR="004D1B42" w:rsidRPr="002D35D5" w:rsidRDefault="00AF1E13" w:rsidP="0012515D">
      <w:pPr>
        <w:numPr>
          <w:ilvl w:val="1"/>
          <w:numId w:val="11"/>
        </w:numPr>
        <w:jc w:val="both"/>
        <w:rPr>
          <w:rFonts w:ascii="Tahoma" w:hAnsi="Tahoma" w:cs="Tahoma"/>
          <w:sz w:val="24"/>
          <w:szCs w:val="24"/>
        </w:rPr>
      </w:pPr>
      <w:r w:rsidRPr="002D35D5">
        <w:rPr>
          <w:rFonts w:ascii="Tahoma" w:hAnsi="Tahoma" w:cs="Tahoma"/>
          <w:sz w:val="24"/>
          <w:szCs w:val="24"/>
        </w:rPr>
        <w:t xml:space="preserve">In compliance with Contract Standing Orders it </w:t>
      </w:r>
      <w:r w:rsidR="00B55CCF" w:rsidRPr="002D35D5">
        <w:rPr>
          <w:rFonts w:ascii="Tahoma" w:hAnsi="Tahoma" w:cs="Tahoma"/>
          <w:sz w:val="24"/>
          <w:szCs w:val="24"/>
        </w:rPr>
        <w:t>is</w:t>
      </w:r>
      <w:r w:rsidRPr="002D35D5">
        <w:rPr>
          <w:rFonts w:ascii="Tahoma" w:hAnsi="Tahoma" w:cs="Tahoma"/>
          <w:sz w:val="24"/>
          <w:szCs w:val="24"/>
        </w:rPr>
        <w:t xml:space="preserve"> the practice to report </w:t>
      </w:r>
      <w:r w:rsidR="009C70F0" w:rsidRPr="002D35D5">
        <w:rPr>
          <w:rFonts w:ascii="Tahoma" w:hAnsi="Tahoma" w:cs="Tahoma"/>
          <w:sz w:val="24"/>
          <w:szCs w:val="24"/>
        </w:rPr>
        <w:t>on a six monthly basis</w:t>
      </w:r>
      <w:r w:rsidRPr="002D35D5">
        <w:rPr>
          <w:rFonts w:ascii="Tahoma" w:hAnsi="Tahoma" w:cs="Tahoma"/>
          <w:sz w:val="24"/>
          <w:szCs w:val="24"/>
        </w:rPr>
        <w:t xml:space="preserve"> </w:t>
      </w:r>
      <w:r w:rsidR="00507209" w:rsidRPr="002D35D5">
        <w:rPr>
          <w:rFonts w:ascii="Tahoma" w:hAnsi="Tahoma" w:cs="Tahoma"/>
          <w:sz w:val="24"/>
          <w:szCs w:val="24"/>
        </w:rPr>
        <w:t xml:space="preserve">every </w:t>
      </w:r>
      <w:r w:rsidR="009B782C" w:rsidRPr="002D35D5">
        <w:rPr>
          <w:rFonts w:ascii="Tahoma" w:hAnsi="Tahoma" w:cs="Tahoma"/>
          <w:sz w:val="24"/>
          <w:szCs w:val="24"/>
        </w:rPr>
        <w:t xml:space="preserve">exceptional </w:t>
      </w:r>
      <w:r w:rsidR="00B12891" w:rsidRPr="002D35D5">
        <w:rPr>
          <w:rFonts w:ascii="Tahoma" w:hAnsi="Tahoma" w:cs="Tahoma"/>
          <w:sz w:val="24"/>
          <w:szCs w:val="24"/>
        </w:rPr>
        <w:t xml:space="preserve">circumstance where it appears that the normal requirement to tender </w:t>
      </w:r>
      <w:r w:rsidR="00B25DAC" w:rsidRPr="002D35D5">
        <w:rPr>
          <w:rFonts w:ascii="Tahoma" w:hAnsi="Tahoma" w:cs="Tahoma"/>
          <w:sz w:val="24"/>
          <w:szCs w:val="24"/>
        </w:rPr>
        <w:t>has not been followed.</w:t>
      </w:r>
      <w:r w:rsidR="009B782C" w:rsidRPr="002D35D5">
        <w:rPr>
          <w:rFonts w:ascii="Tahoma" w:hAnsi="Tahoma" w:cs="Tahoma"/>
          <w:sz w:val="24"/>
          <w:szCs w:val="24"/>
        </w:rPr>
        <w:t xml:space="preserve"> The details</w:t>
      </w:r>
      <w:r w:rsidR="00E67101" w:rsidRPr="002D35D5">
        <w:rPr>
          <w:rFonts w:ascii="Tahoma" w:hAnsi="Tahoma" w:cs="Tahoma"/>
          <w:sz w:val="24"/>
          <w:szCs w:val="24"/>
        </w:rPr>
        <w:t xml:space="preserve"> are listed in Appendix </w:t>
      </w:r>
      <w:r w:rsidR="0036192D" w:rsidRPr="002D35D5">
        <w:rPr>
          <w:rFonts w:ascii="Tahoma" w:hAnsi="Tahoma" w:cs="Tahoma"/>
          <w:sz w:val="24"/>
          <w:szCs w:val="24"/>
        </w:rPr>
        <w:t>1</w:t>
      </w:r>
      <w:r w:rsidR="00E67101" w:rsidRPr="002D35D5">
        <w:rPr>
          <w:rFonts w:ascii="Tahoma" w:hAnsi="Tahoma" w:cs="Tahoma"/>
          <w:sz w:val="24"/>
          <w:szCs w:val="24"/>
        </w:rPr>
        <w:t xml:space="preserve">. </w:t>
      </w:r>
    </w:p>
    <w:p w:rsidR="0012515D" w:rsidRPr="002D35D5" w:rsidRDefault="0012515D" w:rsidP="0012515D">
      <w:pPr>
        <w:jc w:val="both"/>
        <w:rPr>
          <w:rFonts w:ascii="Tahoma" w:hAnsi="Tahoma" w:cs="Tahoma"/>
        </w:rPr>
      </w:pPr>
    </w:p>
    <w:p w:rsidR="00507209" w:rsidRPr="002D35D5" w:rsidRDefault="00507209" w:rsidP="0012515D">
      <w:pPr>
        <w:pStyle w:val="BodyText"/>
        <w:jc w:val="both"/>
        <w:rPr>
          <w:rFonts w:ascii="Tahoma" w:hAnsi="Tahoma" w:cs="Tahoma"/>
          <w:b/>
          <w:bCs/>
          <w:szCs w:val="24"/>
        </w:rPr>
      </w:pPr>
      <w:r w:rsidRPr="002D35D5">
        <w:rPr>
          <w:rFonts w:ascii="Tahoma" w:hAnsi="Tahoma" w:cs="Tahoma"/>
          <w:b/>
          <w:bCs/>
          <w:szCs w:val="24"/>
        </w:rPr>
        <w:t>4</w:t>
      </w:r>
      <w:r w:rsidR="00EB7650" w:rsidRPr="002D35D5">
        <w:rPr>
          <w:rFonts w:ascii="Tahoma" w:hAnsi="Tahoma" w:cs="Tahoma"/>
          <w:b/>
          <w:bCs/>
          <w:szCs w:val="24"/>
        </w:rPr>
        <w:t>.</w:t>
      </w:r>
      <w:r w:rsidRPr="002D35D5">
        <w:rPr>
          <w:rFonts w:ascii="Tahoma" w:hAnsi="Tahoma" w:cs="Tahoma"/>
          <w:b/>
          <w:bCs/>
          <w:szCs w:val="24"/>
        </w:rPr>
        <w:tab/>
        <w:t>Implications</w:t>
      </w:r>
      <w:r w:rsidRPr="002D35D5">
        <w:rPr>
          <w:rFonts w:ascii="Tahoma" w:hAnsi="Tahoma" w:cs="Tahoma"/>
          <w:b/>
          <w:bCs/>
          <w:szCs w:val="24"/>
        </w:rPr>
        <w:br/>
      </w:r>
    </w:p>
    <w:p w:rsidR="00077B9E" w:rsidRPr="002D35D5" w:rsidRDefault="00507209" w:rsidP="0012515D">
      <w:pPr>
        <w:pStyle w:val="BodyText"/>
        <w:ind w:left="720" w:hanging="720"/>
        <w:jc w:val="both"/>
        <w:rPr>
          <w:rFonts w:ascii="Tahoma" w:hAnsi="Tahoma" w:cs="Tahoma"/>
          <w:b/>
          <w:bCs/>
          <w:szCs w:val="24"/>
        </w:rPr>
      </w:pPr>
      <w:r w:rsidRPr="002D35D5">
        <w:rPr>
          <w:rFonts w:ascii="Tahoma" w:hAnsi="Tahoma" w:cs="Tahoma"/>
          <w:szCs w:val="24"/>
        </w:rPr>
        <w:t>4.1</w:t>
      </w:r>
      <w:r w:rsidRPr="002D35D5">
        <w:rPr>
          <w:rFonts w:ascii="Tahoma" w:hAnsi="Tahoma" w:cs="Tahoma"/>
          <w:szCs w:val="24"/>
        </w:rPr>
        <w:tab/>
      </w:r>
      <w:r w:rsidRPr="002D35D5">
        <w:rPr>
          <w:rFonts w:ascii="Tahoma" w:hAnsi="Tahoma" w:cs="Tahoma"/>
          <w:bCs/>
          <w:szCs w:val="24"/>
          <w:u w:val="single"/>
        </w:rPr>
        <w:t>Finance</w:t>
      </w:r>
    </w:p>
    <w:p w:rsidR="00507209" w:rsidRPr="002D35D5" w:rsidRDefault="00507209" w:rsidP="0012515D">
      <w:pPr>
        <w:pStyle w:val="BodyText"/>
        <w:ind w:left="720"/>
        <w:jc w:val="both"/>
        <w:rPr>
          <w:rFonts w:ascii="Tahoma" w:hAnsi="Tahoma" w:cs="Tahoma"/>
          <w:szCs w:val="24"/>
        </w:rPr>
      </w:pPr>
      <w:r w:rsidRPr="002D35D5">
        <w:rPr>
          <w:rFonts w:ascii="Tahoma" w:hAnsi="Tahoma" w:cs="Tahoma"/>
          <w:szCs w:val="24"/>
        </w:rPr>
        <w:t>All commitmen</w:t>
      </w:r>
      <w:r w:rsidR="009B782C" w:rsidRPr="002D35D5">
        <w:rPr>
          <w:rFonts w:ascii="Tahoma" w:hAnsi="Tahoma" w:cs="Tahoma"/>
          <w:szCs w:val="24"/>
        </w:rPr>
        <w:t>ts are within existing budgets. There are no financial implications arising from the content of this report.</w:t>
      </w:r>
    </w:p>
    <w:p w:rsidR="00507209" w:rsidRPr="002D35D5" w:rsidRDefault="00507209" w:rsidP="0012515D">
      <w:pPr>
        <w:pStyle w:val="BodyTextIndent"/>
        <w:jc w:val="both"/>
        <w:rPr>
          <w:szCs w:val="24"/>
        </w:rPr>
      </w:pPr>
    </w:p>
    <w:p w:rsidR="00507209" w:rsidRPr="002D35D5" w:rsidRDefault="00507209" w:rsidP="0012515D">
      <w:pPr>
        <w:pStyle w:val="BodyTextIndent"/>
        <w:numPr>
          <w:ilvl w:val="1"/>
          <w:numId w:val="1"/>
        </w:numPr>
        <w:jc w:val="both"/>
        <w:rPr>
          <w:bCs/>
          <w:szCs w:val="24"/>
          <w:u w:val="single"/>
        </w:rPr>
      </w:pPr>
      <w:r w:rsidRPr="002D35D5">
        <w:rPr>
          <w:bCs/>
          <w:szCs w:val="24"/>
          <w:u w:val="single"/>
        </w:rPr>
        <w:t xml:space="preserve">Legal </w:t>
      </w:r>
    </w:p>
    <w:p w:rsidR="007077C8" w:rsidRPr="002D35D5" w:rsidRDefault="00507209" w:rsidP="0012515D">
      <w:pPr>
        <w:pStyle w:val="BodyTextIndent"/>
        <w:jc w:val="both"/>
        <w:rPr>
          <w:szCs w:val="24"/>
        </w:rPr>
      </w:pPr>
      <w:r w:rsidRPr="002D35D5">
        <w:rPr>
          <w:szCs w:val="24"/>
        </w:rPr>
        <w:tab/>
      </w:r>
      <w:r w:rsidR="009A2DC8" w:rsidRPr="002D35D5">
        <w:rPr>
          <w:szCs w:val="24"/>
        </w:rPr>
        <w:t>A</w:t>
      </w:r>
      <w:r w:rsidR="00BA00A3" w:rsidRPr="002D35D5">
        <w:rPr>
          <w:szCs w:val="24"/>
        </w:rPr>
        <w:t xml:space="preserve">ny requests </w:t>
      </w:r>
      <w:r w:rsidR="009A2DC8" w:rsidRPr="002D35D5">
        <w:rPr>
          <w:szCs w:val="24"/>
        </w:rPr>
        <w:t xml:space="preserve">to utilise Contract Standing Order </w:t>
      </w:r>
      <w:r w:rsidR="00BE112F">
        <w:rPr>
          <w:szCs w:val="24"/>
        </w:rPr>
        <w:t>10</w:t>
      </w:r>
      <w:r w:rsidR="009A2DC8" w:rsidRPr="002D35D5">
        <w:rPr>
          <w:szCs w:val="24"/>
        </w:rPr>
        <w:t xml:space="preserve"> </w:t>
      </w:r>
      <w:r w:rsidR="00BA00A3" w:rsidRPr="002D35D5">
        <w:rPr>
          <w:szCs w:val="24"/>
        </w:rPr>
        <w:t xml:space="preserve">which involve new </w:t>
      </w:r>
      <w:r w:rsidR="002049AD" w:rsidRPr="002D35D5">
        <w:rPr>
          <w:szCs w:val="24"/>
        </w:rPr>
        <w:t xml:space="preserve">supplier terms and conditions are </w:t>
      </w:r>
      <w:r w:rsidR="00BA00A3" w:rsidRPr="002D35D5">
        <w:rPr>
          <w:szCs w:val="24"/>
        </w:rPr>
        <w:t>discussed and agreed with Legal Services.</w:t>
      </w:r>
      <w:r w:rsidR="007077C8" w:rsidRPr="002D35D5">
        <w:rPr>
          <w:szCs w:val="24"/>
        </w:rPr>
        <w:t xml:space="preserve"> </w:t>
      </w:r>
      <w:r w:rsidR="009B782C" w:rsidRPr="002D35D5">
        <w:rPr>
          <w:szCs w:val="24"/>
        </w:rPr>
        <w:t>There are no legal implications arising from the content of this report.</w:t>
      </w:r>
    </w:p>
    <w:p w:rsidR="007077C8" w:rsidRPr="002D35D5" w:rsidRDefault="007077C8" w:rsidP="0012515D">
      <w:pPr>
        <w:pStyle w:val="BodyTextIndent"/>
        <w:jc w:val="both"/>
        <w:rPr>
          <w:szCs w:val="24"/>
        </w:rPr>
      </w:pPr>
    </w:p>
    <w:p w:rsidR="00507209" w:rsidRPr="002D35D5" w:rsidRDefault="00507209" w:rsidP="0012515D">
      <w:pPr>
        <w:pStyle w:val="BodyText"/>
        <w:numPr>
          <w:ilvl w:val="1"/>
          <w:numId w:val="1"/>
        </w:numPr>
        <w:jc w:val="both"/>
        <w:rPr>
          <w:rFonts w:ascii="Tahoma" w:hAnsi="Tahoma" w:cs="Tahoma"/>
          <w:bCs/>
          <w:szCs w:val="24"/>
          <w:u w:val="single"/>
        </w:rPr>
      </w:pPr>
      <w:r w:rsidRPr="002D35D5">
        <w:rPr>
          <w:rFonts w:ascii="Tahoma" w:hAnsi="Tahoma" w:cs="Tahoma"/>
          <w:bCs/>
          <w:szCs w:val="24"/>
          <w:u w:val="single"/>
        </w:rPr>
        <w:t>Diversity</w:t>
      </w:r>
      <w:r w:rsidR="00C96CEA" w:rsidRPr="002D35D5">
        <w:rPr>
          <w:rFonts w:ascii="Tahoma" w:hAnsi="Tahoma" w:cs="Tahoma"/>
          <w:bCs/>
          <w:szCs w:val="24"/>
          <w:u w:val="single"/>
        </w:rPr>
        <w:t xml:space="preserve"> &amp; Equal Opportunities</w:t>
      </w:r>
    </w:p>
    <w:p w:rsidR="00507209" w:rsidRPr="002D35D5" w:rsidRDefault="009B782C" w:rsidP="0012515D">
      <w:pPr>
        <w:pStyle w:val="BodyText"/>
        <w:ind w:left="720"/>
        <w:jc w:val="both"/>
        <w:rPr>
          <w:rFonts w:ascii="Tahoma" w:hAnsi="Tahoma" w:cs="Tahoma"/>
          <w:szCs w:val="24"/>
        </w:rPr>
      </w:pPr>
      <w:r w:rsidRPr="002D35D5">
        <w:rPr>
          <w:rFonts w:ascii="Tahoma" w:hAnsi="Tahoma" w:cs="Tahoma"/>
          <w:szCs w:val="24"/>
        </w:rPr>
        <w:t>There are no diversity or equal opportunities implications arising from the content of this report.</w:t>
      </w:r>
    </w:p>
    <w:p w:rsidR="00507209" w:rsidRPr="002D35D5" w:rsidRDefault="00507209" w:rsidP="0012515D">
      <w:pPr>
        <w:pStyle w:val="BodyText"/>
        <w:jc w:val="both"/>
        <w:rPr>
          <w:rFonts w:ascii="Tahoma" w:hAnsi="Tahoma" w:cs="Tahoma"/>
          <w:szCs w:val="24"/>
        </w:rPr>
      </w:pPr>
    </w:p>
    <w:p w:rsidR="00B21C5D" w:rsidRPr="002D35D5" w:rsidRDefault="00B21C5D" w:rsidP="0012515D">
      <w:pPr>
        <w:pStyle w:val="BodyText"/>
        <w:numPr>
          <w:ilvl w:val="1"/>
          <w:numId w:val="1"/>
        </w:numPr>
        <w:jc w:val="both"/>
        <w:rPr>
          <w:rFonts w:ascii="Tahoma" w:hAnsi="Tahoma" w:cs="Tahoma"/>
          <w:szCs w:val="24"/>
          <w:u w:val="single"/>
        </w:rPr>
      </w:pPr>
      <w:r w:rsidRPr="002D35D5">
        <w:rPr>
          <w:rFonts w:ascii="Tahoma" w:hAnsi="Tahoma" w:cs="Tahoma"/>
          <w:szCs w:val="24"/>
          <w:u w:val="single"/>
        </w:rPr>
        <w:t xml:space="preserve">Human Rights Act </w:t>
      </w:r>
    </w:p>
    <w:p w:rsidR="00B21C5D" w:rsidRPr="002D35D5" w:rsidRDefault="00B21C5D" w:rsidP="0012515D">
      <w:pPr>
        <w:pStyle w:val="BodyText"/>
        <w:ind w:firstLine="720"/>
        <w:jc w:val="both"/>
        <w:rPr>
          <w:rFonts w:ascii="Tahoma" w:hAnsi="Tahoma" w:cs="Tahoma"/>
          <w:szCs w:val="24"/>
        </w:rPr>
      </w:pPr>
      <w:r w:rsidRPr="002D35D5">
        <w:rPr>
          <w:rFonts w:ascii="Tahoma" w:hAnsi="Tahoma" w:cs="Tahoma"/>
          <w:szCs w:val="24"/>
        </w:rPr>
        <w:t xml:space="preserve">There are no Human Rights Act implications arising from </w:t>
      </w:r>
      <w:r w:rsidR="009B782C" w:rsidRPr="002D35D5">
        <w:rPr>
          <w:rFonts w:ascii="Tahoma" w:hAnsi="Tahoma" w:cs="Tahoma"/>
          <w:szCs w:val="24"/>
        </w:rPr>
        <w:t xml:space="preserve">the content of </w:t>
      </w:r>
      <w:r w:rsidRPr="002D35D5">
        <w:rPr>
          <w:rFonts w:ascii="Tahoma" w:hAnsi="Tahoma" w:cs="Tahoma"/>
          <w:szCs w:val="24"/>
        </w:rPr>
        <w:t>this report.</w:t>
      </w:r>
    </w:p>
    <w:p w:rsidR="00B21C5D" w:rsidRPr="002D35D5" w:rsidRDefault="00B21C5D" w:rsidP="0012515D">
      <w:pPr>
        <w:pStyle w:val="BodyText"/>
        <w:jc w:val="both"/>
        <w:rPr>
          <w:rFonts w:ascii="Tahoma" w:hAnsi="Tahoma" w:cs="Tahoma"/>
          <w:szCs w:val="24"/>
          <w:u w:val="single"/>
        </w:rPr>
      </w:pPr>
    </w:p>
    <w:p w:rsidR="00507209" w:rsidRPr="002D35D5" w:rsidRDefault="00507209" w:rsidP="0012515D">
      <w:pPr>
        <w:pStyle w:val="BodyText"/>
        <w:numPr>
          <w:ilvl w:val="1"/>
          <w:numId w:val="1"/>
        </w:numPr>
        <w:jc w:val="both"/>
        <w:rPr>
          <w:rFonts w:ascii="Tahoma" w:hAnsi="Tahoma" w:cs="Tahoma"/>
          <w:szCs w:val="24"/>
          <w:u w:val="single"/>
        </w:rPr>
      </w:pPr>
      <w:r w:rsidRPr="002D35D5">
        <w:rPr>
          <w:rFonts w:ascii="Tahoma" w:hAnsi="Tahoma" w:cs="Tahoma"/>
          <w:bCs/>
          <w:szCs w:val="24"/>
          <w:u w:val="single"/>
        </w:rPr>
        <w:t>Sustainability</w:t>
      </w:r>
      <w:r w:rsidRPr="002D35D5">
        <w:rPr>
          <w:rFonts w:ascii="Tahoma" w:hAnsi="Tahoma" w:cs="Tahoma"/>
          <w:szCs w:val="24"/>
          <w:u w:val="single"/>
        </w:rPr>
        <w:t xml:space="preserve"> </w:t>
      </w:r>
    </w:p>
    <w:p w:rsidR="00507209" w:rsidRPr="002D35D5" w:rsidRDefault="00617A23" w:rsidP="0012515D">
      <w:pPr>
        <w:ind w:left="709" w:firstLine="11"/>
        <w:jc w:val="both"/>
        <w:rPr>
          <w:rFonts w:ascii="Tahoma" w:hAnsi="Tahoma" w:cs="Tahoma"/>
          <w:sz w:val="24"/>
          <w:szCs w:val="24"/>
        </w:rPr>
      </w:pPr>
      <w:r w:rsidRPr="002D35D5">
        <w:rPr>
          <w:rFonts w:ascii="Tahoma" w:hAnsi="Tahoma" w:cs="Tahoma"/>
          <w:sz w:val="24"/>
          <w:szCs w:val="24"/>
        </w:rPr>
        <w:t xml:space="preserve">There are no sustainability implications arising from </w:t>
      </w:r>
      <w:r w:rsidR="009B782C" w:rsidRPr="002D35D5">
        <w:rPr>
          <w:rFonts w:ascii="Tahoma" w:hAnsi="Tahoma" w:cs="Tahoma"/>
          <w:sz w:val="24"/>
          <w:szCs w:val="24"/>
        </w:rPr>
        <w:t xml:space="preserve">the content of </w:t>
      </w:r>
      <w:r w:rsidRPr="002D35D5">
        <w:rPr>
          <w:rFonts w:ascii="Tahoma" w:hAnsi="Tahoma" w:cs="Tahoma"/>
          <w:sz w:val="24"/>
          <w:szCs w:val="24"/>
        </w:rPr>
        <w:t>this report</w:t>
      </w:r>
      <w:r w:rsidR="00E962BD" w:rsidRPr="002D35D5">
        <w:rPr>
          <w:rFonts w:ascii="Tahoma" w:hAnsi="Tahoma" w:cs="Tahoma"/>
          <w:sz w:val="24"/>
          <w:szCs w:val="24"/>
        </w:rPr>
        <w:t>.</w:t>
      </w:r>
    </w:p>
    <w:p w:rsidR="0028080E" w:rsidRPr="002D35D5" w:rsidRDefault="0028080E" w:rsidP="0012515D">
      <w:pPr>
        <w:jc w:val="both"/>
        <w:rPr>
          <w:rFonts w:ascii="Tahoma" w:hAnsi="Tahoma" w:cs="Tahoma"/>
          <w:sz w:val="24"/>
          <w:szCs w:val="24"/>
        </w:rPr>
      </w:pPr>
    </w:p>
    <w:p w:rsidR="0028080E" w:rsidRPr="002D35D5" w:rsidRDefault="0028080E" w:rsidP="0012515D">
      <w:pPr>
        <w:numPr>
          <w:ilvl w:val="1"/>
          <w:numId w:val="1"/>
        </w:numPr>
        <w:jc w:val="both"/>
        <w:rPr>
          <w:rFonts w:ascii="Tahoma" w:hAnsi="Tahoma" w:cs="Tahoma"/>
          <w:sz w:val="24"/>
          <w:szCs w:val="24"/>
          <w:u w:val="single"/>
        </w:rPr>
      </w:pPr>
      <w:r w:rsidRPr="002D35D5">
        <w:rPr>
          <w:rFonts w:ascii="Tahoma" w:hAnsi="Tahoma" w:cs="Tahoma"/>
          <w:sz w:val="24"/>
          <w:szCs w:val="24"/>
          <w:u w:val="single"/>
        </w:rPr>
        <w:t>Risk</w:t>
      </w:r>
    </w:p>
    <w:p w:rsidR="0028080E" w:rsidRPr="002D35D5" w:rsidRDefault="0092093F" w:rsidP="0012515D">
      <w:pPr>
        <w:jc w:val="both"/>
        <w:rPr>
          <w:rFonts w:ascii="Tahoma" w:hAnsi="Tahoma" w:cs="Tahoma"/>
          <w:sz w:val="24"/>
          <w:szCs w:val="24"/>
        </w:rPr>
      </w:pPr>
      <w:r w:rsidRPr="002D35D5">
        <w:rPr>
          <w:rFonts w:ascii="Tahoma" w:hAnsi="Tahoma" w:cs="Tahoma"/>
          <w:sz w:val="24"/>
          <w:szCs w:val="24"/>
        </w:rPr>
        <w:tab/>
        <w:t xml:space="preserve">There are no risk implications </w:t>
      </w:r>
      <w:r w:rsidR="009B782C" w:rsidRPr="002D35D5">
        <w:rPr>
          <w:rFonts w:ascii="Tahoma" w:hAnsi="Tahoma" w:cs="Tahoma"/>
          <w:sz w:val="24"/>
          <w:szCs w:val="24"/>
        </w:rPr>
        <w:t>arising from the content of this</w:t>
      </w:r>
      <w:r w:rsidRPr="002D35D5">
        <w:rPr>
          <w:rFonts w:ascii="Tahoma" w:hAnsi="Tahoma" w:cs="Tahoma"/>
          <w:sz w:val="24"/>
          <w:szCs w:val="24"/>
        </w:rPr>
        <w:t xml:space="preserve"> report.</w:t>
      </w:r>
    </w:p>
    <w:p w:rsidR="005F1CBE" w:rsidRPr="002D35D5" w:rsidRDefault="005F1CBE" w:rsidP="0012515D">
      <w:pPr>
        <w:jc w:val="both"/>
        <w:rPr>
          <w:rFonts w:ascii="Tahoma" w:hAnsi="Tahoma" w:cs="Tahoma"/>
        </w:rPr>
      </w:pPr>
    </w:p>
    <w:p w:rsidR="0012515D" w:rsidRPr="002D35D5" w:rsidRDefault="0012515D" w:rsidP="0012515D">
      <w:pPr>
        <w:jc w:val="both"/>
        <w:rPr>
          <w:rFonts w:ascii="Tahoma" w:hAnsi="Tahoma" w:cs="Tahoma"/>
        </w:rPr>
      </w:pPr>
    </w:p>
    <w:p w:rsidR="00507209" w:rsidRPr="002D35D5" w:rsidRDefault="0028080E" w:rsidP="0012515D">
      <w:pPr>
        <w:pStyle w:val="BodyText"/>
        <w:jc w:val="both"/>
        <w:rPr>
          <w:rFonts w:ascii="Tahoma" w:hAnsi="Tahoma" w:cs="Tahoma"/>
          <w:b/>
          <w:bCs/>
          <w:szCs w:val="24"/>
        </w:rPr>
      </w:pPr>
      <w:r w:rsidRPr="002D35D5">
        <w:rPr>
          <w:rFonts w:ascii="Tahoma" w:hAnsi="Tahoma" w:cs="Tahoma"/>
          <w:b/>
          <w:bCs/>
          <w:szCs w:val="24"/>
        </w:rPr>
        <w:t>5</w:t>
      </w:r>
      <w:r w:rsidR="00B21C5D" w:rsidRPr="002D35D5">
        <w:rPr>
          <w:rFonts w:ascii="Tahoma" w:hAnsi="Tahoma" w:cs="Tahoma"/>
          <w:b/>
          <w:bCs/>
          <w:szCs w:val="24"/>
        </w:rPr>
        <w:t>.</w:t>
      </w:r>
      <w:r w:rsidR="00507209" w:rsidRPr="002D35D5">
        <w:rPr>
          <w:rFonts w:ascii="Tahoma" w:hAnsi="Tahoma" w:cs="Tahoma"/>
          <w:b/>
          <w:bCs/>
          <w:szCs w:val="24"/>
        </w:rPr>
        <w:tab/>
        <w:t>Conclusions</w:t>
      </w:r>
    </w:p>
    <w:p w:rsidR="00507209" w:rsidRPr="002D35D5" w:rsidRDefault="00507209" w:rsidP="0012515D">
      <w:pPr>
        <w:pStyle w:val="BodyText"/>
        <w:ind w:firstLine="720"/>
        <w:jc w:val="both"/>
        <w:rPr>
          <w:rFonts w:ascii="Tahoma" w:hAnsi="Tahoma" w:cs="Tahoma"/>
          <w:szCs w:val="24"/>
        </w:rPr>
      </w:pPr>
    </w:p>
    <w:p w:rsidR="00507209" w:rsidRPr="002D35D5" w:rsidRDefault="0028080E" w:rsidP="0012515D">
      <w:pPr>
        <w:pStyle w:val="BodyTextIndent2"/>
        <w:ind w:left="720" w:hanging="720"/>
        <w:jc w:val="both"/>
        <w:rPr>
          <w:szCs w:val="24"/>
        </w:rPr>
      </w:pPr>
      <w:r w:rsidRPr="002D35D5">
        <w:rPr>
          <w:szCs w:val="24"/>
        </w:rPr>
        <w:t>5</w:t>
      </w:r>
      <w:r w:rsidR="009B782C" w:rsidRPr="002D35D5">
        <w:rPr>
          <w:szCs w:val="24"/>
        </w:rPr>
        <w:t>.1</w:t>
      </w:r>
      <w:r w:rsidR="009B782C" w:rsidRPr="002D35D5">
        <w:rPr>
          <w:szCs w:val="24"/>
        </w:rPr>
        <w:tab/>
        <w:t xml:space="preserve">The details of </w:t>
      </w:r>
      <w:r w:rsidR="00C613BD" w:rsidRPr="002D35D5">
        <w:rPr>
          <w:szCs w:val="24"/>
        </w:rPr>
        <w:t>the</w:t>
      </w:r>
      <w:r w:rsidR="009B782C" w:rsidRPr="002D35D5">
        <w:rPr>
          <w:szCs w:val="24"/>
        </w:rPr>
        <w:t xml:space="preserve"> exceptional situations</w:t>
      </w:r>
      <w:r w:rsidR="00B55CCF" w:rsidRPr="002D35D5">
        <w:rPr>
          <w:szCs w:val="24"/>
        </w:rPr>
        <w:t xml:space="preserve"> </w:t>
      </w:r>
      <w:r w:rsidR="00C613BD" w:rsidRPr="002D35D5">
        <w:rPr>
          <w:szCs w:val="24"/>
        </w:rPr>
        <w:t xml:space="preserve">listed in Appendix 1 </w:t>
      </w:r>
      <w:r w:rsidR="00507209" w:rsidRPr="002D35D5">
        <w:rPr>
          <w:szCs w:val="24"/>
        </w:rPr>
        <w:t xml:space="preserve">not only comply with </w:t>
      </w:r>
      <w:r w:rsidR="00E67101" w:rsidRPr="002D35D5">
        <w:rPr>
          <w:szCs w:val="24"/>
        </w:rPr>
        <w:t>the process detai</w:t>
      </w:r>
      <w:r w:rsidR="00BE112F">
        <w:rPr>
          <w:szCs w:val="24"/>
        </w:rPr>
        <w:t>led in Contract Standing Order 10</w:t>
      </w:r>
      <w:r w:rsidR="00507209" w:rsidRPr="002D35D5">
        <w:rPr>
          <w:szCs w:val="24"/>
        </w:rPr>
        <w:t xml:space="preserve"> but represent the Force’s ongoing commitment to greater efficiency and effectiveness.     </w:t>
      </w:r>
    </w:p>
    <w:p w:rsidR="00507209" w:rsidRPr="002D35D5" w:rsidRDefault="00507209" w:rsidP="0012515D">
      <w:pPr>
        <w:pStyle w:val="BodyTextIndent2"/>
        <w:ind w:left="0" w:firstLine="0"/>
        <w:jc w:val="both"/>
        <w:rPr>
          <w:szCs w:val="24"/>
        </w:rPr>
      </w:pPr>
    </w:p>
    <w:p w:rsidR="00091924" w:rsidRPr="002D35D5" w:rsidRDefault="00091924" w:rsidP="0012515D">
      <w:pPr>
        <w:pStyle w:val="BodyTextIndent2"/>
        <w:ind w:left="0" w:firstLine="0"/>
        <w:jc w:val="both"/>
        <w:rPr>
          <w:szCs w:val="24"/>
        </w:rPr>
      </w:pPr>
    </w:p>
    <w:p w:rsidR="00507209" w:rsidRPr="002D35D5" w:rsidRDefault="009C70F0" w:rsidP="0012515D">
      <w:pPr>
        <w:pStyle w:val="BodyText"/>
        <w:jc w:val="both"/>
        <w:rPr>
          <w:rFonts w:ascii="Tahoma" w:hAnsi="Tahoma" w:cs="Tahoma"/>
          <w:szCs w:val="24"/>
        </w:rPr>
      </w:pPr>
      <w:r w:rsidRPr="002D35D5">
        <w:rPr>
          <w:rFonts w:ascii="Tahoma" w:hAnsi="Tahoma" w:cs="Tahoma"/>
          <w:szCs w:val="24"/>
        </w:rPr>
        <w:t>Graeme Slaughter</w:t>
      </w:r>
    </w:p>
    <w:p w:rsidR="0012515D" w:rsidRPr="002D35D5" w:rsidRDefault="00507209" w:rsidP="0012515D">
      <w:pPr>
        <w:jc w:val="both"/>
        <w:rPr>
          <w:rFonts w:ascii="Tahoma" w:hAnsi="Tahoma" w:cs="Tahoma"/>
          <w:sz w:val="24"/>
          <w:szCs w:val="24"/>
        </w:rPr>
      </w:pPr>
      <w:r w:rsidRPr="002D35D5">
        <w:rPr>
          <w:rFonts w:ascii="Tahoma" w:hAnsi="Tahoma" w:cs="Tahoma"/>
          <w:sz w:val="24"/>
          <w:szCs w:val="24"/>
        </w:rPr>
        <w:t xml:space="preserve">Chief </w:t>
      </w:r>
      <w:r w:rsidR="009C70F0" w:rsidRPr="002D35D5">
        <w:rPr>
          <w:rFonts w:ascii="Tahoma" w:hAnsi="Tahoma" w:cs="Tahoma"/>
          <w:sz w:val="24"/>
          <w:szCs w:val="24"/>
        </w:rPr>
        <w:t>Finance Officer</w:t>
      </w:r>
    </w:p>
    <w:p w:rsidR="0012515D" w:rsidRPr="002D35D5" w:rsidRDefault="0012515D" w:rsidP="0012515D">
      <w:pPr>
        <w:jc w:val="both"/>
        <w:rPr>
          <w:rFonts w:ascii="Tahoma" w:hAnsi="Tahoma" w:cs="Tahoma"/>
          <w:sz w:val="24"/>
          <w:szCs w:val="24"/>
        </w:rPr>
        <w:sectPr w:rsidR="0012515D" w:rsidRPr="002D35D5" w:rsidSect="00535E44">
          <w:headerReference w:type="default" r:id="rId12"/>
          <w:pgSz w:w="11909" w:h="16834" w:code="9"/>
          <w:pgMar w:top="1134" w:right="1134" w:bottom="1134" w:left="1134" w:header="709" w:footer="709" w:gutter="0"/>
          <w:paperSrc w:first="15" w:other="15"/>
          <w:cols w:space="720"/>
          <w:formProt w:val="0"/>
        </w:sectPr>
      </w:pPr>
    </w:p>
    <w:p w:rsidR="00A4787C" w:rsidRPr="002D35D5" w:rsidRDefault="009A2DC8" w:rsidP="0012515D">
      <w:pPr>
        <w:jc w:val="both"/>
        <w:rPr>
          <w:rFonts w:ascii="Tahoma" w:hAnsi="Tahoma" w:cs="Tahoma"/>
          <w:b/>
          <w:sz w:val="24"/>
          <w:szCs w:val="24"/>
          <w:u w:val="single"/>
          <w:lang w:eastAsia="en-GB"/>
        </w:rPr>
      </w:pPr>
      <w:r w:rsidRPr="002D35D5">
        <w:rPr>
          <w:rFonts w:ascii="Tahoma" w:hAnsi="Tahoma" w:cs="Tahoma"/>
          <w:b/>
          <w:sz w:val="24"/>
          <w:szCs w:val="24"/>
          <w:u w:val="single"/>
          <w:lang w:eastAsia="en-GB"/>
        </w:rPr>
        <w:lastRenderedPageBreak/>
        <w:t>Exceptional Situation</w:t>
      </w:r>
      <w:r w:rsidR="008C5DCD" w:rsidRPr="002D35D5">
        <w:rPr>
          <w:rFonts w:ascii="Tahoma" w:hAnsi="Tahoma" w:cs="Tahoma"/>
          <w:b/>
          <w:sz w:val="24"/>
          <w:szCs w:val="24"/>
          <w:u w:val="single"/>
          <w:lang w:eastAsia="en-GB"/>
        </w:rPr>
        <w:t xml:space="preserve"> </w:t>
      </w:r>
      <w:r w:rsidR="00AD6694" w:rsidRPr="002D35D5">
        <w:rPr>
          <w:rFonts w:ascii="Tahoma" w:hAnsi="Tahoma" w:cs="Tahoma"/>
          <w:b/>
          <w:sz w:val="24"/>
          <w:szCs w:val="24"/>
          <w:u w:val="single"/>
          <w:lang w:eastAsia="en-GB"/>
        </w:rPr>
        <w:t>– Proprietary</w:t>
      </w:r>
      <w:r w:rsidR="008C5DCD" w:rsidRPr="002D35D5">
        <w:rPr>
          <w:rFonts w:ascii="Tahoma" w:hAnsi="Tahoma" w:cs="Tahoma"/>
          <w:b/>
          <w:sz w:val="24"/>
          <w:szCs w:val="24"/>
          <w:u w:val="single"/>
          <w:lang w:eastAsia="en-GB"/>
        </w:rPr>
        <w:t xml:space="preserve"> Product</w:t>
      </w:r>
    </w:p>
    <w:p w:rsidR="00E54CC0" w:rsidRPr="002D35D5" w:rsidRDefault="00E54CC0" w:rsidP="0012515D">
      <w:pPr>
        <w:jc w:val="both"/>
        <w:rPr>
          <w:rFonts w:ascii="Tahoma" w:hAnsi="Tahoma" w:cs="Tahoma"/>
          <w:b/>
          <w:sz w:val="24"/>
          <w:szCs w:val="24"/>
          <w:u w:val="single"/>
          <w:lang w:eastAsia="en-GB"/>
        </w:rPr>
      </w:pPr>
    </w:p>
    <w:p w:rsidR="001D4964" w:rsidRPr="002D35D5" w:rsidRDefault="001D4964" w:rsidP="001D4964">
      <w:pPr>
        <w:pStyle w:val="BodyText2"/>
        <w:tabs>
          <w:tab w:val="left" w:pos="709"/>
        </w:tabs>
        <w:ind w:left="705" w:hanging="705"/>
        <w:jc w:val="both"/>
        <w:rPr>
          <w:szCs w:val="24"/>
        </w:rPr>
      </w:pPr>
      <w:r w:rsidRPr="002D35D5">
        <w:rPr>
          <w:b/>
          <w:szCs w:val="24"/>
          <w:u w:val="none"/>
        </w:rPr>
        <w:t>1.</w:t>
      </w:r>
      <w:r w:rsidRPr="002D35D5">
        <w:rPr>
          <w:b/>
          <w:szCs w:val="24"/>
          <w:u w:val="none"/>
        </w:rPr>
        <w:tab/>
        <w:t xml:space="preserve">Renewal of </w:t>
      </w:r>
      <w:r w:rsidR="00D26629" w:rsidRPr="002D35D5">
        <w:rPr>
          <w:b/>
          <w:szCs w:val="24"/>
          <w:u w:val="none"/>
        </w:rPr>
        <w:t xml:space="preserve">support contract for ACESO Terminals for Crime and Justice at a cost of £17,000 from </w:t>
      </w:r>
      <w:proofErr w:type="spellStart"/>
      <w:r w:rsidR="00D26629" w:rsidRPr="002D35D5">
        <w:rPr>
          <w:b/>
          <w:szCs w:val="24"/>
          <w:u w:val="none"/>
        </w:rPr>
        <w:t>RadioTactics</w:t>
      </w:r>
      <w:proofErr w:type="spellEnd"/>
      <w:r w:rsidR="00036C10" w:rsidRPr="002D35D5">
        <w:rPr>
          <w:b/>
          <w:szCs w:val="24"/>
          <w:u w:val="none"/>
        </w:rPr>
        <w:t>.</w:t>
      </w:r>
      <w:r w:rsidR="00D26629" w:rsidRPr="002D35D5">
        <w:rPr>
          <w:b/>
          <w:szCs w:val="24"/>
          <w:u w:val="none"/>
        </w:rPr>
        <w:t xml:space="preserve"> </w:t>
      </w:r>
    </w:p>
    <w:p w:rsidR="001D4964" w:rsidRPr="002D35D5" w:rsidRDefault="001D4964" w:rsidP="001D4964">
      <w:pPr>
        <w:pStyle w:val="BodyText2"/>
        <w:jc w:val="both"/>
        <w:rPr>
          <w:szCs w:val="24"/>
          <w:u w:val="none"/>
        </w:rPr>
      </w:pPr>
    </w:p>
    <w:p w:rsidR="00200B5D" w:rsidRPr="002D35D5" w:rsidRDefault="00200B5D" w:rsidP="00200B5D">
      <w:pPr>
        <w:numPr>
          <w:ilvl w:val="1"/>
          <w:numId w:val="28"/>
        </w:numPr>
        <w:jc w:val="both"/>
        <w:rPr>
          <w:rFonts w:ascii="Tahoma" w:hAnsi="Tahoma" w:cs="Tahoma"/>
          <w:sz w:val="24"/>
          <w:szCs w:val="24"/>
        </w:rPr>
      </w:pPr>
      <w:r w:rsidRPr="002D35D5">
        <w:rPr>
          <w:rFonts w:ascii="Tahoma" w:hAnsi="Tahoma" w:cs="Tahoma"/>
          <w:sz w:val="24"/>
          <w:szCs w:val="24"/>
        </w:rPr>
        <w:t>The Force purchased five ACESO Kiosk Acquisition terminals to provide a technical solution to mob</w:t>
      </w:r>
      <w:r w:rsidR="00036C10" w:rsidRPr="002D35D5">
        <w:rPr>
          <w:rFonts w:ascii="Tahoma" w:hAnsi="Tahoma" w:cs="Tahoma"/>
          <w:sz w:val="24"/>
          <w:szCs w:val="24"/>
        </w:rPr>
        <w:t>ile phone examination to assist</w:t>
      </w:r>
      <w:r w:rsidRPr="002D35D5">
        <w:rPr>
          <w:rFonts w:ascii="Tahoma" w:hAnsi="Tahoma" w:cs="Tahoma"/>
          <w:sz w:val="24"/>
          <w:szCs w:val="24"/>
        </w:rPr>
        <w:t xml:space="preserve"> with police investigations at all levels on the national intelligence model.</w:t>
      </w:r>
    </w:p>
    <w:p w:rsidR="00200B5D" w:rsidRPr="002D35D5" w:rsidRDefault="00200B5D" w:rsidP="00200B5D">
      <w:pPr>
        <w:ind w:left="720"/>
        <w:jc w:val="both"/>
        <w:rPr>
          <w:rFonts w:ascii="Tahoma" w:hAnsi="Tahoma" w:cs="Tahoma"/>
          <w:sz w:val="24"/>
          <w:szCs w:val="24"/>
        </w:rPr>
      </w:pPr>
    </w:p>
    <w:p w:rsidR="00200B5D" w:rsidRPr="002D35D5" w:rsidRDefault="00200B5D" w:rsidP="00200B5D">
      <w:pPr>
        <w:numPr>
          <w:ilvl w:val="1"/>
          <w:numId w:val="28"/>
        </w:numPr>
        <w:jc w:val="both"/>
        <w:rPr>
          <w:rFonts w:ascii="Tahoma" w:hAnsi="Tahoma" w:cs="Tahoma"/>
          <w:sz w:val="24"/>
          <w:szCs w:val="24"/>
        </w:rPr>
      </w:pPr>
      <w:r w:rsidRPr="002D35D5">
        <w:rPr>
          <w:rFonts w:ascii="Tahoma" w:hAnsi="Tahoma" w:cs="Tahoma"/>
          <w:sz w:val="24"/>
          <w:szCs w:val="24"/>
        </w:rPr>
        <w:t xml:space="preserve">Annual </w:t>
      </w:r>
      <w:r w:rsidR="00036C10" w:rsidRPr="002D35D5">
        <w:rPr>
          <w:rFonts w:ascii="Tahoma" w:hAnsi="Tahoma" w:cs="Tahoma"/>
          <w:sz w:val="24"/>
          <w:szCs w:val="24"/>
        </w:rPr>
        <w:t>s</w:t>
      </w:r>
      <w:r w:rsidRPr="002D35D5">
        <w:rPr>
          <w:rFonts w:ascii="Tahoma" w:hAnsi="Tahoma" w:cs="Tahoma"/>
          <w:sz w:val="24"/>
          <w:szCs w:val="24"/>
        </w:rPr>
        <w:t xml:space="preserve">upport is required to ensure the software used by the terminals is </w:t>
      </w:r>
      <w:proofErr w:type="spellStart"/>
      <w:r w:rsidRPr="002D35D5">
        <w:rPr>
          <w:rFonts w:ascii="Tahoma" w:hAnsi="Tahoma" w:cs="Tahoma"/>
          <w:sz w:val="24"/>
          <w:szCs w:val="24"/>
        </w:rPr>
        <w:t>upto</w:t>
      </w:r>
      <w:proofErr w:type="spellEnd"/>
      <w:r w:rsidRPr="002D35D5">
        <w:rPr>
          <w:rFonts w:ascii="Tahoma" w:hAnsi="Tahoma" w:cs="Tahoma"/>
          <w:sz w:val="24"/>
          <w:szCs w:val="24"/>
        </w:rPr>
        <w:t xml:space="preserve"> date and has the latest mobile devices uploaded. </w:t>
      </w:r>
      <w:proofErr w:type="spellStart"/>
      <w:r w:rsidRPr="002D35D5">
        <w:rPr>
          <w:rFonts w:ascii="Tahoma" w:hAnsi="Tahoma" w:cs="Tahoma"/>
          <w:sz w:val="24"/>
          <w:szCs w:val="24"/>
        </w:rPr>
        <w:t>Radiotactics</w:t>
      </w:r>
      <w:proofErr w:type="spellEnd"/>
      <w:r w:rsidRPr="002D35D5">
        <w:rPr>
          <w:rFonts w:ascii="Tahoma" w:hAnsi="Tahoma" w:cs="Tahoma"/>
          <w:sz w:val="24"/>
          <w:szCs w:val="24"/>
        </w:rPr>
        <w:t xml:space="preserve"> are the sole provider of the ACESO Terminals.</w:t>
      </w:r>
    </w:p>
    <w:p w:rsidR="00200B5D" w:rsidRPr="002D35D5" w:rsidRDefault="00200B5D" w:rsidP="00200B5D">
      <w:pPr>
        <w:pStyle w:val="ListParagraph"/>
        <w:rPr>
          <w:rFonts w:ascii="Tahoma" w:hAnsi="Tahoma" w:cs="Tahoma"/>
          <w:sz w:val="24"/>
          <w:szCs w:val="24"/>
        </w:rPr>
      </w:pPr>
    </w:p>
    <w:p w:rsidR="001D4964" w:rsidRPr="002D35D5" w:rsidRDefault="003F06FD" w:rsidP="001D4964">
      <w:pPr>
        <w:pStyle w:val="BodyText2"/>
        <w:ind w:left="709" w:hanging="709"/>
        <w:jc w:val="both"/>
        <w:rPr>
          <w:b/>
          <w:szCs w:val="24"/>
          <w:u w:val="none"/>
        </w:rPr>
      </w:pPr>
      <w:r w:rsidRPr="002D35D5">
        <w:rPr>
          <w:b/>
          <w:szCs w:val="24"/>
          <w:u w:val="none"/>
        </w:rPr>
        <w:t>2.</w:t>
      </w:r>
      <w:r w:rsidRPr="002D35D5">
        <w:rPr>
          <w:b/>
          <w:szCs w:val="24"/>
          <w:u w:val="none"/>
        </w:rPr>
        <w:tab/>
      </w:r>
      <w:r w:rsidR="00526F0C" w:rsidRPr="002D35D5">
        <w:rPr>
          <w:b/>
          <w:szCs w:val="24"/>
          <w:u w:val="none"/>
        </w:rPr>
        <w:t xml:space="preserve">Training for Professional Standards at a cost of £12,500 from John </w:t>
      </w:r>
      <w:proofErr w:type="spellStart"/>
      <w:r w:rsidR="00526F0C" w:rsidRPr="002D35D5">
        <w:rPr>
          <w:b/>
          <w:szCs w:val="24"/>
          <w:u w:val="none"/>
        </w:rPr>
        <w:t>Beggs</w:t>
      </w:r>
      <w:proofErr w:type="spellEnd"/>
      <w:r w:rsidR="00526F0C" w:rsidRPr="002D35D5">
        <w:rPr>
          <w:b/>
          <w:szCs w:val="24"/>
          <w:u w:val="none"/>
        </w:rPr>
        <w:t xml:space="preserve"> QC</w:t>
      </w:r>
      <w:r w:rsidR="00036C10" w:rsidRPr="002D35D5">
        <w:rPr>
          <w:b/>
          <w:szCs w:val="24"/>
          <w:u w:val="none"/>
        </w:rPr>
        <w:t>.</w:t>
      </w:r>
    </w:p>
    <w:p w:rsidR="00526F0C" w:rsidRPr="002D35D5" w:rsidRDefault="00526F0C" w:rsidP="001D4964">
      <w:pPr>
        <w:pStyle w:val="BodyText2"/>
        <w:ind w:left="709" w:hanging="709"/>
        <w:jc w:val="both"/>
        <w:rPr>
          <w:b/>
          <w:szCs w:val="24"/>
          <w:u w:val="none"/>
        </w:rPr>
      </w:pPr>
    </w:p>
    <w:p w:rsidR="00DB42DD" w:rsidRPr="002D35D5" w:rsidRDefault="001D4964" w:rsidP="00036C10">
      <w:pPr>
        <w:pStyle w:val="BodyText2"/>
        <w:ind w:left="709" w:hanging="709"/>
        <w:jc w:val="both"/>
        <w:rPr>
          <w:szCs w:val="24"/>
          <w:u w:val="none"/>
        </w:rPr>
      </w:pPr>
      <w:r w:rsidRPr="002D35D5">
        <w:rPr>
          <w:szCs w:val="24"/>
          <w:u w:val="none"/>
        </w:rPr>
        <w:t>2.1</w:t>
      </w:r>
      <w:r w:rsidRPr="002D35D5">
        <w:rPr>
          <w:szCs w:val="24"/>
          <w:u w:val="none"/>
        </w:rPr>
        <w:tab/>
      </w:r>
      <w:r w:rsidR="00526F0C" w:rsidRPr="002D35D5">
        <w:rPr>
          <w:szCs w:val="24"/>
          <w:u w:val="none"/>
        </w:rPr>
        <w:t>Following the results of some recent Employment Tribunals</w:t>
      </w:r>
      <w:r w:rsidR="00BB7B4C" w:rsidRPr="002D35D5">
        <w:rPr>
          <w:szCs w:val="24"/>
          <w:u w:val="none"/>
        </w:rPr>
        <w:t xml:space="preserve">, </w:t>
      </w:r>
      <w:r w:rsidR="00036C10" w:rsidRPr="002D35D5">
        <w:rPr>
          <w:szCs w:val="24"/>
          <w:u w:val="none"/>
        </w:rPr>
        <w:t>a</w:t>
      </w:r>
      <w:r w:rsidR="00DB42DD" w:rsidRPr="002D35D5">
        <w:rPr>
          <w:szCs w:val="24"/>
          <w:u w:val="none"/>
        </w:rPr>
        <w:t xml:space="preserve"> bespoke tailored training course has been commissioned from John </w:t>
      </w:r>
      <w:proofErr w:type="spellStart"/>
      <w:r w:rsidR="00DB42DD" w:rsidRPr="002D35D5">
        <w:rPr>
          <w:szCs w:val="24"/>
          <w:u w:val="none"/>
        </w:rPr>
        <w:t>Beggs</w:t>
      </w:r>
      <w:proofErr w:type="spellEnd"/>
      <w:r w:rsidR="00DB42DD" w:rsidRPr="002D35D5">
        <w:rPr>
          <w:szCs w:val="24"/>
          <w:u w:val="none"/>
        </w:rPr>
        <w:t xml:space="preserve"> QC who has a unique understanding of the issues that Cleveland Police have faced over the last couple of years.</w:t>
      </w:r>
    </w:p>
    <w:p w:rsidR="00BB5E50" w:rsidRPr="002D35D5" w:rsidRDefault="00BB5E50" w:rsidP="00BB5E50">
      <w:pPr>
        <w:pStyle w:val="BodyText2"/>
        <w:ind w:left="720"/>
        <w:jc w:val="both"/>
        <w:rPr>
          <w:szCs w:val="24"/>
          <w:u w:val="none"/>
        </w:rPr>
      </w:pPr>
    </w:p>
    <w:p w:rsidR="00DB42DD" w:rsidRPr="002D35D5" w:rsidRDefault="00DB42DD" w:rsidP="00DB42DD">
      <w:pPr>
        <w:pStyle w:val="BodyText2"/>
        <w:numPr>
          <w:ilvl w:val="1"/>
          <w:numId w:val="3"/>
        </w:numPr>
        <w:jc w:val="both"/>
        <w:rPr>
          <w:bCs/>
          <w:szCs w:val="24"/>
        </w:rPr>
      </w:pPr>
      <w:r w:rsidRPr="002D35D5">
        <w:rPr>
          <w:szCs w:val="24"/>
          <w:u w:val="none"/>
        </w:rPr>
        <w:t xml:space="preserve">John </w:t>
      </w:r>
      <w:proofErr w:type="spellStart"/>
      <w:r w:rsidRPr="002D35D5">
        <w:rPr>
          <w:szCs w:val="24"/>
          <w:u w:val="none"/>
        </w:rPr>
        <w:t>Beggs</w:t>
      </w:r>
      <w:proofErr w:type="spellEnd"/>
      <w:r w:rsidRPr="002D35D5">
        <w:rPr>
          <w:szCs w:val="24"/>
          <w:u w:val="none"/>
        </w:rPr>
        <w:t xml:space="preserve"> QC is a leading Barrister in his field and has a unique set of </w:t>
      </w:r>
      <w:r w:rsidR="00BB5E50" w:rsidRPr="002D35D5">
        <w:rPr>
          <w:szCs w:val="24"/>
          <w:u w:val="none"/>
        </w:rPr>
        <w:t>skills to offer the Force to t</w:t>
      </w:r>
      <w:r w:rsidRPr="002D35D5">
        <w:rPr>
          <w:szCs w:val="24"/>
          <w:u w:val="none"/>
        </w:rPr>
        <w:t>r</w:t>
      </w:r>
      <w:r w:rsidR="00BB5E50" w:rsidRPr="002D35D5">
        <w:rPr>
          <w:szCs w:val="24"/>
          <w:u w:val="none"/>
        </w:rPr>
        <w:t>a</w:t>
      </w:r>
      <w:r w:rsidRPr="002D35D5">
        <w:rPr>
          <w:szCs w:val="24"/>
          <w:u w:val="none"/>
        </w:rPr>
        <w:t xml:space="preserve">in Investigating Officers and Appointed Officers, therefore the services provided are </w:t>
      </w:r>
      <w:proofErr w:type="spellStart"/>
      <w:r w:rsidRPr="002D35D5">
        <w:rPr>
          <w:szCs w:val="24"/>
          <w:u w:val="none"/>
        </w:rPr>
        <w:t>proprietray</w:t>
      </w:r>
      <w:proofErr w:type="spellEnd"/>
      <w:r w:rsidRPr="002D35D5">
        <w:rPr>
          <w:szCs w:val="24"/>
          <w:u w:val="none"/>
        </w:rPr>
        <w:t>.</w:t>
      </w:r>
    </w:p>
    <w:p w:rsidR="00F52ACA" w:rsidRPr="002D35D5" w:rsidRDefault="00DB42DD" w:rsidP="00DB42DD">
      <w:pPr>
        <w:pStyle w:val="BodyText2"/>
        <w:ind w:left="720"/>
        <w:jc w:val="both"/>
        <w:rPr>
          <w:bCs/>
          <w:szCs w:val="24"/>
        </w:rPr>
      </w:pPr>
      <w:r w:rsidRPr="002D35D5">
        <w:rPr>
          <w:bCs/>
          <w:szCs w:val="24"/>
        </w:rPr>
        <w:t xml:space="preserve"> </w:t>
      </w:r>
    </w:p>
    <w:p w:rsidR="000B75B6" w:rsidRPr="002D35D5" w:rsidRDefault="00191EEA" w:rsidP="000B75B6">
      <w:pPr>
        <w:pStyle w:val="BodyText2"/>
        <w:ind w:left="709" w:hanging="709"/>
        <w:jc w:val="both"/>
        <w:rPr>
          <w:b/>
          <w:szCs w:val="24"/>
          <w:u w:val="none"/>
        </w:rPr>
      </w:pPr>
      <w:r w:rsidRPr="002D35D5">
        <w:rPr>
          <w:b/>
          <w:szCs w:val="24"/>
          <w:u w:val="none"/>
        </w:rPr>
        <w:t>3</w:t>
      </w:r>
      <w:r w:rsidR="003F06FD" w:rsidRPr="002D35D5">
        <w:rPr>
          <w:b/>
          <w:szCs w:val="24"/>
          <w:u w:val="none"/>
        </w:rPr>
        <w:t>.</w:t>
      </w:r>
      <w:r w:rsidR="003F06FD" w:rsidRPr="002D35D5">
        <w:rPr>
          <w:b/>
          <w:szCs w:val="24"/>
          <w:u w:val="none"/>
        </w:rPr>
        <w:tab/>
      </w:r>
      <w:r w:rsidR="00DB42DD" w:rsidRPr="002D35D5">
        <w:rPr>
          <w:b/>
          <w:szCs w:val="24"/>
          <w:u w:val="none"/>
        </w:rPr>
        <w:t>Initial Police Search Advisor Course (POLSA) for Training from the College of Policing at a costs of £13,116</w:t>
      </w:r>
      <w:r w:rsidR="00036C10" w:rsidRPr="002D35D5">
        <w:rPr>
          <w:b/>
          <w:szCs w:val="24"/>
          <w:u w:val="none"/>
        </w:rPr>
        <w:t>.</w:t>
      </w:r>
    </w:p>
    <w:p w:rsidR="000B75B6" w:rsidRPr="002D35D5" w:rsidRDefault="000B75B6" w:rsidP="000B75B6">
      <w:pPr>
        <w:pStyle w:val="BodyText2"/>
        <w:ind w:left="709" w:hanging="709"/>
        <w:jc w:val="both"/>
        <w:rPr>
          <w:b/>
          <w:szCs w:val="24"/>
          <w:u w:val="none"/>
        </w:rPr>
      </w:pPr>
    </w:p>
    <w:p w:rsidR="00644DED" w:rsidRPr="002D35D5" w:rsidRDefault="000B75B6" w:rsidP="00644DED">
      <w:pPr>
        <w:pStyle w:val="BodyText2"/>
        <w:ind w:left="709" w:hanging="709"/>
        <w:jc w:val="both"/>
        <w:rPr>
          <w:szCs w:val="24"/>
          <w:u w:val="none"/>
        </w:rPr>
      </w:pPr>
      <w:r w:rsidRPr="002D35D5">
        <w:rPr>
          <w:szCs w:val="24"/>
          <w:u w:val="none"/>
        </w:rPr>
        <w:t>3.1</w:t>
      </w:r>
      <w:r w:rsidRPr="002D35D5">
        <w:rPr>
          <w:szCs w:val="24"/>
          <w:u w:val="none"/>
        </w:rPr>
        <w:tab/>
      </w:r>
      <w:r w:rsidR="00DB42DD" w:rsidRPr="002D35D5">
        <w:rPr>
          <w:szCs w:val="24"/>
          <w:u w:val="none"/>
        </w:rPr>
        <w:t xml:space="preserve">The Force currently has 6 accredited POLSA </w:t>
      </w:r>
      <w:r w:rsidR="00644DED" w:rsidRPr="002D35D5">
        <w:rPr>
          <w:szCs w:val="24"/>
          <w:u w:val="none"/>
        </w:rPr>
        <w:t xml:space="preserve">Officers </w:t>
      </w:r>
      <w:r w:rsidR="00BB5E50" w:rsidRPr="002D35D5">
        <w:rPr>
          <w:szCs w:val="24"/>
          <w:u w:val="none"/>
        </w:rPr>
        <w:t>(</w:t>
      </w:r>
      <w:r w:rsidR="00644DED" w:rsidRPr="002D35D5">
        <w:rPr>
          <w:szCs w:val="24"/>
          <w:u w:val="none"/>
        </w:rPr>
        <w:t>a reduction of 1 since an officer left the Force unexpectedly in 2015</w:t>
      </w:r>
      <w:r w:rsidR="00BB5E50" w:rsidRPr="002D35D5">
        <w:rPr>
          <w:szCs w:val="24"/>
          <w:u w:val="none"/>
        </w:rPr>
        <w:t>). Attempts to train</w:t>
      </w:r>
      <w:r w:rsidR="00644DED" w:rsidRPr="002D35D5">
        <w:rPr>
          <w:szCs w:val="24"/>
          <w:u w:val="none"/>
        </w:rPr>
        <w:t xml:space="preserve"> additional officers in 2016 were unsuccessful due to lack of course availability.</w:t>
      </w:r>
    </w:p>
    <w:p w:rsidR="00644DED" w:rsidRPr="002D35D5" w:rsidRDefault="00644DED" w:rsidP="00644DED">
      <w:pPr>
        <w:pStyle w:val="BodyText2"/>
        <w:ind w:left="709" w:hanging="709"/>
        <w:jc w:val="both"/>
        <w:rPr>
          <w:szCs w:val="24"/>
          <w:u w:val="none"/>
        </w:rPr>
      </w:pPr>
    </w:p>
    <w:p w:rsidR="00644DED" w:rsidRPr="002D35D5" w:rsidRDefault="00644DED" w:rsidP="00644DED">
      <w:pPr>
        <w:pStyle w:val="BodyText2"/>
        <w:ind w:left="709" w:hanging="709"/>
        <w:jc w:val="both"/>
        <w:rPr>
          <w:szCs w:val="24"/>
          <w:u w:val="none"/>
        </w:rPr>
      </w:pPr>
      <w:r w:rsidRPr="002D35D5">
        <w:rPr>
          <w:szCs w:val="24"/>
          <w:u w:val="none"/>
        </w:rPr>
        <w:t>3.2</w:t>
      </w:r>
      <w:r w:rsidRPr="002D35D5">
        <w:rPr>
          <w:szCs w:val="24"/>
          <w:u w:val="none"/>
        </w:rPr>
        <w:tab/>
        <w:t xml:space="preserve">In order to plan for the future requirements of the organisation (3 of the current POLSA </w:t>
      </w:r>
      <w:proofErr w:type="spellStart"/>
      <w:r w:rsidRPr="002D35D5">
        <w:rPr>
          <w:szCs w:val="24"/>
          <w:u w:val="none"/>
        </w:rPr>
        <w:t>trainied</w:t>
      </w:r>
      <w:proofErr w:type="spellEnd"/>
      <w:r w:rsidRPr="002D35D5">
        <w:rPr>
          <w:szCs w:val="24"/>
          <w:u w:val="none"/>
        </w:rPr>
        <w:t xml:space="preserve"> officers are due </w:t>
      </w:r>
      <w:r w:rsidR="00036C10" w:rsidRPr="002D35D5">
        <w:rPr>
          <w:szCs w:val="24"/>
          <w:u w:val="none"/>
        </w:rPr>
        <w:t>to retire</w:t>
      </w:r>
      <w:r w:rsidRPr="002D35D5">
        <w:rPr>
          <w:szCs w:val="24"/>
          <w:u w:val="none"/>
        </w:rPr>
        <w:t xml:space="preserve"> in the next 2 and half years), a request for 3 places</w:t>
      </w:r>
      <w:r w:rsidR="00BB5E50" w:rsidRPr="002D35D5">
        <w:rPr>
          <w:szCs w:val="24"/>
          <w:u w:val="none"/>
        </w:rPr>
        <w:t xml:space="preserve"> has been submitted (these </w:t>
      </w:r>
      <w:r w:rsidRPr="002D35D5">
        <w:rPr>
          <w:szCs w:val="24"/>
          <w:u w:val="none"/>
        </w:rPr>
        <w:t>p</w:t>
      </w:r>
      <w:r w:rsidR="00BB5E50" w:rsidRPr="002D35D5">
        <w:rPr>
          <w:szCs w:val="24"/>
          <w:u w:val="none"/>
        </w:rPr>
        <w:t>l</w:t>
      </w:r>
      <w:r w:rsidRPr="002D35D5">
        <w:rPr>
          <w:szCs w:val="24"/>
          <w:u w:val="none"/>
        </w:rPr>
        <w:t>aces are not guaranteed).</w:t>
      </w:r>
    </w:p>
    <w:p w:rsidR="00644DED" w:rsidRPr="002D35D5" w:rsidRDefault="00644DED" w:rsidP="00644DED">
      <w:pPr>
        <w:pStyle w:val="BodyText2"/>
        <w:ind w:left="720"/>
        <w:jc w:val="both"/>
        <w:rPr>
          <w:szCs w:val="24"/>
          <w:u w:val="none"/>
        </w:rPr>
      </w:pPr>
    </w:p>
    <w:p w:rsidR="00644DED" w:rsidRPr="002D35D5" w:rsidRDefault="00644DED" w:rsidP="00644DED">
      <w:pPr>
        <w:pStyle w:val="BodyText2"/>
        <w:numPr>
          <w:ilvl w:val="1"/>
          <w:numId w:val="2"/>
        </w:numPr>
        <w:jc w:val="both"/>
        <w:rPr>
          <w:szCs w:val="24"/>
          <w:u w:val="none"/>
        </w:rPr>
      </w:pPr>
      <w:r w:rsidRPr="002D35D5">
        <w:rPr>
          <w:szCs w:val="24"/>
          <w:u w:val="none"/>
        </w:rPr>
        <w:t>The College of Policing are the sole provider of this course and therefore the provider is proprietary.</w:t>
      </w:r>
    </w:p>
    <w:p w:rsidR="000B75B6" w:rsidRPr="002D35D5" w:rsidRDefault="00644DED" w:rsidP="00644DED">
      <w:pPr>
        <w:pStyle w:val="BodyText2"/>
        <w:ind w:left="720"/>
        <w:jc w:val="both"/>
        <w:rPr>
          <w:szCs w:val="24"/>
          <w:u w:val="none"/>
        </w:rPr>
      </w:pPr>
      <w:r w:rsidRPr="002D35D5">
        <w:rPr>
          <w:szCs w:val="24"/>
          <w:u w:val="none"/>
        </w:rPr>
        <w:t xml:space="preserve"> </w:t>
      </w:r>
    </w:p>
    <w:p w:rsidR="00644DED" w:rsidRPr="002D35D5" w:rsidRDefault="00644DED" w:rsidP="000B75B6">
      <w:pPr>
        <w:pStyle w:val="BodyText2"/>
        <w:numPr>
          <w:ilvl w:val="0"/>
          <w:numId w:val="4"/>
        </w:numPr>
        <w:jc w:val="both"/>
        <w:rPr>
          <w:b/>
          <w:szCs w:val="24"/>
          <w:u w:val="none"/>
        </w:rPr>
      </w:pPr>
      <w:r w:rsidRPr="002D35D5">
        <w:rPr>
          <w:b/>
          <w:szCs w:val="24"/>
          <w:u w:val="none"/>
        </w:rPr>
        <w:t xml:space="preserve">     Replacement of Docking Stations for ICT at a cost of £18,641 from</w:t>
      </w:r>
    </w:p>
    <w:p w:rsidR="000B75B6" w:rsidRPr="002D35D5" w:rsidRDefault="00644DED" w:rsidP="00644DED">
      <w:pPr>
        <w:pStyle w:val="BodyText2"/>
        <w:ind w:left="360"/>
        <w:jc w:val="both"/>
        <w:rPr>
          <w:b/>
          <w:szCs w:val="24"/>
          <w:u w:val="none"/>
        </w:rPr>
      </w:pPr>
      <w:r w:rsidRPr="002D35D5">
        <w:rPr>
          <w:b/>
          <w:szCs w:val="24"/>
          <w:u w:val="none"/>
        </w:rPr>
        <w:t xml:space="preserve">     </w:t>
      </w:r>
      <w:proofErr w:type="spellStart"/>
      <w:r w:rsidRPr="002D35D5">
        <w:rPr>
          <w:b/>
          <w:szCs w:val="24"/>
          <w:u w:val="none"/>
        </w:rPr>
        <w:t>Eptheca</w:t>
      </w:r>
      <w:proofErr w:type="spellEnd"/>
      <w:r w:rsidRPr="002D35D5">
        <w:rPr>
          <w:b/>
          <w:szCs w:val="24"/>
          <w:u w:val="none"/>
        </w:rPr>
        <w:t xml:space="preserve"> Global</w:t>
      </w:r>
      <w:r w:rsidR="00036C10" w:rsidRPr="002D35D5">
        <w:rPr>
          <w:b/>
          <w:szCs w:val="24"/>
          <w:u w:val="none"/>
        </w:rPr>
        <w:t>.</w:t>
      </w:r>
    </w:p>
    <w:p w:rsidR="000B75B6" w:rsidRPr="002D35D5" w:rsidRDefault="000B75B6" w:rsidP="000B75B6">
      <w:pPr>
        <w:pStyle w:val="BodyText2"/>
        <w:ind w:left="709" w:hanging="709"/>
        <w:jc w:val="both"/>
        <w:rPr>
          <w:b/>
          <w:szCs w:val="24"/>
          <w:u w:val="none"/>
        </w:rPr>
      </w:pPr>
    </w:p>
    <w:p w:rsidR="00644DED" w:rsidRPr="002D35D5" w:rsidRDefault="000B75B6" w:rsidP="000B75B6">
      <w:pPr>
        <w:pStyle w:val="BodyText2"/>
        <w:ind w:left="709" w:hanging="709"/>
        <w:jc w:val="both"/>
        <w:rPr>
          <w:szCs w:val="24"/>
          <w:u w:val="none"/>
        </w:rPr>
      </w:pPr>
      <w:r w:rsidRPr="002D35D5">
        <w:rPr>
          <w:szCs w:val="24"/>
          <w:u w:val="none"/>
        </w:rPr>
        <w:t xml:space="preserve"> 4.1</w:t>
      </w:r>
      <w:r w:rsidRPr="002D35D5">
        <w:rPr>
          <w:szCs w:val="24"/>
          <w:u w:val="none"/>
        </w:rPr>
        <w:tab/>
      </w:r>
      <w:r w:rsidR="00644DED" w:rsidRPr="002D35D5">
        <w:rPr>
          <w:szCs w:val="24"/>
          <w:u w:val="none"/>
        </w:rPr>
        <w:t>The existing docking stations used by the control room in the event of an ICCS failure are old and the transmission quality has degraded to the point where many are unusable.</w:t>
      </w:r>
    </w:p>
    <w:p w:rsidR="00644DED" w:rsidRPr="002D35D5" w:rsidRDefault="00644DED" w:rsidP="000B75B6">
      <w:pPr>
        <w:pStyle w:val="BodyText2"/>
        <w:ind w:left="709" w:hanging="709"/>
        <w:jc w:val="both"/>
        <w:rPr>
          <w:szCs w:val="24"/>
          <w:u w:val="none"/>
        </w:rPr>
      </w:pPr>
    </w:p>
    <w:p w:rsidR="00644DED" w:rsidRPr="002D35D5" w:rsidRDefault="00644DED" w:rsidP="000B75B6">
      <w:pPr>
        <w:pStyle w:val="BodyText2"/>
        <w:ind w:left="709" w:hanging="709"/>
        <w:jc w:val="both"/>
        <w:rPr>
          <w:szCs w:val="24"/>
          <w:u w:val="none"/>
        </w:rPr>
      </w:pPr>
      <w:r w:rsidRPr="002D35D5">
        <w:rPr>
          <w:szCs w:val="24"/>
          <w:u w:val="none"/>
        </w:rPr>
        <w:t>4.2</w:t>
      </w:r>
      <w:r w:rsidRPr="002D35D5">
        <w:rPr>
          <w:szCs w:val="24"/>
          <w:u w:val="none"/>
        </w:rPr>
        <w:tab/>
        <w:t>A business case was approved to replace 15 of</w:t>
      </w:r>
      <w:r w:rsidR="00BB5E50" w:rsidRPr="002D35D5">
        <w:rPr>
          <w:szCs w:val="24"/>
          <w:u w:val="none"/>
        </w:rPr>
        <w:t xml:space="preserve"> the old docking </w:t>
      </w:r>
      <w:proofErr w:type="spellStart"/>
      <w:r w:rsidR="00BB5E50" w:rsidRPr="002D35D5">
        <w:rPr>
          <w:szCs w:val="24"/>
          <w:u w:val="none"/>
        </w:rPr>
        <w:t>stataions</w:t>
      </w:r>
      <w:proofErr w:type="spellEnd"/>
      <w:r w:rsidR="00BB5E50" w:rsidRPr="002D35D5">
        <w:rPr>
          <w:szCs w:val="24"/>
          <w:u w:val="none"/>
        </w:rPr>
        <w:t xml:space="preserve"> as pa</w:t>
      </w:r>
      <w:r w:rsidRPr="002D35D5">
        <w:rPr>
          <w:szCs w:val="24"/>
          <w:u w:val="none"/>
        </w:rPr>
        <w:t>rt of the 2016/17 capital programme.</w:t>
      </w:r>
    </w:p>
    <w:p w:rsidR="00BB5E50" w:rsidRPr="002D35D5" w:rsidRDefault="00BB5E50" w:rsidP="00BB5E50">
      <w:pPr>
        <w:pStyle w:val="BodyText2"/>
        <w:jc w:val="both"/>
        <w:rPr>
          <w:szCs w:val="24"/>
          <w:u w:val="none"/>
        </w:rPr>
      </w:pPr>
    </w:p>
    <w:p w:rsidR="00DC4FA7" w:rsidRPr="002D35D5" w:rsidRDefault="00644DED" w:rsidP="00BB5E50">
      <w:pPr>
        <w:pStyle w:val="BodyText2"/>
        <w:ind w:left="709" w:hanging="709"/>
        <w:jc w:val="both"/>
        <w:rPr>
          <w:bCs/>
          <w:color w:val="FF0000"/>
          <w:szCs w:val="24"/>
          <w:u w:val="none"/>
        </w:rPr>
      </w:pPr>
      <w:r w:rsidRPr="002D35D5">
        <w:rPr>
          <w:szCs w:val="24"/>
          <w:u w:val="none"/>
        </w:rPr>
        <w:lastRenderedPageBreak/>
        <w:t>4.3</w:t>
      </w:r>
      <w:r w:rsidRPr="002D35D5">
        <w:rPr>
          <w:szCs w:val="24"/>
          <w:u w:val="none"/>
        </w:rPr>
        <w:tab/>
      </w:r>
      <w:proofErr w:type="spellStart"/>
      <w:r w:rsidRPr="002D35D5">
        <w:rPr>
          <w:szCs w:val="24"/>
          <w:u w:val="none"/>
        </w:rPr>
        <w:t>Eptheca</w:t>
      </w:r>
      <w:proofErr w:type="spellEnd"/>
      <w:r w:rsidRPr="002D35D5">
        <w:rPr>
          <w:szCs w:val="24"/>
          <w:u w:val="none"/>
        </w:rPr>
        <w:t xml:space="preserve"> Global are the sole </w:t>
      </w:r>
      <w:proofErr w:type="spellStart"/>
      <w:r w:rsidRPr="002D35D5">
        <w:rPr>
          <w:szCs w:val="24"/>
          <w:u w:val="none"/>
        </w:rPr>
        <w:t>manufacturere</w:t>
      </w:r>
      <w:proofErr w:type="spellEnd"/>
      <w:r w:rsidRPr="002D35D5">
        <w:rPr>
          <w:szCs w:val="24"/>
          <w:u w:val="none"/>
        </w:rPr>
        <w:t xml:space="preserve"> and joint maintainer (with ICT) for the docking stations</w:t>
      </w:r>
      <w:r w:rsidR="00BB5E50" w:rsidRPr="002D35D5">
        <w:rPr>
          <w:szCs w:val="24"/>
          <w:u w:val="none"/>
        </w:rPr>
        <w:t xml:space="preserve"> which are the only product which</w:t>
      </w:r>
      <w:r w:rsidRPr="002D35D5">
        <w:rPr>
          <w:szCs w:val="24"/>
          <w:u w:val="none"/>
        </w:rPr>
        <w:t xml:space="preserve"> are compatible </w:t>
      </w:r>
      <w:r w:rsidR="00BB5E50" w:rsidRPr="002D35D5">
        <w:rPr>
          <w:szCs w:val="24"/>
          <w:u w:val="none"/>
        </w:rPr>
        <w:t>with our existing handsets and radio configuration.</w:t>
      </w:r>
    </w:p>
    <w:p w:rsidR="00D84C1F" w:rsidRPr="002D35D5" w:rsidRDefault="00D84C1F" w:rsidP="00D84C1F">
      <w:pPr>
        <w:pStyle w:val="BodyText2"/>
        <w:ind w:left="360"/>
        <w:jc w:val="both"/>
        <w:rPr>
          <w:bCs/>
          <w:color w:val="FF0000"/>
          <w:szCs w:val="24"/>
          <w:u w:val="none"/>
        </w:rPr>
      </w:pPr>
    </w:p>
    <w:p w:rsidR="00BB5E50" w:rsidRPr="002D35D5" w:rsidRDefault="000B75B6" w:rsidP="00BB5E50">
      <w:pPr>
        <w:pStyle w:val="BodyText2"/>
        <w:ind w:left="709" w:hanging="709"/>
        <w:jc w:val="both"/>
        <w:rPr>
          <w:b/>
          <w:szCs w:val="24"/>
          <w:u w:val="none"/>
        </w:rPr>
      </w:pPr>
      <w:r w:rsidRPr="002D35D5">
        <w:rPr>
          <w:b/>
          <w:szCs w:val="24"/>
          <w:u w:val="none"/>
        </w:rPr>
        <w:t>5</w:t>
      </w:r>
      <w:r w:rsidR="00FC3A46" w:rsidRPr="002D35D5">
        <w:rPr>
          <w:b/>
          <w:szCs w:val="24"/>
          <w:u w:val="none"/>
        </w:rPr>
        <w:t>.</w:t>
      </w:r>
      <w:r w:rsidR="00C049D6" w:rsidRPr="002D35D5">
        <w:rPr>
          <w:b/>
          <w:szCs w:val="24"/>
          <w:u w:val="none"/>
        </w:rPr>
        <w:t xml:space="preserve">  </w:t>
      </w:r>
      <w:r w:rsidR="00BB5E50" w:rsidRPr="002D35D5">
        <w:rPr>
          <w:b/>
          <w:szCs w:val="24"/>
          <w:u w:val="none"/>
        </w:rPr>
        <w:t xml:space="preserve">  </w:t>
      </w:r>
      <w:r w:rsidR="00C049D6" w:rsidRPr="002D35D5">
        <w:rPr>
          <w:b/>
          <w:szCs w:val="24"/>
          <w:u w:val="none"/>
        </w:rPr>
        <w:t xml:space="preserve"> </w:t>
      </w:r>
      <w:r w:rsidR="00BB5E50" w:rsidRPr="002D35D5">
        <w:rPr>
          <w:b/>
          <w:szCs w:val="24"/>
          <w:u w:val="none"/>
        </w:rPr>
        <w:t>Maintenance and Support of the ICCS for ICT at a cost of £59,172 from Capita.</w:t>
      </w:r>
    </w:p>
    <w:p w:rsidR="00BB5E50" w:rsidRPr="002D35D5" w:rsidRDefault="00BB5E50" w:rsidP="00BB5E50">
      <w:pPr>
        <w:pStyle w:val="BodyText2"/>
        <w:ind w:left="709" w:hanging="709"/>
        <w:jc w:val="both"/>
        <w:rPr>
          <w:b/>
          <w:szCs w:val="24"/>
          <w:u w:val="none"/>
        </w:rPr>
      </w:pPr>
    </w:p>
    <w:p w:rsidR="00BB5E50" w:rsidRPr="002D35D5" w:rsidRDefault="00BB5E50" w:rsidP="00BB5E50">
      <w:pPr>
        <w:pStyle w:val="BodyText2"/>
        <w:ind w:left="709" w:hanging="709"/>
        <w:jc w:val="both"/>
        <w:rPr>
          <w:szCs w:val="24"/>
          <w:u w:val="none"/>
        </w:rPr>
      </w:pPr>
      <w:r w:rsidRPr="002D35D5">
        <w:rPr>
          <w:szCs w:val="24"/>
          <w:u w:val="none"/>
        </w:rPr>
        <w:t xml:space="preserve"> 5.1</w:t>
      </w:r>
      <w:r w:rsidRPr="002D35D5">
        <w:rPr>
          <w:szCs w:val="24"/>
          <w:u w:val="none"/>
        </w:rPr>
        <w:tab/>
        <w:t>The Force has a Capita DS2000 ICCS System (Integrated Communications Control System) which is used by the Communications Centre despatchers.</w:t>
      </w:r>
    </w:p>
    <w:p w:rsidR="00BB5E50" w:rsidRPr="002D35D5" w:rsidRDefault="00BB5E50" w:rsidP="00BB5E50">
      <w:pPr>
        <w:pStyle w:val="BodyText2"/>
        <w:ind w:left="709" w:hanging="709"/>
        <w:jc w:val="both"/>
        <w:rPr>
          <w:szCs w:val="24"/>
          <w:u w:val="none"/>
        </w:rPr>
      </w:pPr>
    </w:p>
    <w:p w:rsidR="00BB5E50" w:rsidRPr="002D35D5" w:rsidRDefault="00BB5E50" w:rsidP="00BB5E50">
      <w:pPr>
        <w:pStyle w:val="BodyText2"/>
        <w:ind w:left="709" w:hanging="709"/>
        <w:jc w:val="both"/>
        <w:rPr>
          <w:szCs w:val="24"/>
          <w:u w:val="none"/>
        </w:rPr>
      </w:pPr>
      <w:r w:rsidRPr="002D35D5">
        <w:rPr>
          <w:szCs w:val="24"/>
          <w:u w:val="none"/>
        </w:rPr>
        <w:t xml:space="preserve"> 5.2</w:t>
      </w:r>
      <w:r w:rsidRPr="002D35D5">
        <w:rPr>
          <w:szCs w:val="24"/>
          <w:u w:val="none"/>
        </w:rPr>
        <w:tab/>
        <w:t xml:space="preserve">A capital bid has been approved and the procurement exercise is in progress for a replacement solution for the ICCS. The contract award and subsequent solution will not be operational until the earliest September 2017 at which point duel running of both ICCS will take place for a short </w:t>
      </w:r>
      <w:r w:rsidR="00036C10" w:rsidRPr="002D35D5">
        <w:rPr>
          <w:szCs w:val="24"/>
          <w:u w:val="none"/>
        </w:rPr>
        <w:t>period t</w:t>
      </w:r>
      <w:r w:rsidRPr="002D35D5">
        <w:rPr>
          <w:szCs w:val="24"/>
          <w:u w:val="none"/>
        </w:rPr>
        <w:t>herefore there is a need to extend the maintenance and support.</w:t>
      </w:r>
    </w:p>
    <w:p w:rsidR="00BB5E50" w:rsidRPr="002D35D5" w:rsidRDefault="00BB5E50" w:rsidP="00BB5E50">
      <w:pPr>
        <w:pStyle w:val="BodyText2"/>
        <w:ind w:left="709" w:hanging="709"/>
        <w:jc w:val="both"/>
        <w:rPr>
          <w:szCs w:val="24"/>
          <w:u w:val="none"/>
        </w:rPr>
      </w:pPr>
    </w:p>
    <w:p w:rsidR="00BB5E50" w:rsidRPr="002D35D5" w:rsidRDefault="00BB5E50" w:rsidP="00BB5E50">
      <w:pPr>
        <w:pStyle w:val="BodyText2"/>
        <w:ind w:left="709" w:hanging="709"/>
        <w:jc w:val="both"/>
        <w:rPr>
          <w:szCs w:val="24"/>
          <w:u w:val="none"/>
        </w:rPr>
      </w:pPr>
      <w:r w:rsidRPr="002D35D5">
        <w:rPr>
          <w:szCs w:val="24"/>
          <w:u w:val="none"/>
        </w:rPr>
        <w:t>5.3</w:t>
      </w:r>
      <w:r w:rsidRPr="002D35D5">
        <w:rPr>
          <w:szCs w:val="24"/>
          <w:u w:val="none"/>
        </w:rPr>
        <w:tab/>
        <w:t>Capita are the sole provider of the DS2000 and therefore proprietary.</w:t>
      </w:r>
    </w:p>
    <w:p w:rsidR="00455AC7" w:rsidRPr="002D35D5" w:rsidRDefault="00455AC7" w:rsidP="00BB5E50">
      <w:pPr>
        <w:pStyle w:val="BodyText2"/>
        <w:ind w:left="709" w:hanging="709"/>
        <w:jc w:val="both"/>
        <w:rPr>
          <w:bCs/>
          <w:szCs w:val="24"/>
          <w:u w:val="none"/>
        </w:rPr>
      </w:pPr>
    </w:p>
    <w:p w:rsidR="00BB5E50" w:rsidRPr="002D35D5" w:rsidRDefault="00BD5C5C" w:rsidP="00BB5E50">
      <w:pPr>
        <w:pStyle w:val="BodyText2"/>
        <w:ind w:left="709" w:hanging="709"/>
        <w:jc w:val="both"/>
        <w:rPr>
          <w:b/>
          <w:bCs/>
          <w:szCs w:val="24"/>
          <w:u w:val="none"/>
        </w:rPr>
      </w:pPr>
      <w:r w:rsidRPr="002D35D5">
        <w:rPr>
          <w:b/>
          <w:bCs/>
          <w:szCs w:val="24"/>
          <w:u w:val="none"/>
        </w:rPr>
        <w:t>6</w:t>
      </w:r>
      <w:r w:rsidR="00455AC7" w:rsidRPr="002D35D5">
        <w:rPr>
          <w:b/>
          <w:bCs/>
          <w:szCs w:val="24"/>
          <w:u w:val="none"/>
        </w:rPr>
        <w:t>.</w:t>
      </w:r>
      <w:r w:rsidR="00455AC7" w:rsidRPr="002D35D5">
        <w:rPr>
          <w:b/>
          <w:bCs/>
          <w:szCs w:val="24"/>
          <w:u w:val="none"/>
        </w:rPr>
        <w:tab/>
      </w:r>
      <w:r w:rsidR="00A44136" w:rsidRPr="002D35D5">
        <w:rPr>
          <w:b/>
          <w:bCs/>
          <w:szCs w:val="24"/>
          <w:u w:val="none"/>
        </w:rPr>
        <w:t xml:space="preserve">Support and Maintenance for </w:t>
      </w:r>
      <w:proofErr w:type="spellStart"/>
      <w:r w:rsidR="00A44136" w:rsidRPr="002D35D5">
        <w:rPr>
          <w:b/>
          <w:bCs/>
          <w:szCs w:val="24"/>
          <w:u w:val="none"/>
        </w:rPr>
        <w:t>iShareGIS</w:t>
      </w:r>
      <w:proofErr w:type="spellEnd"/>
      <w:r w:rsidR="00A44136" w:rsidRPr="002D35D5">
        <w:rPr>
          <w:b/>
          <w:bCs/>
          <w:szCs w:val="24"/>
          <w:u w:val="none"/>
        </w:rPr>
        <w:t xml:space="preserve"> Open Enterprise Agreement for ICT at a cost of £12,945</w:t>
      </w:r>
      <w:r w:rsidR="00BB5E50" w:rsidRPr="002D35D5">
        <w:rPr>
          <w:b/>
          <w:bCs/>
          <w:szCs w:val="24"/>
          <w:u w:val="none"/>
        </w:rPr>
        <w:t xml:space="preserve">from </w:t>
      </w:r>
      <w:proofErr w:type="spellStart"/>
      <w:r w:rsidR="00BB5E50" w:rsidRPr="002D35D5">
        <w:rPr>
          <w:b/>
          <w:bCs/>
          <w:szCs w:val="24"/>
          <w:u w:val="none"/>
        </w:rPr>
        <w:t>Astun</w:t>
      </w:r>
      <w:proofErr w:type="spellEnd"/>
      <w:r w:rsidR="00BB5E50" w:rsidRPr="002D35D5">
        <w:rPr>
          <w:b/>
          <w:bCs/>
          <w:szCs w:val="24"/>
          <w:u w:val="none"/>
        </w:rPr>
        <w:t xml:space="preserve"> Technology</w:t>
      </w:r>
      <w:r w:rsidR="00036C10" w:rsidRPr="002D35D5">
        <w:rPr>
          <w:b/>
          <w:bCs/>
          <w:szCs w:val="24"/>
          <w:u w:val="none"/>
        </w:rPr>
        <w:t>.</w:t>
      </w:r>
    </w:p>
    <w:p w:rsidR="00BB5E50" w:rsidRPr="002D35D5" w:rsidRDefault="00BB5E50" w:rsidP="00BB5E50">
      <w:pPr>
        <w:pStyle w:val="BodyText2"/>
        <w:jc w:val="both"/>
        <w:rPr>
          <w:b/>
          <w:bCs/>
          <w:szCs w:val="24"/>
        </w:rPr>
      </w:pPr>
    </w:p>
    <w:p w:rsidR="00BB5E50" w:rsidRPr="002D35D5" w:rsidRDefault="00A44136" w:rsidP="00BB5E50">
      <w:pPr>
        <w:pStyle w:val="BodyText2"/>
        <w:ind w:left="709" w:hanging="709"/>
        <w:jc w:val="both"/>
        <w:rPr>
          <w:szCs w:val="24"/>
          <w:u w:val="none"/>
        </w:rPr>
      </w:pPr>
      <w:r w:rsidRPr="002D35D5">
        <w:rPr>
          <w:szCs w:val="24"/>
          <w:u w:val="none"/>
        </w:rPr>
        <w:t>6</w:t>
      </w:r>
      <w:r w:rsidR="00BB5E50" w:rsidRPr="002D35D5">
        <w:rPr>
          <w:szCs w:val="24"/>
          <w:u w:val="none"/>
        </w:rPr>
        <w:t>.1</w:t>
      </w:r>
      <w:r w:rsidR="00BB5E50" w:rsidRPr="002D35D5">
        <w:rPr>
          <w:szCs w:val="24"/>
          <w:u w:val="none"/>
        </w:rPr>
        <w:tab/>
      </w:r>
      <w:proofErr w:type="spellStart"/>
      <w:r w:rsidR="00BB5E50" w:rsidRPr="002D35D5">
        <w:rPr>
          <w:szCs w:val="24"/>
          <w:u w:val="none"/>
        </w:rPr>
        <w:t>iMap</w:t>
      </w:r>
      <w:proofErr w:type="spellEnd"/>
      <w:r w:rsidR="00BB5E50" w:rsidRPr="002D35D5">
        <w:rPr>
          <w:szCs w:val="24"/>
          <w:u w:val="none"/>
        </w:rPr>
        <w:t xml:space="preserve"> is a bespoke web mapping application developed by </w:t>
      </w:r>
      <w:proofErr w:type="spellStart"/>
      <w:r w:rsidR="00BB5E50" w:rsidRPr="002D35D5">
        <w:rPr>
          <w:szCs w:val="24"/>
          <w:u w:val="none"/>
        </w:rPr>
        <w:t>Astun</w:t>
      </w:r>
      <w:proofErr w:type="spellEnd"/>
      <w:r w:rsidR="00BB5E50" w:rsidRPr="002D35D5">
        <w:rPr>
          <w:szCs w:val="24"/>
          <w:u w:val="none"/>
        </w:rPr>
        <w:t xml:space="preserve"> Technology and is used extensively in Neighbourhood Policing Teams to self brief and maintain an up</w:t>
      </w:r>
      <w:r w:rsidR="00036C10" w:rsidRPr="002D35D5">
        <w:rPr>
          <w:szCs w:val="24"/>
          <w:u w:val="none"/>
        </w:rPr>
        <w:t xml:space="preserve"> </w:t>
      </w:r>
      <w:r w:rsidR="00BB5E50" w:rsidRPr="002D35D5">
        <w:rPr>
          <w:szCs w:val="24"/>
          <w:u w:val="none"/>
        </w:rPr>
        <w:t xml:space="preserve">to date understanding of crime and incidents within their geographic area of </w:t>
      </w:r>
      <w:proofErr w:type="spellStart"/>
      <w:r w:rsidR="00BB5E50" w:rsidRPr="002D35D5">
        <w:rPr>
          <w:szCs w:val="24"/>
          <w:u w:val="none"/>
        </w:rPr>
        <w:t>responsbility</w:t>
      </w:r>
      <w:proofErr w:type="spellEnd"/>
      <w:r w:rsidR="00BB5E50" w:rsidRPr="002D35D5">
        <w:rPr>
          <w:szCs w:val="24"/>
          <w:u w:val="none"/>
        </w:rPr>
        <w:t>.</w:t>
      </w:r>
    </w:p>
    <w:p w:rsidR="00BB5E50" w:rsidRPr="002D35D5" w:rsidRDefault="00BB5E50" w:rsidP="00BB5E50">
      <w:pPr>
        <w:pStyle w:val="BodyText2"/>
        <w:ind w:left="709" w:hanging="709"/>
        <w:jc w:val="both"/>
        <w:rPr>
          <w:szCs w:val="24"/>
          <w:u w:val="none"/>
        </w:rPr>
      </w:pPr>
    </w:p>
    <w:p w:rsidR="00455AC7" w:rsidRPr="002D35D5" w:rsidRDefault="00A44136" w:rsidP="00BB5E50">
      <w:pPr>
        <w:pStyle w:val="BodyText2"/>
        <w:ind w:left="709" w:hanging="709"/>
        <w:jc w:val="both"/>
        <w:rPr>
          <w:szCs w:val="24"/>
          <w:u w:val="none"/>
        </w:rPr>
      </w:pPr>
      <w:r w:rsidRPr="002D35D5">
        <w:rPr>
          <w:szCs w:val="24"/>
          <w:u w:val="none"/>
        </w:rPr>
        <w:t>6</w:t>
      </w:r>
      <w:r w:rsidR="00BB5E50" w:rsidRPr="002D35D5">
        <w:rPr>
          <w:szCs w:val="24"/>
          <w:u w:val="none"/>
        </w:rPr>
        <w:t>.2</w:t>
      </w:r>
      <w:r w:rsidR="00BB5E50" w:rsidRPr="002D35D5">
        <w:rPr>
          <w:szCs w:val="24"/>
          <w:u w:val="none"/>
        </w:rPr>
        <w:tab/>
      </w:r>
      <w:r w:rsidRPr="002D35D5">
        <w:rPr>
          <w:szCs w:val="24"/>
          <w:u w:val="none"/>
        </w:rPr>
        <w:t xml:space="preserve">The support and maintenance for this system can only be provided by </w:t>
      </w:r>
      <w:proofErr w:type="spellStart"/>
      <w:r w:rsidRPr="002D35D5">
        <w:rPr>
          <w:szCs w:val="24"/>
          <w:u w:val="none"/>
        </w:rPr>
        <w:t>Astun</w:t>
      </w:r>
      <w:proofErr w:type="spellEnd"/>
      <w:r w:rsidRPr="002D35D5">
        <w:rPr>
          <w:szCs w:val="24"/>
          <w:u w:val="none"/>
        </w:rPr>
        <w:t xml:space="preserve"> technology as it is softw</w:t>
      </w:r>
      <w:r w:rsidR="00036C10" w:rsidRPr="002D35D5">
        <w:rPr>
          <w:szCs w:val="24"/>
          <w:u w:val="none"/>
        </w:rPr>
        <w:t>a</w:t>
      </w:r>
      <w:r w:rsidRPr="002D35D5">
        <w:rPr>
          <w:szCs w:val="24"/>
          <w:u w:val="none"/>
        </w:rPr>
        <w:t>re developed and owned by them, therefore this is proprietary.</w:t>
      </w:r>
    </w:p>
    <w:p w:rsidR="00A44136" w:rsidRPr="002D35D5" w:rsidRDefault="00A44136" w:rsidP="00BB5E50">
      <w:pPr>
        <w:pStyle w:val="BodyText2"/>
        <w:ind w:left="709" w:hanging="709"/>
        <w:jc w:val="both"/>
        <w:rPr>
          <w:szCs w:val="24"/>
        </w:rPr>
      </w:pPr>
    </w:p>
    <w:p w:rsidR="00A44136" w:rsidRPr="002D35D5" w:rsidRDefault="00BD5C5C" w:rsidP="00A44136">
      <w:pPr>
        <w:pStyle w:val="BodyText2"/>
        <w:ind w:left="709" w:hanging="709"/>
        <w:jc w:val="both"/>
        <w:rPr>
          <w:b/>
          <w:szCs w:val="24"/>
          <w:u w:val="none"/>
        </w:rPr>
      </w:pPr>
      <w:r w:rsidRPr="002D35D5">
        <w:rPr>
          <w:b/>
          <w:szCs w:val="24"/>
          <w:u w:val="none"/>
        </w:rPr>
        <w:t>7</w:t>
      </w:r>
      <w:r w:rsidR="00455AC7" w:rsidRPr="002D35D5">
        <w:rPr>
          <w:b/>
          <w:szCs w:val="24"/>
          <w:u w:val="none"/>
        </w:rPr>
        <w:t>.</w:t>
      </w:r>
      <w:r w:rsidR="00455AC7" w:rsidRPr="002D35D5">
        <w:rPr>
          <w:b/>
          <w:szCs w:val="24"/>
          <w:u w:val="none"/>
        </w:rPr>
        <w:tab/>
      </w:r>
      <w:r w:rsidR="00A44136" w:rsidRPr="002D35D5">
        <w:rPr>
          <w:b/>
          <w:szCs w:val="24"/>
          <w:u w:val="none"/>
        </w:rPr>
        <w:t xml:space="preserve">Renewal and purchase of Licences for </w:t>
      </w:r>
      <w:proofErr w:type="spellStart"/>
      <w:r w:rsidR="00A44136" w:rsidRPr="002D35D5">
        <w:rPr>
          <w:b/>
          <w:szCs w:val="24"/>
          <w:u w:val="none"/>
        </w:rPr>
        <w:t>Centurian</w:t>
      </w:r>
      <w:proofErr w:type="spellEnd"/>
      <w:r w:rsidR="00A44136" w:rsidRPr="002D35D5">
        <w:rPr>
          <w:b/>
          <w:szCs w:val="24"/>
          <w:u w:val="none"/>
        </w:rPr>
        <w:t xml:space="preserve"> Software by Professional Standards at a cost of £15,181 from FIS.</w:t>
      </w:r>
    </w:p>
    <w:p w:rsidR="00A44136" w:rsidRPr="002D35D5" w:rsidRDefault="00A44136" w:rsidP="00A44136">
      <w:pPr>
        <w:pStyle w:val="BodyText2"/>
        <w:ind w:left="709" w:hanging="709"/>
        <w:jc w:val="both"/>
        <w:rPr>
          <w:b/>
          <w:szCs w:val="24"/>
          <w:u w:val="none"/>
        </w:rPr>
      </w:pPr>
    </w:p>
    <w:p w:rsidR="00A44136" w:rsidRPr="002D35D5" w:rsidRDefault="00A44136" w:rsidP="00A44136">
      <w:pPr>
        <w:pStyle w:val="BodyText2"/>
        <w:ind w:left="709" w:hanging="709"/>
        <w:jc w:val="both"/>
        <w:rPr>
          <w:szCs w:val="24"/>
          <w:u w:val="none"/>
        </w:rPr>
      </w:pPr>
      <w:r w:rsidRPr="002D35D5">
        <w:rPr>
          <w:szCs w:val="24"/>
          <w:u w:val="none"/>
        </w:rPr>
        <w:t>7.1</w:t>
      </w:r>
      <w:r w:rsidRPr="002D35D5">
        <w:rPr>
          <w:szCs w:val="24"/>
          <w:u w:val="none"/>
        </w:rPr>
        <w:tab/>
      </w:r>
      <w:proofErr w:type="spellStart"/>
      <w:r w:rsidRPr="002D35D5">
        <w:rPr>
          <w:szCs w:val="24"/>
          <w:u w:val="none"/>
        </w:rPr>
        <w:t>Centrurian</w:t>
      </w:r>
      <w:proofErr w:type="spellEnd"/>
      <w:r w:rsidRPr="002D35D5">
        <w:rPr>
          <w:szCs w:val="24"/>
          <w:u w:val="none"/>
        </w:rPr>
        <w:t xml:space="preserve"> software is a nationally recognised database for Professional Standards case handling. 40 of the 43 Forces currently use this database and there is no recognised and tested alternative.</w:t>
      </w:r>
    </w:p>
    <w:p w:rsidR="00A44136" w:rsidRPr="002D35D5" w:rsidRDefault="00A44136" w:rsidP="00A44136">
      <w:pPr>
        <w:pStyle w:val="BodyText2"/>
        <w:jc w:val="both"/>
        <w:rPr>
          <w:szCs w:val="24"/>
          <w:u w:val="none"/>
        </w:rPr>
      </w:pPr>
      <w:r w:rsidRPr="002D35D5">
        <w:rPr>
          <w:szCs w:val="24"/>
          <w:u w:val="none"/>
        </w:rPr>
        <w:t xml:space="preserve"> </w:t>
      </w:r>
    </w:p>
    <w:p w:rsidR="00A44136" w:rsidRPr="002D35D5" w:rsidRDefault="00A44136" w:rsidP="00A44136">
      <w:pPr>
        <w:pStyle w:val="BodyText2"/>
        <w:ind w:left="709" w:hanging="709"/>
        <w:jc w:val="both"/>
        <w:rPr>
          <w:szCs w:val="24"/>
          <w:u w:val="none"/>
        </w:rPr>
      </w:pPr>
      <w:r w:rsidRPr="002D35D5">
        <w:rPr>
          <w:szCs w:val="24"/>
          <w:u w:val="none"/>
        </w:rPr>
        <w:t>7.2</w:t>
      </w:r>
      <w:r w:rsidRPr="002D35D5">
        <w:rPr>
          <w:szCs w:val="24"/>
          <w:u w:val="none"/>
        </w:rPr>
        <w:tab/>
        <w:t xml:space="preserve">Cleveland Police have utilised the </w:t>
      </w:r>
      <w:proofErr w:type="spellStart"/>
      <w:r w:rsidRPr="002D35D5">
        <w:rPr>
          <w:szCs w:val="24"/>
          <w:u w:val="none"/>
        </w:rPr>
        <w:t>Centurian</w:t>
      </w:r>
      <w:proofErr w:type="spellEnd"/>
      <w:r w:rsidRPr="002D35D5">
        <w:rPr>
          <w:szCs w:val="24"/>
          <w:u w:val="none"/>
        </w:rPr>
        <w:t xml:space="preserve"> Software for a number of years and this proprietary product is provided by FIS. This contract is renewed annually.</w:t>
      </w:r>
    </w:p>
    <w:p w:rsidR="00A44136" w:rsidRPr="002D35D5" w:rsidRDefault="00A44136" w:rsidP="00A44136">
      <w:pPr>
        <w:pStyle w:val="BodyText2"/>
        <w:ind w:left="709" w:hanging="709"/>
        <w:jc w:val="both"/>
        <w:rPr>
          <w:szCs w:val="24"/>
          <w:u w:val="none"/>
        </w:rPr>
      </w:pPr>
    </w:p>
    <w:p w:rsidR="00A44136" w:rsidRPr="002D35D5" w:rsidRDefault="00A44136" w:rsidP="00A44136">
      <w:pPr>
        <w:pStyle w:val="BodyText2"/>
        <w:ind w:left="709" w:hanging="709"/>
        <w:jc w:val="both"/>
        <w:rPr>
          <w:bCs/>
          <w:szCs w:val="24"/>
          <w:u w:val="none"/>
        </w:rPr>
      </w:pPr>
      <w:r w:rsidRPr="002D35D5">
        <w:rPr>
          <w:bCs/>
          <w:szCs w:val="24"/>
          <w:u w:val="none"/>
        </w:rPr>
        <w:t>7.3</w:t>
      </w:r>
      <w:r w:rsidRPr="002D35D5">
        <w:rPr>
          <w:bCs/>
          <w:szCs w:val="24"/>
          <w:u w:val="none"/>
        </w:rPr>
        <w:tab/>
        <w:t>The Force currently holds 20 licences; however currently have 27 users with further users to join the department; therefore the licences need to increase to 30 to ensure that we comply with the conditions of the licence agreement.</w:t>
      </w:r>
    </w:p>
    <w:p w:rsidR="00A44136" w:rsidRPr="002D35D5" w:rsidRDefault="00A44136" w:rsidP="00A44136">
      <w:pPr>
        <w:pStyle w:val="BodyText2"/>
        <w:ind w:left="709" w:hanging="709"/>
        <w:jc w:val="both"/>
        <w:rPr>
          <w:bCs/>
          <w:szCs w:val="24"/>
          <w:u w:val="none"/>
        </w:rPr>
      </w:pPr>
    </w:p>
    <w:p w:rsidR="00A44136" w:rsidRPr="002D35D5" w:rsidRDefault="00A44136" w:rsidP="00A44136">
      <w:pPr>
        <w:pStyle w:val="BodyText2"/>
        <w:ind w:left="709" w:hanging="709"/>
        <w:jc w:val="both"/>
        <w:rPr>
          <w:bCs/>
          <w:szCs w:val="24"/>
          <w:u w:val="none"/>
        </w:rPr>
      </w:pPr>
      <w:r w:rsidRPr="002D35D5">
        <w:rPr>
          <w:bCs/>
          <w:szCs w:val="24"/>
          <w:u w:val="none"/>
        </w:rPr>
        <w:t>7.4</w:t>
      </w:r>
      <w:r w:rsidRPr="002D35D5">
        <w:rPr>
          <w:bCs/>
          <w:szCs w:val="24"/>
          <w:u w:val="none"/>
        </w:rPr>
        <w:tab/>
        <w:t xml:space="preserve">FIS are the sole provider of </w:t>
      </w:r>
      <w:proofErr w:type="spellStart"/>
      <w:r w:rsidRPr="002D35D5">
        <w:rPr>
          <w:bCs/>
          <w:szCs w:val="24"/>
          <w:u w:val="none"/>
        </w:rPr>
        <w:t>Centurian</w:t>
      </w:r>
      <w:proofErr w:type="spellEnd"/>
      <w:r w:rsidRPr="002D35D5">
        <w:rPr>
          <w:bCs/>
          <w:szCs w:val="24"/>
          <w:u w:val="none"/>
        </w:rPr>
        <w:t xml:space="preserve"> Licences.</w:t>
      </w:r>
    </w:p>
    <w:p w:rsidR="002D35D5" w:rsidRPr="002D35D5" w:rsidRDefault="002D35D5" w:rsidP="00A44136">
      <w:pPr>
        <w:pStyle w:val="BodyText2"/>
        <w:ind w:left="709" w:hanging="709"/>
        <w:jc w:val="both"/>
        <w:rPr>
          <w:bCs/>
          <w:szCs w:val="24"/>
          <w:u w:val="none"/>
        </w:rPr>
      </w:pPr>
    </w:p>
    <w:p w:rsidR="002D35D5" w:rsidRPr="002D35D5" w:rsidRDefault="002D35D5" w:rsidP="00A44136">
      <w:pPr>
        <w:pStyle w:val="BodyText2"/>
        <w:ind w:left="709" w:hanging="709"/>
        <w:jc w:val="both"/>
        <w:rPr>
          <w:bCs/>
          <w:szCs w:val="24"/>
          <w:u w:val="none"/>
        </w:rPr>
      </w:pPr>
    </w:p>
    <w:p w:rsidR="002D35D5" w:rsidRPr="002D35D5" w:rsidRDefault="002D35D5" w:rsidP="00A44136">
      <w:pPr>
        <w:pStyle w:val="BodyText2"/>
        <w:ind w:left="709" w:hanging="709"/>
        <w:jc w:val="both"/>
        <w:rPr>
          <w:bCs/>
          <w:szCs w:val="24"/>
          <w:u w:val="none"/>
        </w:rPr>
      </w:pPr>
    </w:p>
    <w:p w:rsidR="002D35D5" w:rsidRPr="002D35D5" w:rsidRDefault="002D35D5" w:rsidP="00A44136">
      <w:pPr>
        <w:pStyle w:val="BodyText2"/>
        <w:ind w:left="709" w:hanging="709"/>
        <w:jc w:val="both"/>
        <w:rPr>
          <w:bCs/>
          <w:szCs w:val="24"/>
          <w:u w:val="none"/>
        </w:rPr>
      </w:pPr>
    </w:p>
    <w:p w:rsidR="004F1FE5" w:rsidRPr="002D35D5" w:rsidRDefault="00C02828" w:rsidP="007F023B">
      <w:pPr>
        <w:pStyle w:val="BodyText2"/>
        <w:ind w:left="709" w:hanging="709"/>
        <w:jc w:val="both"/>
        <w:rPr>
          <w:b/>
          <w:szCs w:val="24"/>
          <w:u w:val="none"/>
        </w:rPr>
      </w:pPr>
      <w:r w:rsidRPr="002D35D5">
        <w:rPr>
          <w:b/>
          <w:szCs w:val="24"/>
          <w:u w:val="none"/>
        </w:rPr>
        <w:lastRenderedPageBreak/>
        <w:t>8</w:t>
      </w:r>
      <w:r w:rsidR="007F023B" w:rsidRPr="002D35D5">
        <w:rPr>
          <w:b/>
          <w:szCs w:val="24"/>
          <w:u w:val="none"/>
        </w:rPr>
        <w:t>.</w:t>
      </w:r>
      <w:r w:rsidR="007F023B" w:rsidRPr="002D35D5">
        <w:rPr>
          <w:b/>
          <w:szCs w:val="24"/>
          <w:u w:val="none"/>
        </w:rPr>
        <w:tab/>
      </w:r>
      <w:r w:rsidR="006054EB" w:rsidRPr="002D35D5">
        <w:rPr>
          <w:b/>
          <w:szCs w:val="24"/>
          <w:u w:val="none"/>
        </w:rPr>
        <w:t xml:space="preserve">Purchase of </w:t>
      </w:r>
      <w:r w:rsidR="00675A96" w:rsidRPr="002D35D5">
        <w:rPr>
          <w:b/>
          <w:szCs w:val="24"/>
          <w:u w:val="none"/>
        </w:rPr>
        <w:t>ICT Consultancy for ICT at a cost of £18,500 from Intergraph</w:t>
      </w:r>
      <w:r w:rsidR="002D35D5">
        <w:rPr>
          <w:b/>
          <w:szCs w:val="24"/>
          <w:u w:val="none"/>
        </w:rPr>
        <w:t>.</w:t>
      </w:r>
      <w:r w:rsidR="0061798F" w:rsidRPr="002D35D5">
        <w:rPr>
          <w:b/>
          <w:szCs w:val="24"/>
          <w:u w:val="none"/>
        </w:rPr>
        <w:t xml:space="preserve"> </w:t>
      </w:r>
      <w:r w:rsidR="006054EB" w:rsidRPr="002D35D5">
        <w:rPr>
          <w:b/>
          <w:szCs w:val="24"/>
          <w:u w:val="none"/>
        </w:rPr>
        <w:t xml:space="preserve"> </w:t>
      </w:r>
    </w:p>
    <w:p w:rsidR="004F1FE5" w:rsidRPr="002D35D5" w:rsidRDefault="004F1FE5" w:rsidP="007F023B">
      <w:pPr>
        <w:pStyle w:val="BodyText2"/>
        <w:ind w:left="709" w:hanging="709"/>
        <w:jc w:val="both"/>
        <w:rPr>
          <w:b/>
          <w:szCs w:val="24"/>
          <w:u w:val="none"/>
        </w:rPr>
      </w:pPr>
    </w:p>
    <w:p w:rsidR="00675A96" w:rsidRPr="002D35D5" w:rsidRDefault="0061798F" w:rsidP="007F023B">
      <w:pPr>
        <w:pStyle w:val="BodyText2"/>
        <w:ind w:left="709" w:hanging="709"/>
        <w:jc w:val="both"/>
        <w:rPr>
          <w:szCs w:val="24"/>
          <w:u w:val="none"/>
        </w:rPr>
      </w:pPr>
      <w:r w:rsidRPr="002D35D5">
        <w:rPr>
          <w:szCs w:val="24"/>
          <w:u w:val="none"/>
        </w:rPr>
        <w:t>8</w:t>
      </w:r>
      <w:r w:rsidR="007F023B" w:rsidRPr="002D35D5">
        <w:rPr>
          <w:szCs w:val="24"/>
          <w:u w:val="none"/>
        </w:rPr>
        <w:t>.1</w:t>
      </w:r>
      <w:r w:rsidR="007F023B" w:rsidRPr="002D35D5">
        <w:rPr>
          <w:szCs w:val="24"/>
          <w:u w:val="none"/>
        </w:rPr>
        <w:tab/>
      </w:r>
      <w:r w:rsidR="00675A96" w:rsidRPr="002D35D5">
        <w:rPr>
          <w:szCs w:val="24"/>
          <w:u w:val="none"/>
        </w:rPr>
        <w:t xml:space="preserve">The Force currently deploys four products procured from </w:t>
      </w:r>
      <w:proofErr w:type="spellStart"/>
      <w:r w:rsidR="00675A96" w:rsidRPr="002D35D5">
        <w:rPr>
          <w:szCs w:val="24"/>
          <w:u w:val="none"/>
        </w:rPr>
        <w:t>Helmdart</w:t>
      </w:r>
      <w:proofErr w:type="spellEnd"/>
      <w:r w:rsidR="00675A96" w:rsidRPr="002D35D5">
        <w:rPr>
          <w:szCs w:val="24"/>
          <w:u w:val="none"/>
        </w:rPr>
        <w:t xml:space="preserve"> via Intergraph. These include </w:t>
      </w:r>
      <w:proofErr w:type="spellStart"/>
      <w:r w:rsidR="00675A96" w:rsidRPr="002D35D5">
        <w:rPr>
          <w:szCs w:val="24"/>
          <w:u w:val="none"/>
        </w:rPr>
        <w:t>i</w:t>
      </w:r>
      <w:proofErr w:type="spellEnd"/>
      <w:r w:rsidR="00675A96" w:rsidRPr="002D35D5">
        <w:rPr>
          <w:szCs w:val="24"/>
          <w:u w:val="none"/>
        </w:rPr>
        <w:t>/Dis</w:t>
      </w:r>
      <w:r w:rsidR="002D35D5" w:rsidRPr="002D35D5">
        <w:rPr>
          <w:szCs w:val="24"/>
          <w:u w:val="none"/>
        </w:rPr>
        <w:t>c</w:t>
      </w:r>
      <w:r w:rsidR="00675A96" w:rsidRPr="002D35D5">
        <w:rPr>
          <w:szCs w:val="24"/>
          <w:u w:val="none"/>
        </w:rPr>
        <w:t xml:space="preserve">losure, </w:t>
      </w:r>
      <w:proofErr w:type="spellStart"/>
      <w:r w:rsidR="00675A96" w:rsidRPr="002D35D5">
        <w:rPr>
          <w:szCs w:val="24"/>
          <w:u w:val="none"/>
        </w:rPr>
        <w:t>i</w:t>
      </w:r>
      <w:proofErr w:type="spellEnd"/>
      <w:r w:rsidR="00675A96" w:rsidRPr="002D35D5">
        <w:rPr>
          <w:szCs w:val="24"/>
          <w:u w:val="none"/>
        </w:rPr>
        <w:t xml:space="preserve">/PNC and </w:t>
      </w:r>
      <w:proofErr w:type="spellStart"/>
      <w:r w:rsidR="00675A96" w:rsidRPr="002D35D5">
        <w:rPr>
          <w:szCs w:val="24"/>
          <w:u w:val="none"/>
        </w:rPr>
        <w:t>i</w:t>
      </w:r>
      <w:proofErr w:type="spellEnd"/>
      <w:r w:rsidR="00675A96" w:rsidRPr="002D35D5">
        <w:rPr>
          <w:szCs w:val="24"/>
          <w:u w:val="none"/>
        </w:rPr>
        <w:t>/VET. These systems are supported by Intergraph.</w:t>
      </w:r>
    </w:p>
    <w:p w:rsidR="00675A96" w:rsidRPr="002D35D5" w:rsidRDefault="00675A96" w:rsidP="007F023B">
      <w:pPr>
        <w:pStyle w:val="BodyText2"/>
        <w:ind w:left="709" w:hanging="709"/>
        <w:jc w:val="both"/>
        <w:rPr>
          <w:szCs w:val="24"/>
          <w:u w:val="none"/>
        </w:rPr>
      </w:pPr>
    </w:p>
    <w:p w:rsidR="00675A96" w:rsidRPr="002D35D5" w:rsidRDefault="00675A96" w:rsidP="007F023B">
      <w:pPr>
        <w:pStyle w:val="BodyText2"/>
        <w:ind w:left="709" w:hanging="709"/>
        <w:jc w:val="both"/>
        <w:rPr>
          <w:szCs w:val="24"/>
          <w:u w:val="none"/>
        </w:rPr>
      </w:pPr>
      <w:r w:rsidRPr="002D35D5">
        <w:rPr>
          <w:szCs w:val="24"/>
          <w:u w:val="none"/>
        </w:rPr>
        <w:t>8.2</w:t>
      </w:r>
      <w:r w:rsidRPr="002D35D5">
        <w:rPr>
          <w:szCs w:val="24"/>
          <w:u w:val="none"/>
        </w:rPr>
        <w:tab/>
        <w:t xml:space="preserve">I Disclosure and </w:t>
      </w:r>
      <w:proofErr w:type="spellStart"/>
      <w:r w:rsidRPr="002D35D5">
        <w:rPr>
          <w:szCs w:val="24"/>
          <w:u w:val="none"/>
        </w:rPr>
        <w:t>i</w:t>
      </w:r>
      <w:proofErr w:type="spellEnd"/>
      <w:r w:rsidRPr="002D35D5">
        <w:rPr>
          <w:szCs w:val="24"/>
          <w:u w:val="none"/>
        </w:rPr>
        <w:t xml:space="preserve">/PNC are no longer supported in their current form of an </w:t>
      </w:r>
      <w:r w:rsidR="002D35D5" w:rsidRPr="002D35D5">
        <w:rPr>
          <w:szCs w:val="24"/>
          <w:u w:val="none"/>
        </w:rPr>
        <w:t>Oracle</w:t>
      </w:r>
      <w:r w:rsidRPr="002D35D5">
        <w:rPr>
          <w:szCs w:val="24"/>
          <w:u w:val="none"/>
        </w:rPr>
        <w:t xml:space="preserve"> database. There is a requirement to decommission the server which hosts these databases and applications, which provides an opportunity to migrate the data to the main Force database environment.</w:t>
      </w:r>
    </w:p>
    <w:p w:rsidR="00675A96" w:rsidRPr="002D35D5" w:rsidRDefault="00675A96" w:rsidP="007F023B">
      <w:pPr>
        <w:pStyle w:val="BodyText2"/>
        <w:ind w:left="709" w:hanging="709"/>
        <w:jc w:val="both"/>
        <w:rPr>
          <w:szCs w:val="24"/>
          <w:u w:val="none"/>
        </w:rPr>
      </w:pPr>
    </w:p>
    <w:p w:rsidR="00BE10E5" w:rsidRPr="002D35D5" w:rsidRDefault="00675A96" w:rsidP="00097889">
      <w:pPr>
        <w:pStyle w:val="BodyText2"/>
        <w:ind w:left="709" w:hanging="709"/>
        <w:jc w:val="both"/>
        <w:rPr>
          <w:szCs w:val="24"/>
          <w:u w:val="none"/>
        </w:rPr>
      </w:pPr>
      <w:r w:rsidRPr="002D35D5">
        <w:rPr>
          <w:szCs w:val="24"/>
          <w:u w:val="none"/>
        </w:rPr>
        <w:t>8.3</w:t>
      </w:r>
      <w:r w:rsidRPr="002D35D5">
        <w:rPr>
          <w:szCs w:val="24"/>
          <w:u w:val="none"/>
        </w:rPr>
        <w:tab/>
        <w:t xml:space="preserve">In order to migrate the databases and applications, the data </w:t>
      </w:r>
      <w:r w:rsidR="00495D7C" w:rsidRPr="002D35D5">
        <w:rPr>
          <w:szCs w:val="24"/>
          <w:u w:val="none"/>
        </w:rPr>
        <w:t>needs to be transferred from an</w:t>
      </w:r>
      <w:r w:rsidRPr="002D35D5">
        <w:rPr>
          <w:szCs w:val="24"/>
          <w:u w:val="none"/>
        </w:rPr>
        <w:t xml:space="preserve"> Oracle database to an MS-SQL database.</w:t>
      </w:r>
      <w:r w:rsidR="00495D7C" w:rsidRPr="002D35D5">
        <w:rPr>
          <w:szCs w:val="24"/>
          <w:u w:val="none"/>
        </w:rPr>
        <w:t xml:space="preserve"> Consultancy</w:t>
      </w:r>
      <w:r w:rsidR="00097889" w:rsidRPr="002D35D5">
        <w:rPr>
          <w:szCs w:val="24"/>
          <w:u w:val="none"/>
        </w:rPr>
        <w:t xml:space="preserve"> from Intergraph who </w:t>
      </w:r>
      <w:r w:rsidR="004A0E6E" w:rsidRPr="002D35D5">
        <w:rPr>
          <w:szCs w:val="24"/>
          <w:u w:val="none"/>
        </w:rPr>
        <w:t>provides</w:t>
      </w:r>
      <w:r w:rsidR="00097889" w:rsidRPr="002D35D5">
        <w:rPr>
          <w:szCs w:val="24"/>
          <w:u w:val="none"/>
        </w:rPr>
        <w:t xml:space="preserve"> support for these systems is required to aid the migration. As support is wholly provided by Intergraph these are the sole providers of this consultancy.</w:t>
      </w:r>
      <w:r w:rsidR="00BE10E5" w:rsidRPr="002D35D5">
        <w:rPr>
          <w:szCs w:val="24"/>
          <w:u w:val="none"/>
        </w:rPr>
        <w:t xml:space="preserve"> </w:t>
      </w:r>
    </w:p>
    <w:p w:rsidR="004C65A3" w:rsidRPr="002D35D5" w:rsidRDefault="004C65A3" w:rsidP="008E2265">
      <w:pPr>
        <w:jc w:val="both"/>
        <w:rPr>
          <w:rFonts w:ascii="Tahoma" w:hAnsi="Tahoma" w:cs="Tahoma"/>
          <w:b/>
          <w:sz w:val="24"/>
          <w:szCs w:val="24"/>
          <w:u w:val="single"/>
          <w:lang w:eastAsia="en-GB"/>
        </w:rPr>
      </w:pPr>
    </w:p>
    <w:p w:rsidR="00F6632B" w:rsidRPr="002D35D5" w:rsidRDefault="00BE10E5" w:rsidP="006176E8">
      <w:pPr>
        <w:pStyle w:val="BodyText2"/>
        <w:ind w:left="709" w:hanging="709"/>
        <w:jc w:val="both"/>
        <w:rPr>
          <w:b/>
          <w:szCs w:val="24"/>
          <w:u w:val="none"/>
        </w:rPr>
      </w:pPr>
      <w:r w:rsidRPr="002D35D5">
        <w:rPr>
          <w:b/>
          <w:szCs w:val="24"/>
          <w:u w:val="none"/>
        </w:rPr>
        <w:t>9</w:t>
      </w:r>
      <w:r w:rsidR="006176E8" w:rsidRPr="002D35D5">
        <w:rPr>
          <w:b/>
          <w:szCs w:val="24"/>
          <w:u w:val="none"/>
        </w:rPr>
        <w:t>.</w:t>
      </w:r>
      <w:r w:rsidR="006176E8" w:rsidRPr="002D35D5">
        <w:rPr>
          <w:b/>
          <w:szCs w:val="24"/>
          <w:u w:val="none"/>
        </w:rPr>
        <w:tab/>
      </w:r>
      <w:r w:rsidR="00097889" w:rsidRPr="002D35D5">
        <w:rPr>
          <w:b/>
          <w:szCs w:val="24"/>
          <w:u w:val="none"/>
        </w:rPr>
        <w:t>Purchase of Consultancy Services for Executive at a cost of £23,625 from John Armstrong</w:t>
      </w:r>
      <w:r w:rsidR="004C65A3" w:rsidRPr="002D35D5">
        <w:rPr>
          <w:b/>
          <w:szCs w:val="24"/>
          <w:u w:val="none"/>
        </w:rPr>
        <w:t>.</w:t>
      </w:r>
    </w:p>
    <w:p w:rsidR="00F6632B" w:rsidRPr="002D35D5" w:rsidRDefault="00F6632B" w:rsidP="006176E8">
      <w:pPr>
        <w:pStyle w:val="BodyText2"/>
        <w:ind w:left="709" w:hanging="709"/>
        <w:jc w:val="both"/>
        <w:rPr>
          <w:b/>
          <w:szCs w:val="24"/>
          <w:u w:val="none"/>
        </w:rPr>
      </w:pPr>
    </w:p>
    <w:p w:rsidR="00AA6124" w:rsidRPr="002D35D5" w:rsidRDefault="00BE10E5" w:rsidP="006176E8">
      <w:pPr>
        <w:pStyle w:val="BodyText2"/>
        <w:ind w:left="709" w:hanging="709"/>
        <w:jc w:val="both"/>
        <w:rPr>
          <w:szCs w:val="24"/>
          <w:u w:val="none"/>
        </w:rPr>
      </w:pPr>
      <w:r w:rsidRPr="002D35D5">
        <w:rPr>
          <w:szCs w:val="24"/>
          <w:u w:val="none"/>
        </w:rPr>
        <w:t>9</w:t>
      </w:r>
      <w:r w:rsidR="006176E8" w:rsidRPr="002D35D5">
        <w:rPr>
          <w:szCs w:val="24"/>
          <w:u w:val="none"/>
        </w:rPr>
        <w:t>.1</w:t>
      </w:r>
      <w:r w:rsidR="006176E8" w:rsidRPr="002D35D5">
        <w:rPr>
          <w:szCs w:val="24"/>
          <w:u w:val="none"/>
        </w:rPr>
        <w:tab/>
      </w:r>
      <w:r w:rsidR="00AA6124" w:rsidRPr="002D35D5">
        <w:rPr>
          <w:szCs w:val="24"/>
          <w:u w:val="none"/>
        </w:rPr>
        <w:t>As part of the Forces Strategic Plan,</w:t>
      </w:r>
      <w:r w:rsidR="002D35D5">
        <w:rPr>
          <w:szCs w:val="24"/>
          <w:u w:val="none"/>
        </w:rPr>
        <w:t xml:space="preserve"> the</w:t>
      </w:r>
      <w:r w:rsidR="00AA6124" w:rsidRPr="002D35D5">
        <w:rPr>
          <w:szCs w:val="24"/>
          <w:u w:val="none"/>
        </w:rPr>
        <w:t xml:space="preserve"> Professional Standards </w:t>
      </w:r>
      <w:r w:rsidR="002D35D5">
        <w:rPr>
          <w:szCs w:val="24"/>
          <w:u w:val="none"/>
        </w:rPr>
        <w:t xml:space="preserve">Department </w:t>
      </w:r>
      <w:r w:rsidR="00AA6124" w:rsidRPr="002D35D5">
        <w:rPr>
          <w:szCs w:val="24"/>
          <w:u w:val="none"/>
        </w:rPr>
        <w:t>(PSD) was scheduled to be reviewed in 2017. The recent misconduct hearing has placed additional focus and emphasis on the manner of the review and has brought forward the timetable for the review to be conducted.</w:t>
      </w:r>
    </w:p>
    <w:p w:rsidR="00AA6124" w:rsidRPr="002D35D5" w:rsidRDefault="00AA6124" w:rsidP="006176E8">
      <w:pPr>
        <w:pStyle w:val="BodyText2"/>
        <w:ind w:left="709" w:hanging="709"/>
        <w:jc w:val="both"/>
        <w:rPr>
          <w:szCs w:val="24"/>
          <w:u w:val="none"/>
        </w:rPr>
      </w:pPr>
    </w:p>
    <w:p w:rsidR="00AA6124" w:rsidRPr="002D35D5" w:rsidRDefault="00BE10E5" w:rsidP="006176E8">
      <w:pPr>
        <w:pStyle w:val="BodyText2"/>
        <w:ind w:left="709" w:hanging="709"/>
        <w:jc w:val="both"/>
        <w:rPr>
          <w:szCs w:val="24"/>
          <w:u w:val="none"/>
        </w:rPr>
      </w:pPr>
      <w:r w:rsidRPr="002D35D5">
        <w:rPr>
          <w:szCs w:val="24"/>
          <w:u w:val="none"/>
        </w:rPr>
        <w:t>9.2</w:t>
      </w:r>
      <w:r w:rsidRPr="002D35D5">
        <w:rPr>
          <w:szCs w:val="24"/>
          <w:u w:val="none"/>
        </w:rPr>
        <w:tab/>
      </w:r>
      <w:r w:rsidR="00AA6124" w:rsidRPr="002D35D5">
        <w:rPr>
          <w:szCs w:val="24"/>
          <w:u w:val="none"/>
        </w:rPr>
        <w:t>The review is to be a transformational review of Professional Standards, assisting in drawing up terms of reference, providing mentoring and coaching and provide an independent organisational learning review into the handling of the recent criminal and misconduct investigation.</w:t>
      </w:r>
    </w:p>
    <w:p w:rsidR="00AA6124" w:rsidRPr="002D35D5" w:rsidRDefault="00AA6124" w:rsidP="006176E8">
      <w:pPr>
        <w:pStyle w:val="BodyText2"/>
        <w:ind w:left="709" w:hanging="709"/>
        <w:jc w:val="both"/>
        <w:rPr>
          <w:szCs w:val="24"/>
          <w:u w:val="none"/>
        </w:rPr>
      </w:pPr>
    </w:p>
    <w:p w:rsidR="006054EB" w:rsidRPr="002D35D5" w:rsidRDefault="007B5D35" w:rsidP="00EC564F">
      <w:pPr>
        <w:pStyle w:val="BodyText2"/>
        <w:ind w:left="709" w:hanging="709"/>
        <w:jc w:val="both"/>
        <w:rPr>
          <w:szCs w:val="24"/>
          <w:u w:val="none"/>
        </w:rPr>
      </w:pPr>
      <w:r w:rsidRPr="002D35D5">
        <w:rPr>
          <w:szCs w:val="24"/>
          <w:u w:val="none"/>
        </w:rPr>
        <w:t>9.3</w:t>
      </w:r>
      <w:r w:rsidRPr="002D35D5">
        <w:rPr>
          <w:szCs w:val="24"/>
          <w:u w:val="none"/>
        </w:rPr>
        <w:tab/>
      </w:r>
      <w:r w:rsidR="00AA6124" w:rsidRPr="002D35D5">
        <w:rPr>
          <w:szCs w:val="24"/>
          <w:u w:val="none"/>
        </w:rPr>
        <w:t>John Armstrong is a retired Head of PSD with a national background including significant work for IPCC and HMIC. T</w:t>
      </w:r>
      <w:bookmarkStart w:id="0" w:name="_GoBack"/>
      <w:bookmarkEnd w:id="0"/>
      <w:r w:rsidR="00AA6124" w:rsidRPr="002D35D5">
        <w:rPr>
          <w:szCs w:val="24"/>
          <w:u w:val="none"/>
        </w:rPr>
        <w:t xml:space="preserve">he skills and experience that John Armstrong brings coupled with the independent approach (no longer a serving Officer) is </w:t>
      </w:r>
      <w:r w:rsidR="00EC564F" w:rsidRPr="002D35D5">
        <w:rPr>
          <w:szCs w:val="24"/>
          <w:u w:val="none"/>
        </w:rPr>
        <w:t>unique in the market and therefore proprietary.</w:t>
      </w:r>
      <w:r w:rsidR="00F6632B" w:rsidRPr="002D35D5">
        <w:rPr>
          <w:szCs w:val="24"/>
          <w:u w:val="none"/>
        </w:rPr>
        <w:t xml:space="preserve"> </w:t>
      </w:r>
    </w:p>
    <w:p w:rsidR="00260347" w:rsidRPr="002D35D5" w:rsidRDefault="00260347" w:rsidP="007B5D35">
      <w:pPr>
        <w:pStyle w:val="BodyText2"/>
        <w:ind w:left="709" w:hanging="709"/>
        <w:jc w:val="both"/>
        <w:rPr>
          <w:szCs w:val="24"/>
          <w:u w:val="none"/>
        </w:rPr>
      </w:pPr>
    </w:p>
    <w:p w:rsidR="00EC564F" w:rsidRPr="002D35D5" w:rsidRDefault="007B5D35" w:rsidP="005F6C8A">
      <w:pPr>
        <w:pStyle w:val="BodyText2"/>
        <w:ind w:left="720" w:hanging="720"/>
        <w:jc w:val="both"/>
        <w:rPr>
          <w:b/>
          <w:u w:val="none"/>
        </w:rPr>
      </w:pPr>
      <w:r w:rsidRPr="002D35D5">
        <w:rPr>
          <w:b/>
          <w:u w:val="none"/>
        </w:rPr>
        <w:t>10</w:t>
      </w:r>
      <w:r w:rsidR="005F6C8A" w:rsidRPr="002D35D5">
        <w:rPr>
          <w:b/>
          <w:u w:val="none"/>
        </w:rPr>
        <w:t>.</w:t>
      </w:r>
      <w:r w:rsidR="005F6C8A" w:rsidRPr="002D35D5">
        <w:rPr>
          <w:b/>
          <w:u w:val="none"/>
        </w:rPr>
        <w:tab/>
      </w:r>
      <w:r w:rsidR="006054EB" w:rsidRPr="002D35D5">
        <w:rPr>
          <w:b/>
          <w:u w:val="none"/>
        </w:rPr>
        <w:t xml:space="preserve">Purchase of </w:t>
      </w:r>
      <w:r w:rsidR="00EC564F" w:rsidRPr="002D35D5">
        <w:rPr>
          <w:b/>
          <w:u w:val="none"/>
        </w:rPr>
        <w:t>Development and delivery of workshops for Everyone Matters at a cost of £15,625 from Act Positive</w:t>
      </w:r>
      <w:r w:rsidR="002D35D5">
        <w:rPr>
          <w:b/>
          <w:u w:val="none"/>
        </w:rPr>
        <w:t>.</w:t>
      </w:r>
    </w:p>
    <w:p w:rsidR="00EC564F" w:rsidRPr="002D35D5" w:rsidRDefault="00EC564F" w:rsidP="005F6C8A">
      <w:pPr>
        <w:pStyle w:val="BodyText2"/>
        <w:ind w:left="720" w:hanging="720"/>
        <w:jc w:val="both"/>
        <w:rPr>
          <w:b/>
          <w:u w:val="none"/>
        </w:rPr>
      </w:pPr>
    </w:p>
    <w:p w:rsidR="00EC564F" w:rsidRPr="002D35D5" w:rsidRDefault="007B5D35" w:rsidP="005F6C8A">
      <w:pPr>
        <w:pStyle w:val="BodyText2"/>
        <w:ind w:left="720" w:hanging="720"/>
        <w:jc w:val="both"/>
        <w:rPr>
          <w:szCs w:val="24"/>
          <w:u w:val="none"/>
        </w:rPr>
      </w:pPr>
      <w:r w:rsidRPr="002D35D5">
        <w:rPr>
          <w:szCs w:val="24"/>
          <w:u w:val="none"/>
        </w:rPr>
        <w:t>10</w:t>
      </w:r>
      <w:r w:rsidR="005F6C8A" w:rsidRPr="002D35D5">
        <w:rPr>
          <w:szCs w:val="24"/>
          <w:u w:val="none"/>
        </w:rPr>
        <w:t>.1</w:t>
      </w:r>
      <w:r w:rsidR="005F6C8A" w:rsidRPr="002D35D5">
        <w:rPr>
          <w:szCs w:val="24"/>
          <w:u w:val="none"/>
        </w:rPr>
        <w:tab/>
      </w:r>
      <w:r w:rsidR="00EC564F" w:rsidRPr="002D35D5">
        <w:rPr>
          <w:szCs w:val="24"/>
          <w:u w:val="none"/>
        </w:rPr>
        <w:t>In order to support the Everyone Matters strategy and its guiding principles and values, the Force is seeking to appoint a provider to develop and deliver modules designed to develop a fully inclusive working environment.</w:t>
      </w:r>
    </w:p>
    <w:p w:rsidR="00EC564F" w:rsidRPr="002D35D5" w:rsidRDefault="00EC564F" w:rsidP="00EC564F">
      <w:pPr>
        <w:pStyle w:val="BodyText2"/>
        <w:jc w:val="both"/>
        <w:rPr>
          <w:szCs w:val="24"/>
          <w:u w:val="none"/>
        </w:rPr>
      </w:pPr>
    </w:p>
    <w:p w:rsidR="00EC564F" w:rsidRPr="002D35D5" w:rsidRDefault="007B5D35" w:rsidP="005F6C8A">
      <w:pPr>
        <w:pStyle w:val="BodyText2"/>
        <w:ind w:left="720" w:hanging="720"/>
        <w:jc w:val="both"/>
        <w:rPr>
          <w:szCs w:val="24"/>
          <w:u w:val="none"/>
        </w:rPr>
      </w:pPr>
      <w:r w:rsidRPr="002D35D5">
        <w:rPr>
          <w:szCs w:val="24"/>
          <w:u w:val="none"/>
        </w:rPr>
        <w:t>10.2</w:t>
      </w:r>
      <w:r w:rsidRPr="002D35D5">
        <w:rPr>
          <w:szCs w:val="24"/>
          <w:u w:val="none"/>
        </w:rPr>
        <w:tab/>
      </w:r>
      <w:r w:rsidR="00EC564F" w:rsidRPr="002D35D5">
        <w:rPr>
          <w:szCs w:val="24"/>
          <w:u w:val="none"/>
        </w:rPr>
        <w:t>Act Positive can provide an all-encompassing blended approach to learning and culture development underpinned by a creative live interactive film based approach. They have a track record working with the public sector and support the development of a long term road map to developing organisational culture.</w:t>
      </w:r>
    </w:p>
    <w:p w:rsidR="00260347" w:rsidRPr="002D35D5" w:rsidRDefault="00260347" w:rsidP="005F6C8A">
      <w:pPr>
        <w:pStyle w:val="BodyText2"/>
        <w:ind w:left="720" w:hanging="720"/>
        <w:jc w:val="both"/>
        <w:rPr>
          <w:szCs w:val="24"/>
          <w:u w:val="none"/>
        </w:rPr>
      </w:pPr>
    </w:p>
    <w:p w:rsidR="005F6C8A" w:rsidRPr="002D35D5" w:rsidRDefault="00260347" w:rsidP="00260347">
      <w:pPr>
        <w:pStyle w:val="BodyText2"/>
        <w:ind w:left="720" w:hanging="720"/>
        <w:jc w:val="both"/>
        <w:rPr>
          <w:szCs w:val="24"/>
          <w:u w:val="none"/>
        </w:rPr>
      </w:pPr>
      <w:r w:rsidRPr="002D35D5">
        <w:rPr>
          <w:szCs w:val="24"/>
          <w:u w:val="none"/>
        </w:rPr>
        <w:t>10.3</w:t>
      </w:r>
      <w:r w:rsidRPr="002D35D5">
        <w:rPr>
          <w:szCs w:val="24"/>
          <w:u w:val="none"/>
        </w:rPr>
        <w:tab/>
      </w:r>
      <w:r w:rsidR="00EC564F" w:rsidRPr="002D35D5">
        <w:rPr>
          <w:szCs w:val="24"/>
          <w:u w:val="none"/>
        </w:rPr>
        <w:t>The approach taken is unique and proprietary.</w:t>
      </w:r>
      <w:r w:rsidRPr="002D35D5">
        <w:rPr>
          <w:szCs w:val="24"/>
          <w:u w:val="none"/>
        </w:rPr>
        <w:t xml:space="preserve"> </w:t>
      </w:r>
    </w:p>
    <w:p w:rsidR="004C65A3" w:rsidRPr="002D35D5" w:rsidRDefault="004C65A3" w:rsidP="005F6C8A">
      <w:pPr>
        <w:pStyle w:val="BodyText2"/>
        <w:jc w:val="both"/>
        <w:rPr>
          <w:szCs w:val="24"/>
          <w:u w:val="none"/>
        </w:rPr>
      </w:pPr>
    </w:p>
    <w:p w:rsidR="00260347" w:rsidRPr="002D35D5" w:rsidRDefault="006054EB" w:rsidP="005F6C8A">
      <w:pPr>
        <w:pStyle w:val="BodyText2"/>
        <w:ind w:left="709" w:hanging="709"/>
        <w:jc w:val="both"/>
        <w:rPr>
          <w:b/>
          <w:bCs/>
          <w:szCs w:val="24"/>
          <w:u w:val="none"/>
        </w:rPr>
      </w:pPr>
      <w:r w:rsidRPr="002D35D5">
        <w:rPr>
          <w:b/>
          <w:bCs/>
          <w:szCs w:val="24"/>
          <w:u w:val="none"/>
        </w:rPr>
        <w:t>1</w:t>
      </w:r>
      <w:r w:rsidR="00260347" w:rsidRPr="002D35D5">
        <w:rPr>
          <w:b/>
          <w:bCs/>
          <w:szCs w:val="24"/>
          <w:u w:val="none"/>
        </w:rPr>
        <w:t>1</w:t>
      </w:r>
      <w:r w:rsidR="005F6C8A" w:rsidRPr="002D35D5">
        <w:rPr>
          <w:b/>
          <w:bCs/>
          <w:szCs w:val="24"/>
          <w:u w:val="none"/>
        </w:rPr>
        <w:t>.</w:t>
      </w:r>
      <w:r w:rsidR="005F6C8A" w:rsidRPr="002D35D5">
        <w:rPr>
          <w:b/>
          <w:bCs/>
          <w:szCs w:val="24"/>
          <w:u w:val="none"/>
        </w:rPr>
        <w:tab/>
      </w:r>
      <w:r w:rsidR="00895106" w:rsidRPr="002D35D5">
        <w:rPr>
          <w:b/>
          <w:bCs/>
          <w:szCs w:val="24"/>
          <w:u w:val="none"/>
        </w:rPr>
        <w:t xml:space="preserve">Purchase of </w:t>
      </w:r>
      <w:proofErr w:type="spellStart"/>
      <w:r w:rsidR="00895106" w:rsidRPr="002D35D5">
        <w:rPr>
          <w:b/>
          <w:bCs/>
          <w:szCs w:val="24"/>
          <w:u w:val="none"/>
        </w:rPr>
        <w:t>Xpert</w:t>
      </w:r>
      <w:proofErr w:type="spellEnd"/>
      <w:r w:rsidR="00895106" w:rsidRPr="002D35D5">
        <w:rPr>
          <w:b/>
          <w:bCs/>
          <w:szCs w:val="24"/>
          <w:u w:val="none"/>
        </w:rPr>
        <w:t xml:space="preserve"> HR Licences by Strategic HR at a cost of £18,588 over 4 years from </w:t>
      </w:r>
      <w:proofErr w:type="spellStart"/>
      <w:r w:rsidR="00895106" w:rsidRPr="002D35D5">
        <w:rPr>
          <w:b/>
          <w:bCs/>
          <w:szCs w:val="24"/>
          <w:u w:val="none"/>
        </w:rPr>
        <w:t>Xpert</w:t>
      </w:r>
      <w:proofErr w:type="spellEnd"/>
      <w:r w:rsidR="00895106" w:rsidRPr="002D35D5">
        <w:rPr>
          <w:b/>
          <w:bCs/>
          <w:szCs w:val="24"/>
          <w:u w:val="none"/>
        </w:rPr>
        <w:t xml:space="preserve"> HR. </w:t>
      </w:r>
    </w:p>
    <w:p w:rsidR="00895106" w:rsidRPr="002D35D5" w:rsidRDefault="00895106" w:rsidP="00895106">
      <w:pPr>
        <w:pStyle w:val="BodyText2"/>
        <w:jc w:val="both"/>
        <w:rPr>
          <w:b/>
          <w:bCs/>
          <w:szCs w:val="24"/>
          <w:u w:val="none"/>
        </w:rPr>
      </w:pPr>
    </w:p>
    <w:p w:rsidR="00895106" w:rsidRPr="002D35D5" w:rsidRDefault="006054EB" w:rsidP="005F6C8A">
      <w:pPr>
        <w:pStyle w:val="BodyText2"/>
        <w:ind w:left="709" w:hanging="709"/>
        <w:jc w:val="both"/>
        <w:rPr>
          <w:szCs w:val="24"/>
          <w:u w:val="none"/>
        </w:rPr>
      </w:pPr>
      <w:r w:rsidRPr="002D35D5">
        <w:rPr>
          <w:szCs w:val="24"/>
          <w:u w:val="none"/>
        </w:rPr>
        <w:t>1</w:t>
      </w:r>
      <w:r w:rsidR="00260347" w:rsidRPr="002D35D5">
        <w:rPr>
          <w:szCs w:val="24"/>
          <w:u w:val="none"/>
        </w:rPr>
        <w:t>1</w:t>
      </w:r>
      <w:r w:rsidR="005F6C8A" w:rsidRPr="002D35D5">
        <w:rPr>
          <w:szCs w:val="24"/>
          <w:u w:val="none"/>
        </w:rPr>
        <w:t>.1</w:t>
      </w:r>
      <w:r w:rsidR="005F6C8A" w:rsidRPr="002D35D5">
        <w:rPr>
          <w:szCs w:val="24"/>
          <w:u w:val="none"/>
        </w:rPr>
        <w:tab/>
      </w:r>
      <w:proofErr w:type="spellStart"/>
      <w:r w:rsidR="00895106" w:rsidRPr="002D35D5">
        <w:rPr>
          <w:szCs w:val="24"/>
          <w:u w:val="none"/>
        </w:rPr>
        <w:t>Xpert</w:t>
      </w:r>
      <w:proofErr w:type="spellEnd"/>
      <w:r w:rsidR="00895106" w:rsidRPr="002D35D5">
        <w:rPr>
          <w:szCs w:val="24"/>
          <w:u w:val="none"/>
        </w:rPr>
        <w:t xml:space="preserve"> HR is a online tool used by HR to provide the team with reliable and </w:t>
      </w:r>
      <w:r w:rsidR="00036C10" w:rsidRPr="002D35D5">
        <w:rPr>
          <w:szCs w:val="24"/>
          <w:u w:val="none"/>
        </w:rPr>
        <w:t>up to</w:t>
      </w:r>
      <w:r w:rsidR="00895106" w:rsidRPr="002D35D5">
        <w:rPr>
          <w:szCs w:val="24"/>
          <w:u w:val="none"/>
        </w:rPr>
        <w:t xml:space="preserve"> date HR Information. This also provides practical tools to enable the team to save valuable time and to stay compliant.</w:t>
      </w:r>
    </w:p>
    <w:p w:rsidR="00895106" w:rsidRPr="002D35D5" w:rsidRDefault="00895106" w:rsidP="005F6C8A">
      <w:pPr>
        <w:pStyle w:val="BodyText2"/>
        <w:ind w:left="709" w:hanging="709"/>
        <w:jc w:val="both"/>
        <w:rPr>
          <w:szCs w:val="24"/>
          <w:u w:val="none"/>
        </w:rPr>
      </w:pPr>
    </w:p>
    <w:p w:rsidR="00895106" w:rsidRPr="002D35D5" w:rsidRDefault="00895106" w:rsidP="005F6C8A">
      <w:pPr>
        <w:pStyle w:val="BodyText2"/>
        <w:ind w:left="709" w:hanging="709"/>
        <w:jc w:val="both"/>
        <w:rPr>
          <w:szCs w:val="24"/>
          <w:u w:val="none"/>
        </w:rPr>
      </w:pPr>
      <w:r w:rsidRPr="002D35D5">
        <w:rPr>
          <w:szCs w:val="24"/>
          <w:u w:val="none"/>
        </w:rPr>
        <w:t>11.2</w:t>
      </w:r>
      <w:r w:rsidRPr="002D35D5">
        <w:rPr>
          <w:szCs w:val="24"/>
          <w:u w:val="none"/>
        </w:rPr>
        <w:tab/>
      </w:r>
      <w:proofErr w:type="spellStart"/>
      <w:r w:rsidRPr="002D35D5">
        <w:rPr>
          <w:szCs w:val="24"/>
          <w:u w:val="none"/>
        </w:rPr>
        <w:t>Xpert</w:t>
      </w:r>
      <w:proofErr w:type="spellEnd"/>
      <w:r w:rsidRPr="002D35D5">
        <w:rPr>
          <w:szCs w:val="24"/>
          <w:u w:val="none"/>
        </w:rPr>
        <w:t xml:space="preserve"> HR is the market leader and the majority of Forces use the tool as it is the only tool that is a credible source and therefore is proprietary.</w:t>
      </w:r>
    </w:p>
    <w:p w:rsidR="00895106" w:rsidRPr="002D35D5" w:rsidRDefault="00895106" w:rsidP="005F6C8A">
      <w:pPr>
        <w:pStyle w:val="BodyText2"/>
        <w:ind w:left="709" w:hanging="709"/>
        <w:jc w:val="both"/>
        <w:rPr>
          <w:szCs w:val="24"/>
          <w:u w:val="none"/>
        </w:rPr>
      </w:pPr>
    </w:p>
    <w:p w:rsidR="00895106" w:rsidRPr="002D35D5" w:rsidRDefault="00895106" w:rsidP="005F6C8A">
      <w:pPr>
        <w:pStyle w:val="BodyText2"/>
        <w:ind w:left="709" w:hanging="709"/>
        <w:jc w:val="both"/>
        <w:rPr>
          <w:szCs w:val="24"/>
          <w:u w:val="none"/>
        </w:rPr>
      </w:pPr>
      <w:r w:rsidRPr="002D35D5">
        <w:rPr>
          <w:szCs w:val="24"/>
          <w:u w:val="none"/>
        </w:rPr>
        <w:t>11.3</w:t>
      </w:r>
      <w:r w:rsidRPr="002D35D5">
        <w:rPr>
          <w:szCs w:val="24"/>
          <w:u w:val="none"/>
        </w:rPr>
        <w:tab/>
        <w:t xml:space="preserve">The use of </w:t>
      </w:r>
      <w:proofErr w:type="spellStart"/>
      <w:r w:rsidRPr="002D35D5">
        <w:rPr>
          <w:szCs w:val="24"/>
          <w:u w:val="none"/>
        </w:rPr>
        <w:t>Xpert</w:t>
      </w:r>
      <w:proofErr w:type="spellEnd"/>
      <w:r w:rsidRPr="002D35D5">
        <w:rPr>
          <w:szCs w:val="24"/>
          <w:u w:val="none"/>
        </w:rPr>
        <w:t xml:space="preserve"> HR is a more cost effective way of obtaining the necessary information than paying consultant fees and reduces the legal risk of Employment Tribunals etc.</w:t>
      </w:r>
    </w:p>
    <w:p w:rsidR="006054EB" w:rsidRPr="002D35D5" w:rsidRDefault="006054EB" w:rsidP="005F6C8A">
      <w:pPr>
        <w:pStyle w:val="BodyText2"/>
        <w:ind w:left="709" w:hanging="709"/>
        <w:jc w:val="both"/>
        <w:rPr>
          <w:szCs w:val="24"/>
          <w:u w:val="none"/>
        </w:rPr>
      </w:pPr>
    </w:p>
    <w:p w:rsidR="00E9045C" w:rsidRPr="002D35D5" w:rsidRDefault="009F7EAB" w:rsidP="00E9045C">
      <w:pPr>
        <w:pStyle w:val="BodyText2"/>
        <w:ind w:left="709" w:hanging="709"/>
        <w:jc w:val="both"/>
        <w:rPr>
          <w:b/>
          <w:szCs w:val="24"/>
          <w:u w:val="none"/>
        </w:rPr>
      </w:pPr>
      <w:r w:rsidRPr="002D35D5">
        <w:rPr>
          <w:b/>
          <w:bCs/>
          <w:szCs w:val="24"/>
          <w:u w:val="none"/>
        </w:rPr>
        <w:t>1</w:t>
      </w:r>
      <w:r w:rsidR="00260347" w:rsidRPr="002D35D5">
        <w:rPr>
          <w:b/>
          <w:bCs/>
          <w:szCs w:val="24"/>
          <w:u w:val="none"/>
        </w:rPr>
        <w:t>2</w:t>
      </w:r>
      <w:r w:rsidRPr="002D35D5">
        <w:rPr>
          <w:b/>
          <w:bCs/>
          <w:szCs w:val="24"/>
          <w:u w:val="none"/>
        </w:rPr>
        <w:t>.</w:t>
      </w:r>
      <w:r w:rsidRPr="002D35D5">
        <w:rPr>
          <w:b/>
          <w:bCs/>
          <w:szCs w:val="24"/>
          <w:u w:val="none"/>
        </w:rPr>
        <w:tab/>
      </w:r>
      <w:r w:rsidR="00E9045C" w:rsidRPr="002D35D5">
        <w:rPr>
          <w:b/>
          <w:szCs w:val="24"/>
          <w:u w:val="none"/>
        </w:rPr>
        <w:t xml:space="preserve">Purchase of </w:t>
      </w:r>
      <w:proofErr w:type="spellStart"/>
      <w:r w:rsidR="00E9045C" w:rsidRPr="002D35D5">
        <w:rPr>
          <w:b/>
          <w:szCs w:val="24"/>
          <w:u w:val="none"/>
        </w:rPr>
        <w:t>Cellebrite</w:t>
      </w:r>
      <w:proofErr w:type="spellEnd"/>
      <w:r w:rsidR="00E9045C" w:rsidRPr="002D35D5">
        <w:rPr>
          <w:b/>
          <w:szCs w:val="24"/>
          <w:u w:val="none"/>
        </w:rPr>
        <w:t xml:space="preserve"> Licences by Crime and Justice at a cost of £11,986 from </w:t>
      </w:r>
      <w:proofErr w:type="spellStart"/>
      <w:r w:rsidR="00E9045C" w:rsidRPr="002D35D5">
        <w:rPr>
          <w:b/>
          <w:szCs w:val="24"/>
          <w:u w:val="none"/>
        </w:rPr>
        <w:t>Cellebrite</w:t>
      </w:r>
      <w:proofErr w:type="spellEnd"/>
      <w:r w:rsidR="002D35D5">
        <w:rPr>
          <w:b/>
          <w:szCs w:val="24"/>
          <w:u w:val="none"/>
        </w:rPr>
        <w:t>.</w:t>
      </w:r>
    </w:p>
    <w:p w:rsidR="00E9045C" w:rsidRPr="002D35D5" w:rsidRDefault="00E9045C" w:rsidP="00E9045C">
      <w:pPr>
        <w:pStyle w:val="BodyText2"/>
        <w:ind w:left="709" w:hanging="709"/>
        <w:jc w:val="both"/>
        <w:rPr>
          <w:b/>
          <w:szCs w:val="24"/>
          <w:u w:val="none"/>
        </w:rPr>
      </w:pPr>
    </w:p>
    <w:p w:rsidR="00E9045C" w:rsidRPr="002D35D5" w:rsidRDefault="00E9045C" w:rsidP="00E9045C">
      <w:pPr>
        <w:pStyle w:val="BodyText2"/>
        <w:ind w:left="709" w:hanging="709"/>
        <w:jc w:val="both"/>
        <w:rPr>
          <w:szCs w:val="24"/>
          <w:u w:val="none"/>
        </w:rPr>
      </w:pPr>
      <w:r w:rsidRPr="002D35D5">
        <w:rPr>
          <w:szCs w:val="24"/>
          <w:u w:val="none"/>
        </w:rPr>
        <w:t xml:space="preserve"> </w:t>
      </w:r>
      <w:r w:rsidR="00200B5D" w:rsidRPr="002D35D5">
        <w:rPr>
          <w:szCs w:val="24"/>
          <w:u w:val="none"/>
        </w:rPr>
        <w:t>12</w:t>
      </w:r>
      <w:r w:rsidRPr="002D35D5">
        <w:rPr>
          <w:szCs w:val="24"/>
          <w:u w:val="none"/>
        </w:rPr>
        <w:t>.1</w:t>
      </w:r>
      <w:r w:rsidRPr="002D35D5">
        <w:rPr>
          <w:szCs w:val="24"/>
          <w:u w:val="none"/>
        </w:rPr>
        <w:tab/>
        <w:t>One of the two main software/equipment tools used by the force to forensically examine smart phones/tablets is no longer supported by the manufacturer which will mean that a significant number of the latest models cannot be forensically examined in Force.</w:t>
      </w:r>
    </w:p>
    <w:p w:rsidR="00E9045C" w:rsidRPr="002D35D5" w:rsidRDefault="00E9045C" w:rsidP="00E9045C">
      <w:pPr>
        <w:pStyle w:val="BodyText2"/>
        <w:ind w:left="709" w:hanging="709"/>
        <w:jc w:val="both"/>
        <w:rPr>
          <w:szCs w:val="24"/>
          <w:u w:val="none"/>
        </w:rPr>
      </w:pPr>
    </w:p>
    <w:p w:rsidR="00E9045C" w:rsidRPr="002D35D5" w:rsidRDefault="00200B5D" w:rsidP="00E9045C">
      <w:pPr>
        <w:pStyle w:val="BodyText2"/>
        <w:ind w:left="709" w:hanging="709"/>
        <w:jc w:val="both"/>
        <w:rPr>
          <w:szCs w:val="24"/>
          <w:u w:val="none"/>
        </w:rPr>
      </w:pPr>
      <w:r w:rsidRPr="002D35D5">
        <w:rPr>
          <w:szCs w:val="24"/>
          <w:u w:val="none"/>
        </w:rPr>
        <w:t>12</w:t>
      </w:r>
      <w:r w:rsidR="00E9045C" w:rsidRPr="002D35D5">
        <w:rPr>
          <w:szCs w:val="24"/>
          <w:u w:val="none"/>
        </w:rPr>
        <w:t>.2</w:t>
      </w:r>
      <w:r w:rsidR="00E9045C" w:rsidRPr="002D35D5">
        <w:rPr>
          <w:szCs w:val="24"/>
          <w:u w:val="none"/>
        </w:rPr>
        <w:tab/>
        <w:t xml:space="preserve">This would result in the requirement for the Force to send these devices to private forensic </w:t>
      </w:r>
      <w:r w:rsidR="002D35D5" w:rsidRPr="002D35D5">
        <w:rPr>
          <w:szCs w:val="24"/>
          <w:u w:val="none"/>
        </w:rPr>
        <w:t>laboratory’s</w:t>
      </w:r>
      <w:r w:rsidR="00E9045C" w:rsidRPr="002D35D5">
        <w:rPr>
          <w:szCs w:val="24"/>
          <w:u w:val="none"/>
        </w:rPr>
        <w:t xml:space="preserve"> at significantly higher costs. The supplier has new software available which has been evaluated by the Force for a number of months and the new software meets the requirements.</w:t>
      </w:r>
    </w:p>
    <w:p w:rsidR="00E9045C" w:rsidRPr="002D35D5" w:rsidRDefault="00E9045C" w:rsidP="00E9045C">
      <w:pPr>
        <w:pStyle w:val="BodyText2"/>
        <w:ind w:left="709" w:hanging="709"/>
        <w:jc w:val="both"/>
        <w:rPr>
          <w:szCs w:val="24"/>
          <w:u w:val="none"/>
        </w:rPr>
      </w:pPr>
    </w:p>
    <w:p w:rsidR="00200B5D" w:rsidRPr="002D35D5" w:rsidRDefault="00200B5D" w:rsidP="00BF244E">
      <w:pPr>
        <w:pStyle w:val="BodyText2"/>
        <w:ind w:left="709" w:hanging="709"/>
        <w:jc w:val="both"/>
        <w:rPr>
          <w:szCs w:val="24"/>
          <w:u w:val="none"/>
        </w:rPr>
      </w:pPr>
      <w:r w:rsidRPr="002D35D5">
        <w:rPr>
          <w:szCs w:val="24"/>
          <w:u w:val="none"/>
        </w:rPr>
        <w:t>12</w:t>
      </w:r>
      <w:r w:rsidR="00E9045C" w:rsidRPr="002D35D5">
        <w:rPr>
          <w:szCs w:val="24"/>
          <w:u w:val="none"/>
        </w:rPr>
        <w:t>.3</w:t>
      </w:r>
      <w:r w:rsidR="00E9045C" w:rsidRPr="002D35D5">
        <w:rPr>
          <w:szCs w:val="24"/>
          <w:u w:val="none"/>
        </w:rPr>
        <w:tab/>
        <w:t xml:space="preserve">This software along with the other tool used in force is only one of two tools recognised by </w:t>
      </w:r>
      <w:r w:rsidR="002D35D5">
        <w:rPr>
          <w:szCs w:val="24"/>
          <w:u w:val="none"/>
        </w:rPr>
        <w:t>NPCC</w:t>
      </w:r>
      <w:r w:rsidR="00E9045C" w:rsidRPr="002D35D5">
        <w:rPr>
          <w:szCs w:val="24"/>
          <w:u w:val="none"/>
        </w:rPr>
        <w:t xml:space="preserve"> and the College of Policing, and each tool provides differing extraction availability (no one piece of software will extract data from all known devices). </w:t>
      </w:r>
    </w:p>
    <w:p w:rsidR="00200B5D" w:rsidRPr="002D35D5" w:rsidRDefault="00200B5D" w:rsidP="00BF244E">
      <w:pPr>
        <w:pStyle w:val="BodyText2"/>
        <w:ind w:left="709" w:hanging="709"/>
        <w:jc w:val="both"/>
        <w:rPr>
          <w:szCs w:val="24"/>
          <w:u w:val="none"/>
        </w:rPr>
      </w:pPr>
    </w:p>
    <w:p w:rsidR="00200B5D" w:rsidRPr="002D35D5" w:rsidRDefault="00200B5D" w:rsidP="00BF244E">
      <w:pPr>
        <w:pStyle w:val="BodyText2"/>
        <w:ind w:left="709" w:hanging="709"/>
        <w:jc w:val="both"/>
        <w:rPr>
          <w:szCs w:val="24"/>
          <w:u w:val="none"/>
        </w:rPr>
      </w:pPr>
      <w:r w:rsidRPr="002D35D5">
        <w:rPr>
          <w:szCs w:val="24"/>
          <w:u w:val="none"/>
        </w:rPr>
        <w:t>12.4</w:t>
      </w:r>
      <w:r w:rsidRPr="002D35D5">
        <w:rPr>
          <w:szCs w:val="24"/>
          <w:u w:val="none"/>
        </w:rPr>
        <w:tab/>
        <w:t>The additional licences are being procured to be used o</w:t>
      </w:r>
      <w:r w:rsidR="002D35D5">
        <w:rPr>
          <w:szCs w:val="24"/>
          <w:u w:val="none"/>
        </w:rPr>
        <w:t>ffsite for</w:t>
      </w:r>
      <w:r w:rsidRPr="002D35D5">
        <w:rPr>
          <w:szCs w:val="24"/>
          <w:u w:val="none"/>
        </w:rPr>
        <w:t xml:space="preserve"> POLIT led warrants/seizures, reducing the amount of devices being submitted to th</w:t>
      </w:r>
      <w:r w:rsidR="002D35D5">
        <w:rPr>
          <w:szCs w:val="24"/>
          <w:u w:val="none"/>
        </w:rPr>
        <w:t xml:space="preserve">e Digital Forensic Unit due to </w:t>
      </w:r>
      <w:r w:rsidRPr="002D35D5">
        <w:rPr>
          <w:szCs w:val="24"/>
          <w:u w:val="none"/>
        </w:rPr>
        <w:t>onsite triage and examination.</w:t>
      </w:r>
    </w:p>
    <w:p w:rsidR="00200B5D" w:rsidRPr="002D35D5" w:rsidRDefault="00200B5D" w:rsidP="00BF244E">
      <w:pPr>
        <w:pStyle w:val="BodyText2"/>
        <w:ind w:left="709" w:hanging="709"/>
        <w:jc w:val="both"/>
        <w:rPr>
          <w:szCs w:val="24"/>
          <w:u w:val="none"/>
        </w:rPr>
      </w:pPr>
    </w:p>
    <w:p w:rsidR="00200B5D" w:rsidRPr="002D35D5" w:rsidRDefault="00200B5D" w:rsidP="00BF244E">
      <w:pPr>
        <w:pStyle w:val="BodyText2"/>
        <w:ind w:left="709" w:hanging="709"/>
        <w:jc w:val="both"/>
        <w:rPr>
          <w:szCs w:val="24"/>
          <w:u w:val="none"/>
        </w:rPr>
      </w:pPr>
      <w:r w:rsidRPr="002D35D5">
        <w:rPr>
          <w:szCs w:val="24"/>
          <w:u w:val="none"/>
        </w:rPr>
        <w:t>12.5</w:t>
      </w:r>
      <w:r w:rsidRPr="002D35D5">
        <w:rPr>
          <w:szCs w:val="24"/>
          <w:u w:val="none"/>
        </w:rPr>
        <w:tab/>
        <w:t xml:space="preserve">The </w:t>
      </w:r>
      <w:proofErr w:type="spellStart"/>
      <w:r w:rsidRPr="002D35D5">
        <w:rPr>
          <w:szCs w:val="24"/>
          <w:u w:val="none"/>
        </w:rPr>
        <w:t>Cellebrite</w:t>
      </w:r>
      <w:proofErr w:type="spellEnd"/>
      <w:r w:rsidRPr="002D35D5">
        <w:rPr>
          <w:szCs w:val="24"/>
          <w:u w:val="none"/>
        </w:rPr>
        <w:t xml:space="preserve"> Licences are proprietary.</w:t>
      </w:r>
    </w:p>
    <w:p w:rsidR="00200B5D" w:rsidRPr="002D35D5" w:rsidRDefault="00200B5D" w:rsidP="00BF244E">
      <w:pPr>
        <w:pStyle w:val="BodyText2"/>
        <w:ind w:left="709" w:hanging="709"/>
        <w:jc w:val="both"/>
        <w:rPr>
          <w:szCs w:val="24"/>
          <w:u w:val="none"/>
        </w:rPr>
      </w:pPr>
    </w:p>
    <w:p w:rsidR="008E2265" w:rsidRPr="002D35D5" w:rsidRDefault="008E2265" w:rsidP="008E2265">
      <w:pPr>
        <w:jc w:val="both"/>
        <w:rPr>
          <w:rFonts w:ascii="Tahoma" w:hAnsi="Tahoma" w:cs="Tahoma"/>
          <w:b/>
          <w:sz w:val="24"/>
          <w:szCs w:val="24"/>
          <w:u w:val="single"/>
          <w:lang w:eastAsia="en-GB"/>
        </w:rPr>
      </w:pPr>
      <w:r w:rsidRPr="002D35D5">
        <w:rPr>
          <w:rFonts w:ascii="Tahoma" w:hAnsi="Tahoma" w:cs="Tahoma"/>
          <w:b/>
          <w:sz w:val="24"/>
          <w:szCs w:val="24"/>
          <w:u w:val="single"/>
          <w:lang w:eastAsia="en-GB"/>
        </w:rPr>
        <w:t>Exceptional Situation – Operational Emergency</w:t>
      </w:r>
    </w:p>
    <w:p w:rsidR="00E82280" w:rsidRPr="002D35D5" w:rsidRDefault="00E82280" w:rsidP="0012515D">
      <w:pPr>
        <w:pStyle w:val="BodyText2"/>
        <w:jc w:val="both"/>
        <w:rPr>
          <w:szCs w:val="24"/>
        </w:rPr>
      </w:pPr>
    </w:p>
    <w:p w:rsidR="00E6176E" w:rsidRPr="002D35D5" w:rsidRDefault="00810BD3" w:rsidP="00E6176E">
      <w:pPr>
        <w:pStyle w:val="BodyText2"/>
        <w:ind w:left="709" w:hanging="709"/>
        <w:jc w:val="both"/>
        <w:rPr>
          <w:b/>
          <w:bCs/>
          <w:szCs w:val="24"/>
          <w:u w:val="none"/>
        </w:rPr>
      </w:pPr>
      <w:r w:rsidRPr="002D35D5">
        <w:rPr>
          <w:b/>
          <w:bCs/>
          <w:szCs w:val="24"/>
          <w:u w:val="none"/>
        </w:rPr>
        <w:t>1</w:t>
      </w:r>
      <w:r w:rsidR="00200B5D" w:rsidRPr="002D35D5">
        <w:rPr>
          <w:b/>
          <w:bCs/>
          <w:szCs w:val="24"/>
          <w:u w:val="none"/>
        </w:rPr>
        <w:t>3</w:t>
      </w:r>
      <w:r w:rsidR="008E2265" w:rsidRPr="002D35D5">
        <w:rPr>
          <w:b/>
          <w:bCs/>
          <w:szCs w:val="24"/>
          <w:u w:val="none"/>
        </w:rPr>
        <w:t>.</w:t>
      </w:r>
      <w:r w:rsidR="008E2265" w:rsidRPr="002D35D5">
        <w:rPr>
          <w:bCs/>
          <w:szCs w:val="24"/>
          <w:u w:val="none"/>
        </w:rPr>
        <w:tab/>
      </w:r>
      <w:r w:rsidR="00E6176E" w:rsidRPr="002D35D5">
        <w:rPr>
          <w:b/>
          <w:bCs/>
          <w:szCs w:val="24"/>
          <w:u w:val="none"/>
        </w:rPr>
        <w:t>Purchase of</w:t>
      </w:r>
      <w:r w:rsidR="00200B5D" w:rsidRPr="002D35D5">
        <w:rPr>
          <w:b/>
          <w:bCs/>
          <w:szCs w:val="24"/>
          <w:u w:val="none"/>
        </w:rPr>
        <w:t xml:space="preserve"> </w:t>
      </w:r>
      <w:r w:rsidR="00EF7E17" w:rsidRPr="002D35D5">
        <w:rPr>
          <w:b/>
          <w:bCs/>
          <w:szCs w:val="24"/>
          <w:u w:val="none"/>
        </w:rPr>
        <w:t>Lima System by Crime and Justice</w:t>
      </w:r>
      <w:r w:rsidR="00200B5D" w:rsidRPr="002D35D5">
        <w:rPr>
          <w:b/>
          <w:bCs/>
          <w:szCs w:val="24"/>
          <w:u w:val="none"/>
        </w:rPr>
        <w:t xml:space="preserve"> at a cost of £2</w:t>
      </w:r>
      <w:r w:rsidR="00EF7E17" w:rsidRPr="002D35D5">
        <w:rPr>
          <w:b/>
          <w:bCs/>
          <w:szCs w:val="24"/>
          <w:u w:val="none"/>
        </w:rPr>
        <w:t>5,800</w:t>
      </w:r>
      <w:r w:rsidR="00200B5D" w:rsidRPr="002D35D5">
        <w:rPr>
          <w:b/>
          <w:bCs/>
          <w:szCs w:val="24"/>
          <w:u w:val="none"/>
        </w:rPr>
        <w:t xml:space="preserve"> from </w:t>
      </w:r>
      <w:proofErr w:type="spellStart"/>
      <w:r w:rsidR="00EF7E17" w:rsidRPr="002D35D5">
        <w:rPr>
          <w:b/>
          <w:bCs/>
          <w:szCs w:val="24"/>
          <w:u w:val="none"/>
        </w:rPr>
        <w:t>IntaForensic</w:t>
      </w:r>
      <w:proofErr w:type="spellEnd"/>
      <w:r w:rsidR="002D35D5">
        <w:rPr>
          <w:b/>
          <w:bCs/>
          <w:szCs w:val="24"/>
          <w:u w:val="none"/>
        </w:rPr>
        <w:t>.</w:t>
      </w:r>
    </w:p>
    <w:p w:rsidR="00E6176E" w:rsidRPr="002D35D5" w:rsidRDefault="00E6176E" w:rsidP="00E6176E">
      <w:pPr>
        <w:pStyle w:val="BodyText2"/>
        <w:jc w:val="both"/>
        <w:rPr>
          <w:b/>
          <w:bCs/>
          <w:szCs w:val="24"/>
        </w:rPr>
      </w:pPr>
    </w:p>
    <w:p w:rsidR="00EF7E17" w:rsidRPr="002D35D5" w:rsidRDefault="00E6176E" w:rsidP="00E6176E">
      <w:pPr>
        <w:pStyle w:val="BodyText2"/>
        <w:ind w:left="709" w:hanging="709"/>
        <w:jc w:val="both"/>
        <w:rPr>
          <w:szCs w:val="24"/>
          <w:u w:val="none"/>
        </w:rPr>
      </w:pPr>
      <w:r w:rsidRPr="002D35D5">
        <w:rPr>
          <w:szCs w:val="24"/>
          <w:u w:val="none"/>
        </w:rPr>
        <w:t>1</w:t>
      </w:r>
      <w:r w:rsidR="00200B5D" w:rsidRPr="002D35D5">
        <w:rPr>
          <w:szCs w:val="24"/>
          <w:u w:val="none"/>
        </w:rPr>
        <w:t>3</w:t>
      </w:r>
      <w:r w:rsidRPr="002D35D5">
        <w:rPr>
          <w:szCs w:val="24"/>
          <w:u w:val="none"/>
        </w:rPr>
        <w:t>.1</w:t>
      </w:r>
      <w:r w:rsidRPr="002D35D5">
        <w:rPr>
          <w:szCs w:val="24"/>
          <w:u w:val="none"/>
        </w:rPr>
        <w:tab/>
      </w:r>
      <w:r w:rsidR="00EF7E17" w:rsidRPr="002D35D5">
        <w:rPr>
          <w:szCs w:val="24"/>
          <w:u w:val="none"/>
        </w:rPr>
        <w:t xml:space="preserve">The current case management system for the Digital Forensic Unit is a system called </w:t>
      </w:r>
      <w:proofErr w:type="spellStart"/>
      <w:r w:rsidR="00EF7E17" w:rsidRPr="002D35D5">
        <w:rPr>
          <w:szCs w:val="24"/>
          <w:u w:val="none"/>
        </w:rPr>
        <w:t>Consolidare</w:t>
      </w:r>
      <w:proofErr w:type="spellEnd"/>
      <w:r w:rsidR="00EF7E17" w:rsidRPr="002D35D5">
        <w:rPr>
          <w:szCs w:val="24"/>
          <w:u w:val="none"/>
        </w:rPr>
        <w:t xml:space="preserve">, this was </w:t>
      </w:r>
      <w:r w:rsidR="002D35D5" w:rsidRPr="002D35D5">
        <w:rPr>
          <w:szCs w:val="24"/>
          <w:u w:val="none"/>
        </w:rPr>
        <w:t>initially</w:t>
      </w:r>
      <w:r w:rsidR="00EF7E17" w:rsidRPr="002D35D5">
        <w:rPr>
          <w:szCs w:val="24"/>
          <w:u w:val="none"/>
        </w:rPr>
        <w:t xml:space="preserve"> built for a TSU environment.</w:t>
      </w:r>
    </w:p>
    <w:p w:rsidR="00EF7E17" w:rsidRPr="002D35D5" w:rsidRDefault="00EF7E17" w:rsidP="00E6176E">
      <w:pPr>
        <w:pStyle w:val="BodyText2"/>
        <w:ind w:left="709" w:hanging="709"/>
        <w:jc w:val="both"/>
        <w:rPr>
          <w:szCs w:val="24"/>
          <w:u w:val="none"/>
        </w:rPr>
      </w:pPr>
    </w:p>
    <w:p w:rsidR="006B26D0" w:rsidRPr="002D35D5" w:rsidRDefault="00EF7E17" w:rsidP="00E6176E">
      <w:pPr>
        <w:pStyle w:val="BodyText2"/>
        <w:ind w:left="709" w:hanging="709"/>
        <w:jc w:val="both"/>
        <w:rPr>
          <w:szCs w:val="24"/>
          <w:u w:val="none"/>
        </w:rPr>
      </w:pPr>
      <w:r w:rsidRPr="002D35D5">
        <w:rPr>
          <w:szCs w:val="24"/>
          <w:u w:val="none"/>
        </w:rPr>
        <w:lastRenderedPageBreak/>
        <w:t xml:space="preserve">13.2 </w:t>
      </w:r>
      <w:r w:rsidR="00035B1A" w:rsidRPr="002D35D5">
        <w:rPr>
          <w:szCs w:val="24"/>
          <w:u w:val="none"/>
        </w:rPr>
        <w:t xml:space="preserve">  </w:t>
      </w:r>
      <w:r w:rsidRPr="002D35D5">
        <w:rPr>
          <w:szCs w:val="24"/>
          <w:u w:val="none"/>
        </w:rPr>
        <w:t>As part of the accreditation process which Sci</w:t>
      </w:r>
      <w:r w:rsidR="00035B1A" w:rsidRPr="002D35D5">
        <w:rPr>
          <w:szCs w:val="24"/>
          <w:u w:val="none"/>
        </w:rPr>
        <w:t>entific Support Unit</w:t>
      </w:r>
      <w:r w:rsidR="006B26D0" w:rsidRPr="002D35D5">
        <w:rPr>
          <w:szCs w:val="24"/>
          <w:u w:val="none"/>
        </w:rPr>
        <w:t xml:space="preserve"> are undertaking to achieve ISO 17025, it has been identified that </w:t>
      </w:r>
      <w:proofErr w:type="spellStart"/>
      <w:r w:rsidR="006B26D0" w:rsidRPr="002D35D5">
        <w:rPr>
          <w:szCs w:val="24"/>
          <w:u w:val="none"/>
        </w:rPr>
        <w:t>Consolidare</w:t>
      </w:r>
      <w:proofErr w:type="spellEnd"/>
      <w:r w:rsidR="006B26D0" w:rsidRPr="002D35D5">
        <w:rPr>
          <w:szCs w:val="24"/>
          <w:u w:val="none"/>
        </w:rPr>
        <w:t xml:space="preserve"> is not fit for purpose as it  doesn’t have audit </w:t>
      </w:r>
      <w:r w:rsidR="002D35D5" w:rsidRPr="002D35D5">
        <w:rPr>
          <w:szCs w:val="24"/>
          <w:u w:val="none"/>
        </w:rPr>
        <w:t>functionality</w:t>
      </w:r>
      <w:r w:rsidR="006B26D0" w:rsidRPr="002D35D5">
        <w:rPr>
          <w:szCs w:val="24"/>
          <w:u w:val="none"/>
        </w:rPr>
        <w:t xml:space="preserve"> which is part of the guidelines.</w:t>
      </w:r>
    </w:p>
    <w:p w:rsidR="006B26D0" w:rsidRPr="002D35D5" w:rsidRDefault="006B26D0" w:rsidP="00E6176E">
      <w:pPr>
        <w:pStyle w:val="BodyText2"/>
        <w:ind w:left="709" w:hanging="709"/>
        <w:jc w:val="both"/>
        <w:rPr>
          <w:szCs w:val="24"/>
          <w:u w:val="none"/>
        </w:rPr>
      </w:pPr>
    </w:p>
    <w:p w:rsidR="00E6176E" w:rsidRPr="002D35D5" w:rsidRDefault="006B26D0" w:rsidP="000C0B24">
      <w:pPr>
        <w:pStyle w:val="BodyText2"/>
        <w:ind w:left="709" w:hanging="709"/>
        <w:jc w:val="both"/>
        <w:rPr>
          <w:szCs w:val="24"/>
          <w:u w:val="none"/>
        </w:rPr>
      </w:pPr>
      <w:r w:rsidRPr="002D35D5">
        <w:rPr>
          <w:szCs w:val="24"/>
          <w:u w:val="none"/>
        </w:rPr>
        <w:t>13.3</w:t>
      </w:r>
      <w:r w:rsidRPr="002D35D5">
        <w:rPr>
          <w:szCs w:val="24"/>
          <w:u w:val="none"/>
        </w:rPr>
        <w:tab/>
      </w:r>
      <w:r w:rsidR="000C0B24" w:rsidRPr="002D35D5">
        <w:rPr>
          <w:szCs w:val="24"/>
          <w:u w:val="none"/>
        </w:rPr>
        <w:t xml:space="preserve">There is </w:t>
      </w:r>
      <w:r w:rsidR="002D35D5" w:rsidRPr="002D35D5">
        <w:rPr>
          <w:szCs w:val="24"/>
          <w:u w:val="none"/>
        </w:rPr>
        <w:t>insufficient</w:t>
      </w:r>
      <w:r w:rsidR="000C0B24" w:rsidRPr="002D35D5">
        <w:rPr>
          <w:szCs w:val="24"/>
          <w:u w:val="none"/>
        </w:rPr>
        <w:t xml:space="preserve"> time to carry out a full procurement exercise and </w:t>
      </w:r>
      <w:r w:rsidR="002709D0" w:rsidRPr="002D35D5">
        <w:rPr>
          <w:szCs w:val="24"/>
          <w:u w:val="none"/>
        </w:rPr>
        <w:t>implement a new system prior</w:t>
      </w:r>
      <w:r w:rsidR="000C0B24" w:rsidRPr="002D35D5">
        <w:rPr>
          <w:szCs w:val="24"/>
          <w:u w:val="none"/>
        </w:rPr>
        <w:t xml:space="preserve"> to the accreditation process later in 2017 therefore a review of options was conducted. </w:t>
      </w:r>
      <w:r w:rsidRPr="002D35D5">
        <w:rPr>
          <w:szCs w:val="24"/>
          <w:u w:val="none"/>
        </w:rPr>
        <w:t xml:space="preserve">Lima is a dedicated case management system built </w:t>
      </w:r>
      <w:r w:rsidR="002D35D5" w:rsidRPr="002D35D5">
        <w:rPr>
          <w:szCs w:val="24"/>
          <w:u w:val="none"/>
        </w:rPr>
        <w:t>solely</w:t>
      </w:r>
      <w:r w:rsidRPr="002D35D5">
        <w:rPr>
          <w:szCs w:val="24"/>
          <w:u w:val="none"/>
        </w:rPr>
        <w:t xml:space="preserve"> for Digital Forensic Units </w:t>
      </w:r>
      <w:r w:rsidR="002D35D5" w:rsidRPr="002D35D5">
        <w:rPr>
          <w:szCs w:val="24"/>
          <w:u w:val="none"/>
        </w:rPr>
        <w:t>designed</w:t>
      </w:r>
      <w:r w:rsidRPr="002D35D5">
        <w:rPr>
          <w:szCs w:val="24"/>
          <w:u w:val="none"/>
        </w:rPr>
        <w:t xml:space="preserve"> to meet the ISO 17025 accreditation, it is the only product in the market to do this.</w:t>
      </w:r>
      <w:r w:rsidR="002709D0" w:rsidRPr="002D35D5">
        <w:rPr>
          <w:szCs w:val="24"/>
          <w:u w:val="none"/>
        </w:rPr>
        <w:t xml:space="preserve">  </w:t>
      </w:r>
    </w:p>
    <w:p w:rsidR="006C59E1" w:rsidRPr="002D35D5" w:rsidRDefault="006C59E1" w:rsidP="0012515D">
      <w:pPr>
        <w:pStyle w:val="BodyText2"/>
        <w:jc w:val="both"/>
        <w:rPr>
          <w:rFonts w:ascii="Arial" w:hAnsi="Arial" w:cs="Arial"/>
          <w:color w:val="FF0000"/>
          <w:szCs w:val="24"/>
          <w:u w:val="none"/>
        </w:rPr>
      </w:pPr>
    </w:p>
    <w:p w:rsidR="000C0B24" w:rsidRPr="002D35D5" w:rsidRDefault="00810BD3" w:rsidP="008C507C">
      <w:pPr>
        <w:pStyle w:val="BodyText2"/>
        <w:ind w:left="709" w:hanging="709"/>
        <w:jc w:val="both"/>
        <w:rPr>
          <w:b/>
          <w:szCs w:val="24"/>
          <w:u w:val="none"/>
        </w:rPr>
      </w:pPr>
      <w:r w:rsidRPr="002D35D5">
        <w:rPr>
          <w:b/>
          <w:szCs w:val="24"/>
          <w:u w:val="none"/>
        </w:rPr>
        <w:t>1</w:t>
      </w:r>
      <w:r w:rsidR="000C0B24" w:rsidRPr="002D35D5">
        <w:rPr>
          <w:b/>
          <w:szCs w:val="24"/>
          <w:u w:val="none"/>
        </w:rPr>
        <w:t>4</w:t>
      </w:r>
      <w:r w:rsidR="008C507C" w:rsidRPr="002D35D5">
        <w:rPr>
          <w:b/>
          <w:szCs w:val="24"/>
          <w:u w:val="none"/>
        </w:rPr>
        <w:t>.</w:t>
      </w:r>
      <w:r w:rsidR="008C507C" w:rsidRPr="002D35D5">
        <w:rPr>
          <w:b/>
          <w:szCs w:val="24"/>
          <w:u w:val="none"/>
        </w:rPr>
        <w:tab/>
      </w:r>
      <w:r w:rsidR="000C0B24" w:rsidRPr="002D35D5">
        <w:rPr>
          <w:b/>
          <w:szCs w:val="24"/>
          <w:u w:val="none"/>
        </w:rPr>
        <w:t>Purchase of Access Control for Estates at a cost of £12,715 from Reliance Hi-Tech</w:t>
      </w:r>
      <w:r w:rsidR="002D35D5">
        <w:rPr>
          <w:b/>
          <w:szCs w:val="24"/>
          <w:u w:val="none"/>
        </w:rPr>
        <w:t>.</w:t>
      </w:r>
    </w:p>
    <w:p w:rsidR="000C0B24" w:rsidRPr="002D35D5" w:rsidRDefault="000C0B24" w:rsidP="008C507C">
      <w:pPr>
        <w:pStyle w:val="BodyText2"/>
        <w:ind w:left="709" w:hanging="709"/>
        <w:jc w:val="both"/>
        <w:rPr>
          <w:b/>
          <w:szCs w:val="24"/>
          <w:u w:val="none"/>
        </w:rPr>
      </w:pPr>
    </w:p>
    <w:p w:rsidR="000C0B24" w:rsidRPr="002D35D5" w:rsidRDefault="000C0B24" w:rsidP="008C507C">
      <w:pPr>
        <w:pStyle w:val="BodyText2"/>
        <w:ind w:left="709" w:hanging="709"/>
        <w:jc w:val="both"/>
        <w:rPr>
          <w:szCs w:val="24"/>
          <w:u w:val="none"/>
        </w:rPr>
      </w:pPr>
      <w:r w:rsidRPr="002D35D5">
        <w:rPr>
          <w:szCs w:val="24"/>
          <w:u w:val="none"/>
        </w:rPr>
        <w:t>14</w:t>
      </w:r>
      <w:r w:rsidR="008C507C" w:rsidRPr="002D35D5">
        <w:rPr>
          <w:szCs w:val="24"/>
          <w:u w:val="none"/>
        </w:rPr>
        <w:t>.1</w:t>
      </w:r>
      <w:r w:rsidR="008C507C" w:rsidRPr="002D35D5">
        <w:rPr>
          <w:szCs w:val="24"/>
          <w:u w:val="none"/>
        </w:rPr>
        <w:tab/>
      </w:r>
      <w:r w:rsidRPr="002D35D5">
        <w:rPr>
          <w:szCs w:val="24"/>
          <w:u w:val="none"/>
        </w:rPr>
        <w:t>As part of the report by Special Branch on the security of North Ormesby, it was identified that the box locks must be replaced to a more secure solution. In addition as part of the ISO accreditation Scientific Support require an auditable system in place.</w:t>
      </w:r>
    </w:p>
    <w:p w:rsidR="000C0B24" w:rsidRPr="002D35D5" w:rsidRDefault="000C0B24" w:rsidP="008C507C">
      <w:pPr>
        <w:pStyle w:val="BodyText2"/>
        <w:ind w:left="709" w:hanging="709"/>
        <w:jc w:val="both"/>
        <w:rPr>
          <w:szCs w:val="24"/>
          <w:u w:val="none"/>
        </w:rPr>
      </w:pPr>
    </w:p>
    <w:p w:rsidR="000C0B24" w:rsidRPr="002D35D5" w:rsidRDefault="000C0B24" w:rsidP="008C507C">
      <w:pPr>
        <w:pStyle w:val="BodyText2"/>
        <w:ind w:left="709" w:hanging="709"/>
        <w:jc w:val="both"/>
        <w:rPr>
          <w:szCs w:val="24"/>
          <w:u w:val="none"/>
        </w:rPr>
      </w:pPr>
      <w:r w:rsidRPr="002D35D5">
        <w:rPr>
          <w:szCs w:val="24"/>
          <w:u w:val="none"/>
        </w:rPr>
        <w:t>14.2</w:t>
      </w:r>
      <w:r w:rsidRPr="002D35D5">
        <w:rPr>
          <w:szCs w:val="24"/>
          <w:u w:val="none"/>
        </w:rPr>
        <w:tab/>
        <w:t>There is a current contract for the Access Control, however the Force is currently experiencing contract issues and following on from a number of contract management meetings the service provision has not improved, therefore notice has been served on the contractor.</w:t>
      </w:r>
    </w:p>
    <w:p w:rsidR="000C0B24" w:rsidRPr="002D35D5" w:rsidRDefault="000C0B24" w:rsidP="008C507C">
      <w:pPr>
        <w:pStyle w:val="BodyText2"/>
        <w:ind w:left="709" w:hanging="709"/>
        <w:jc w:val="both"/>
        <w:rPr>
          <w:szCs w:val="24"/>
          <w:u w:val="none"/>
        </w:rPr>
      </w:pPr>
    </w:p>
    <w:p w:rsidR="00F976EB" w:rsidRPr="002D35D5" w:rsidRDefault="000C0B24" w:rsidP="00400A1A">
      <w:pPr>
        <w:pStyle w:val="BodyText2"/>
        <w:ind w:left="709" w:hanging="709"/>
        <w:jc w:val="both"/>
        <w:rPr>
          <w:szCs w:val="24"/>
          <w:u w:val="none"/>
        </w:rPr>
      </w:pPr>
      <w:r w:rsidRPr="002D35D5">
        <w:rPr>
          <w:szCs w:val="24"/>
          <w:u w:val="none"/>
        </w:rPr>
        <w:t>14.3</w:t>
      </w:r>
      <w:r w:rsidRPr="002D35D5">
        <w:rPr>
          <w:szCs w:val="24"/>
          <w:u w:val="none"/>
        </w:rPr>
        <w:tab/>
        <w:t>Reliance Hi-Tec are a previous contractor for this service and have been approached to provide support and complete the fit of the access control at North Ormesby</w:t>
      </w:r>
      <w:r w:rsidR="00400A1A" w:rsidRPr="002D35D5">
        <w:rPr>
          <w:szCs w:val="24"/>
          <w:u w:val="none"/>
        </w:rPr>
        <w:t xml:space="preserve"> in order to meet the urgent timescales and to allow sufficient time for the service to be re-tendered going forward.</w:t>
      </w:r>
    </w:p>
    <w:p w:rsidR="00F976EB" w:rsidRPr="002D35D5" w:rsidRDefault="00F976EB" w:rsidP="008C507C">
      <w:pPr>
        <w:pStyle w:val="BodyText2"/>
        <w:ind w:left="709" w:hanging="709"/>
        <w:jc w:val="both"/>
        <w:rPr>
          <w:szCs w:val="24"/>
          <w:u w:val="none"/>
        </w:rPr>
      </w:pPr>
    </w:p>
    <w:p w:rsidR="00F976EB" w:rsidRPr="002D35D5" w:rsidRDefault="00F976EB" w:rsidP="00F976EB">
      <w:pPr>
        <w:pStyle w:val="BodyText2"/>
        <w:ind w:left="709" w:hanging="709"/>
        <w:jc w:val="both"/>
        <w:rPr>
          <w:b/>
          <w:szCs w:val="24"/>
          <w:u w:val="none"/>
        </w:rPr>
      </w:pPr>
      <w:r w:rsidRPr="002D35D5">
        <w:rPr>
          <w:b/>
          <w:szCs w:val="24"/>
          <w:u w:val="none"/>
        </w:rPr>
        <w:t>1</w:t>
      </w:r>
      <w:r w:rsidR="00400A1A" w:rsidRPr="002D35D5">
        <w:rPr>
          <w:b/>
          <w:szCs w:val="24"/>
          <w:u w:val="none"/>
        </w:rPr>
        <w:t>5</w:t>
      </w:r>
      <w:r w:rsidRPr="002D35D5">
        <w:rPr>
          <w:b/>
          <w:szCs w:val="24"/>
          <w:u w:val="none"/>
        </w:rPr>
        <w:t>.</w:t>
      </w:r>
      <w:r w:rsidRPr="002D35D5">
        <w:rPr>
          <w:b/>
          <w:szCs w:val="24"/>
          <w:u w:val="none"/>
        </w:rPr>
        <w:tab/>
        <w:t xml:space="preserve">Provision of </w:t>
      </w:r>
      <w:r w:rsidR="00400A1A" w:rsidRPr="002D35D5">
        <w:rPr>
          <w:b/>
          <w:szCs w:val="24"/>
          <w:u w:val="none"/>
        </w:rPr>
        <w:t>Website Hosting for TCP and Operations at a cost of £6,638.72 from Software Box</w:t>
      </w:r>
      <w:r w:rsidR="002D35D5">
        <w:rPr>
          <w:b/>
          <w:szCs w:val="24"/>
          <w:u w:val="none"/>
        </w:rPr>
        <w:t>.</w:t>
      </w:r>
    </w:p>
    <w:p w:rsidR="00D02C80" w:rsidRPr="002D35D5" w:rsidRDefault="00D02C80" w:rsidP="00F976EB">
      <w:pPr>
        <w:pStyle w:val="BodyText2"/>
        <w:ind w:left="709" w:hanging="709"/>
        <w:jc w:val="both"/>
        <w:rPr>
          <w:szCs w:val="24"/>
          <w:u w:val="none"/>
        </w:rPr>
      </w:pPr>
    </w:p>
    <w:p w:rsidR="00400A1A" w:rsidRPr="002D35D5" w:rsidRDefault="00F976EB" w:rsidP="00F976EB">
      <w:pPr>
        <w:pStyle w:val="BodyText2"/>
        <w:ind w:left="709" w:hanging="709"/>
        <w:jc w:val="both"/>
        <w:rPr>
          <w:szCs w:val="24"/>
          <w:u w:val="none"/>
        </w:rPr>
      </w:pPr>
      <w:r w:rsidRPr="002D35D5">
        <w:rPr>
          <w:szCs w:val="24"/>
          <w:u w:val="none"/>
        </w:rPr>
        <w:t>1</w:t>
      </w:r>
      <w:r w:rsidR="00400A1A" w:rsidRPr="002D35D5">
        <w:rPr>
          <w:szCs w:val="24"/>
          <w:u w:val="none"/>
        </w:rPr>
        <w:t>5</w:t>
      </w:r>
      <w:r w:rsidRPr="002D35D5">
        <w:rPr>
          <w:szCs w:val="24"/>
          <w:u w:val="none"/>
        </w:rPr>
        <w:t>.1</w:t>
      </w:r>
      <w:r w:rsidRPr="002D35D5">
        <w:rPr>
          <w:szCs w:val="24"/>
          <w:u w:val="none"/>
        </w:rPr>
        <w:tab/>
      </w:r>
      <w:r w:rsidR="00400A1A" w:rsidRPr="002D35D5">
        <w:rPr>
          <w:szCs w:val="24"/>
          <w:u w:val="none"/>
        </w:rPr>
        <w:t>The current contract for the Force Website Hosting is due for renewal</w:t>
      </w:r>
      <w:r w:rsidR="002D35D5">
        <w:rPr>
          <w:szCs w:val="24"/>
          <w:u w:val="none"/>
        </w:rPr>
        <w:t>. O</w:t>
      </w:r>
      <w:r w:rsidR="00400A1A" w:rsidRPr="002D35D5">
        <w:rPr>
          <w:szCs w:val="24"/>
          <w:u w:val="none"/>
        </w:rPr>
        <w:t>ptions were investigated in relation to the new Cloud Contract with ICT</w:t>
      </w:r>
      <w:r w:rsidR="002D35D5">
        <w:rPr>
          <w:szCs w:val="24"/>
          <w:u w:val="none"/>
        </w:rPr>
        <w:t>,</w:t>
      </w:r>
      <w:r w:rsidR="00400A1A" w:rsidRPr="002D35D5">
        <w:rPr>
          <w:szCs w:val="24"/>
          <w:u w:val="none"/>
        </w:rPr>
        <w:t xml:space="preserve"> however this was cost prohibitive</w:t>
      </w:r>
      <w:r w:rsidR="00F421FF">
        <w:rPr>
          <w:szCs w:val="24"/>
          <w:u w:val="none"/>
        </w:rPr>
        <w:t xml:space="preserve"> and</w:t>
      </w:r>
      <w:r w:rsidR="00400A1A" w:rsidRPr="002D35D5">
        <w:rPr>
          <w:szCs w:val="24"/>
          <w:u w:val="none"/>
        </w:rPr>
        <w:t xml:space="preserve"> left limited time to go to market for an alternative solution.</w:t>
      </w:r>
    </w:p>
    <w:p w:rsidR="00400A1A" w:rsidRPr="002D35D5" w:rsidRDefault="00400A1A" w:rsidP="00F976EB">
      <w:pPr>
        <w:pStyle w:val="BodyText2"/>
        <w:ind w:left="709" w:hanging="709"/>
        <w:jc w:val="both"/>
        <w:rPr>
          <w:szCs w:val="24"/>
          <w:u w:val="none"/>
        </w:rPr>
      </w:pPr>
    </w:p>
    <w:p w:rsidR="00A2126F" w:rsidRDefault="00400A1A" w:rsidP="002D35D5">
      <w:pPr>
        <w:pStyle w:val="BodyText2"/>
        <w:ind w:left="709" w:hanging="709"/>
        <w:jc w:val="both"/>
        <w:rPr>
          <w:szCs w:val="24"/>
          <w:u w:val="none"/>
        </w:rPr>
      </w:pPr>
      <w:r w:rsidRPr="002D35D5">
        <w:rPr>
          <w:szCs w:val="24"/>
          <w:u w:val="none"/>
        </w:rPr>
        <w:t>15.2</w:t>
      </w:r>
      <w:r w:rsidRPr="002D35D5">
        <w:rPr>
          <w:szCs w:val="24"/>
          <w:u w:val="none"/>
        </w:rPr>
        <w:tab/>
        <w:t>The Force Information Security Officer has conducted a review and identified that Software Box has a more secure facility providing better</w:t>
      </w:r>
      <w:r w:rsidR="002D35D5">
        <w:rPr>
          <w:szCs w:val="24"/>
          <w:u w:val="none"/>
        </w:rPr>
        <w:t xml:space="preserve"> protection to the organisation. H</w:t>
      </w:r>
      <w:r w:rsidRPr="002D35D5">
        <w:rPr>
          <w:szCs w:val="24"/>
          <w:u w:val="none"/>
        </w:rPr>
        <w:t>owever t</w:t>
      </w:r>
      <w:r w:rsidR="00A2126F" w:rsidRPr="002D35D5">
        <w:rPr>
          <w:szCs w:val="24"/>
          <w:u w:val="none"/>
        </w:rPr>
        <w:t xml:space="preserve">he Force currently </w:t>
      </w:r>
      <w:r w:rsidR="002D35D5">
        <w:rPr>
          <w:szCs w:val="24"/>
          <w:u w:val="none"/>
        </w:rPr>
        <w:t>procures software licences via S</w:t>
      </w:r>
      <w:r w:rsidR="00A2126F" w:rsidRPr="002D35D5">
        <w:rPr>
          <w:szCs w:val="24"/>
          <w:u w:val="none"/>
        </w:rPr>
        <w:t xml:space="preserve">oftware </w:t>
      </w:r>
      <w:r w:rsidR="002D35D5">
        <w:rPr>
          <w:szCs w:val="24"/>
          <w:u w:val="none"/>
        </w:rPr>
        <w:t>B</w:t>
      </w:r>
      <w:r w:rsidR="00A2126F" w:rsidRPr="002D35D5">
        <w:rPr>
          <w:szCs w:val="24"/>
          <w:u w:val="none"/>
        </w:rPr>
        <w:t>ox, therefore the addition of this service would bring the annual spend above the contract standing order limit of £10k.</w:t>
      </w:r>
    </w:p>
    <w:p w:rsidR="002D35D5" w:rsidRPr="002D35D5" w:rsidRDefault="002D35D5" w:rsidP="00F976EB">
      <w:pPr>
        <w:pStyle w:val="BodyText2"/>
        <w:ind w:left="709" w:hanging="709"/>
        <w:jc w:val="both"/>
        <w:rPr>
          <w:szCs w:val="24"/>
          <w:u w:val="none"/>
        </w:rPr>
      </w:pPr>
    </w:p>
    <w:p w:rsidR="00F976EB" w:rsidRPr="002D35D5" w:rsidRDefault="00A2126F" w:rsidP="00A2126F">
      <w:pPr>
        <w:pStyle w:val="BodyText2"/>
        <w:ind w:left="709" w:hanging="709"/>
        <w:jc w:val="both"/>
        <w:rPr>
          <w:szCs w:val="24"/>
          <w:u w:val="none"/>
        </w:rPr>
      </w:pPr>
      <w:r w:rsidRPr="002D35D5">
        <w:rPr>
          <w:szCs w:val="24"/>
          <w:u w:val="none"/>
        </w:rPr>
        <w:t>15.3</w:t>
      </w:r>
      <w:r w:rsidRPr="002D35D5">
        <w:rPr>
          <w:szCs w:val="24"/>
          <w:u w:val="none"/>
        </w:rPr>
        <w:tab/>
        <w:t>The hosting is a 12 month arrangement and the Procurement Team have scheduled a procurement exercise consolidating the needs of both the Force and PCC website hosting for later in 2017 to ensure that there is an on-going arrangement in place to prevent the future need for an exemption.</w:t>
      </w:r>
      <w:r w:rsidR="00D02C80" w:rsidRPr="002D35D5">
        <w:rPr>
          <w:szCs w:val="24"/>
          <w:u w:val="none"/>
        </w:rPr>
        <w:t xml:space="preserve"> </w:t>
      </w:r>
    </w:p>
    <w:p w:rsidR="00F976EB" w:rsidRPr="002D35D5" w:rsidRDefault="00F976EB" w:rsidP="0012515D">
      <w:pPr>
        <w:pStyle w:val="BodyText2"/>
        <w:jc w:val="both"/>
        <w:rPr>
          <w:rFonts w:ascii="Arial" w:hAnsi="Arial" w:cs="Arial"/>
          <w:color w:val="FF0000"/>
          <w:szCs w:val="24"/>
          <w:u w:val="none"/>
        </w:rPr>
      </w:pPr>
    </w:p>
    <w:sectPr w:rsidR="00F976EB" w:rsidRPr="002D35D5" w:rsidSect="00535E44">
      <w:headerReference w:type="default" r:id="rId13"/>
      <w:pgSz w:w="11909" w:h="16834" w:code="9"/>
      <w:pgMar w:top="1134" w:right="1134" w:bottom="1134" w:left="1134" w:header="709" w:footer="709" w:gutter="0"/>
      <w:paperSrc w:first="15" w:other="15"/>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C10" w:rsidRDefault="00036C10">
      <w:r>
        <w:separator/>
      </w:r>
    </w:p>
  </w:endnote>
  <w:endnote w:type="continuationSeparator" w:id="0">
    <w:p w:rsidR="00036C10" w:rsidRDefault="0003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Default="00036C10" w:rsidP="00E80C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6C10" w:rsidRDefault="00036C10" w:rsidP="00674FD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Pr="00674FD9" w:rsidRDefault="00036C10" w:rsidP="00E80C54">
    <w:pPr>
      <w:pStyle w:val="Footer"/>
      <w:framePr w:wrap="around" w:vAnchor="text" w:hAnchor="margin" w:xAlign="right" w:y="1"/>
      <w:rPr>
        <w:rStyle w:val="PageNumber"/>
        <w:rFonts w:ascii="Arial" w:hAnsi="Arial" w:cs="Arial"/>
      </w:rPr>
    </w:pPr>
    <w:r w:rsidRPr="00674FD9">
      <w:rPr>
        <w:rStyle w:val="PageNumber"/>
        <w:rFonts w:ascii="Arial" w:hAnsi="Arial" w:cs="Arial"/>
      </w:rPr>
      <w:fldChar w:fldCharType="begin"/>
    </w:r>
    <w:r w:rsidRPr="00674FD9">
      <w:rPr>
        <w:rStyle w:val="PageNumber"/>
        <w:rFonts w:ascii="Arial" w:hAnsi="Arial" w:cs="Arial"/>
      </w:rPr>
      <w:instrText xml:space="preserve">PAGE  </w:instrText>
    </w:r>
    <w:r w:rsidRPr="00674FD9">
      <w:rPr>
        <w:rStyle w:val="PageNumber"/>
        <w:rFonts w:ascii="Arial" w:hAnsi="Arial" w:cs="Arial"/>
      </w:rPr>
      <w:fldChar w:fldCharType="separate"/>
    </w:r>
    <w:r w:rsidR="00BE112F">
      <w:rPr>
        <w:rStyle w:val="PageNumber"/>
        <w:rFonts w:ascii="Arial" w:hAnsi="Arial" w:cs="Arial"/>
        <w:noProof/>
      </w:rPr>
      <w:t>1</w:t>
    </w:r>
    <w:r w:rsidRPr="00674FD9">
      <w:rPr>
        <w:rStyle w:val="PageNumber"/>
        <w:rFonts w:ascii="Arial" w:hAnsi="Arial" w:cs="Arial"/>
      </w:rPr>
      <w:fldChar w:fldCharType="end"/>
    </w:r>
  </w:p>
  <w:p w:rsidR="00036C10" w:rsidRDefault="00036C10" w:rsidP="00B11402">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C10" w:rsidRDefault="00036C10">
      <w:r>
        <w:separator/>
      </w:r>
    </w:p>
  </w:footnote>
  <w:footnote w:type="continuationSeparator" w:id="0">
    <w:p w:rsidR="00036C10" w:rsidRDefault="0003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857"/>
    </w:tblGrid>
    <w:tr w:rsidR="00036C10" w:rsidRPr="0043285E" w:rsidTr="0043285E">
      <w:tc>
        <w:tcPr>
          <w:tcW w:w="9857" w:type="dxa"/>
          <w:shd w:val="clear" w:color="auto" w:fill="auto"/>
        </w:tcPr>
        <w:p w:rsidR="00036C10" w:rsidRPr="0043285E" w:rsidRDefault="00036C10" w:rsidP="0043285E">
          <w:pPr>
            <w:pStyle w:val="Header"/>
            <w:jc w:val="right"/>
            <w:rPr>
              <w:rFonts w:ascii="Tahoma" w:hAnsi="Tahoma" w:cs="Tahoma"/>
            </w:rPr>
          </w:pPr>
          <w:r>
            <w:rPr>
              <w:rFonts w:ascii="Tahoma" w:hAnsi="Tahoma" w:cs="Tahoma"/>
              <w:noProof/>
              <w:lang w:eastAsia="en-GB"/>
            </w:rPr>
            <w:drawing>
              <wp:inline distT="0" distB="0" distL="0" distR="0" wp14:anchorId="4832135F" wp14:editId="441DF39C">
                <wp:extent cx="2571750" cy="1085850"/>
                <wp:effectExtent l="0" t="0" r="0" b="0"/>
                <wp:docPr id="3" name="Picture 3"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inline>
            </w:drawing>
          </w:r>
        </w:p>
      </w:tc>
    </w:tr>
  </w:tbl>
  <w:p w:rsidR="00036C10" w:rsidRPr="00CA19AA" w:rsidRDefault="00036C10" w:rsidP="00674F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Default="00036C10" w:rsidP="0083159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857"/>
    </w:tblGrid>
    <w:tr w:rsidR="00036C10" w:rsidRPr="001E5977" w:rsidTr="001E5977">
      <w:tc>
        <w:tcPr>
          <w:tcW w:w="9857" w:type="dxa"/>
          <w:shd w:val="clear" w:color="auto" w:fill="auto"/>
        </w:tcPr>
        <w:p w:rsidR="00036C10" w:rsidRPr="001E5977" w:rsidRDefault="00036C10" w:rsidP="001E5977">
          <w:pPr>
            <w:pStyle w:val="Header"/>
            <w:jc w:val="right"/>
            <w:rPr>
              <w:rFonts w:ascii="Tahoma" w:hAnsi="Tahoma" w:cs="Tahoma"/>
              <w:b/>
              <w:bCs/>
              <w:sz w:val="24"/>
              <w:szCs w:val="24"/>
            </w:rPr>
          </w:pPr>
          <w:r w:rsidRPr="001E5977">
            <w:rPr>
              <w:rFonts w:ascii="Tahoma" w:hAnsi="Tahoma" w:cs="Tahoma"/>
              <w:b/>
              <w:bCs/>
              <w:sz w:val="24"/>
              <w:szCs w:val="24"/>
            </w:rPr>
            <w:t>Appendix 1</w:t>
          </w:r>
        </w:p>
      </w:tc>
    </w:tr>
  </w:tbl>
  <w:p w:rsidR="00036C10" w:rsidRDefault="00036C10" w:rsidP="008315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B57"/>
    <w:multiLevelType w:val="multilevel"/>
    <w:tmpl w:val="0B147E8A"/>
    <w:lvl w:ilvl="0">
      <w:start w:val="1"/>
      <w:numFmt w:val="decimal"/>
      <w:lvlText w:val="%1."/>
      <w:lvlJc w:val="left"/>
      <w:pPr>
        <w:ind w:left="720" w:hanging="360"/>
      </w:pPr>
      <w:rPr>
        <w:rFonts w:hint="default"/>
        <w:b/>
        <w:u w:val="none"/>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520" w:hanging="216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1">
    <w:nsid w:val="0827653E"/>
    <w:multiLevelType w:val="multilevel"/>
    <w:tmpl w:val="AE1E1F5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CF41352"/>
    <w:multiLevelType w:val="multilevel"/>
    <w:tmpl w:val="E20801C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FE32CCE"/>
    <w:multiLevelType w:val="multilevel"/>
    <w:tmpl w:val="39062B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3C5F50"/>
    <w:multiLevelType w:val="multilevel"/>
    <w:tmpl w:val="B5A288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123775B8"/>
    <w:multiLevelType w:val="hybridMultilevel"/>
    <w:tmpl w:val="44E2FF38"/>
    <w:lvl w:ilvl="0" w:tplc="3E84D872">
      <w:start w:val="1"/>
      <w:numFmt w:val="decimal"/>
      <w:lvlText w:val="%1."/>
      <w:lvlJc w:val="left"/>
      <w:pPr>
        <w:ind w:left="360" w:hanging="360"/>
      </w:pPr>
      <w:rPr>
        <w:rFonts w:ascii="Tahoma" w:hAnsi="Tahoma" w:cs="Tahoma"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36683B"/>
    <w:multiLevelType w:val="multilevel"/>
    <w:tmpl w:val="E75C7C4A"/>
    <w:lvl w:ilvl="0">
      <w:start w:val="11"/>
      <w:numFmt w:val="decimal"/>
      <w:lvlText w:val="%1"/>
      <w:lvlJc w:val="left"/>
      <w:pPr>
        <w:tabs>
          <w:tab w:val="num" w:pos="465"/>
        </w:tabs>
        <w:ind w:left="465" w:hanging="46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5A75E51"/>
    <w:multiLevelType w:val="multilevel"/>
    <w:tmpl w:val="F9F6E134"/>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6D66C0"/>
    <w:multiLevelType w:val="multilevel"/>
    <w:tmpl w:val="48ECD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844CC7"/>
    <w:multiLevelType w:val="multilevel"/>
    <w:tmpl w:val="83D29A0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E723F93"/>
    <w:multiLevelType w:val="multilevel"/>
    <w:tmpl w:val="44ACF8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F1471B7"/>
    <w:multiLevelType w:val="multilevel"/>
    <w:tmpl w:val="9070A63A"/>
    <w:lvl w:ilvl="0">
      <w:start w:val="4"/>
      <w:numFmt w:val="decimal"/>
      <w:lvlText w:val="%1"/>
      <w:lvlJc w:val="left"/>
      <w:pPr>
        <w:tabs>
          <w:tab w:val="num" w:pos="720"/>
        </w:tabs>
        <w:ind w:left="720" w:hanging="72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2">
    <w:nsid w:val="20A8731D"/>
    <w:multiLevelType w:val="multilevel"/>
    <w:tmpl w:val="97A2D05E"/>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2198745E"/>
    <w:multiLevelType w:val="multilevel"/>
    <w:tmpl w:val="25EEA69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21D4750C"/>
    <w:multiLevelType w:val="multilevel"/>
    <w:tmpl w:val="3E744F0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5F84ABF"/>
    <w:multiLevelType w:val="multilevel"/>
    <w:tmpl w:val="D9AE66E8"/>
    <w:lvl w:ilvl="0">
      <w:start w:val="4"/>
      <w:numFmt w:val="decimal"/>
      <w:lvlText w:val="%1"/>
      <w:lvlJc w:val="left"/>
      <w:pPr>
        <w:tabs>
          <w:tab w:val="num" w:pos="375"/>
        </w:tabs>
        <w:ind w:left="375" w:hanging="375"/>
      </w:pPr>
      <w:rPr>
        <w:rFonts w:hint="default"/>
        <w:b/>
        <w:color w:val="auto"/>
      </w:rPr>
    </w:lvl>
    <w:lvl w:ilvl="1">
      <w:start w:val="1"/>
      <w:numFmt w:val="decimal"/>
      <w:lvlText w:val="3.%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1080"/>
        </w:tabs>
        <w:ind w:left="1080" w:hanging="1080"/>
      </w:pPr>
      <w:rPr>
        <w:rFonts w:hint="default"/>
        <w:b/>
        <w:color w:val="auto"/>
      </w:rPr>
    </w:lvl>
    <w:lvl w:ilvl="4">
      <w:start w:val="1"/>
      <w:numFmt w:val="decimal"/>
      <w:lvlText w:val="%1.%2.%3.%4.%5"/>
      <w:lvlJc w:val="left"/>
      <w:pPr>
        <w:tabs>
          <w:tab w:val="num" w:pos="1440"/>
        </w:tabs>
        <w:ind w:left="1440" w:hanging="1440"/>
      </w:pPr>
      <w:rPr>
        <w:rFonts w:hint="default"/>
        <w:b/>
        <w:color w:val="auto"/>
      </w:rPr>
    </w:lvl>
    <w:lvl w:ilvl="5">
      <w:start w:val="1"/>
      <w:numFmt w:val="decimal"/>
      <w:lvlText w:val="%1.%2.%3.%4.%5.%6"/>
      <w:lvlJc w:val="left"/>
      <w:pPr>
        <w:tabs>
          <w:tab w:val="num" w:pos="1440"/>
        </w:tabs>
        <w:ind w:left="1440" w:hanging="1440"/>
      </w:pPr>
      <w:rPr>
        <w:rFonts w:hint="default"/>
        <w:b/>
        <w:color w:val="auto"/>
      </w:rPr>
    </w:lvl>
    <w:lvl w:ilvl="6">
      <w:start w:val="1"/>
      <w:numFmt w:val="decimal"/>
      <w:lvlText w:val="%1.%2.%3.%4.%5.%6.%7"/>
      <w:lvlJc w:val="left"/>
      <w:pPr>
        <w:tabs>
          <w:tab w:val="num" w:pos="1800"/>
        </w:tabs>
        <w:ind w:left="1800" w:hanging="1800"/>
      </w:pPr>
      <w:rPr>
        <w:rFonts w:hint="default"/>
        <w:b/>
        <w:color w:val="auto"/>
      </w:rPr>
    </w:lvl>
    <w:lvl w:ilvl="7">
      <w:start w:val="1"/>
      <w:numFmt w:val="decimal"/>
      <w:lvlText w:val="%1.%2.%3.%4.%5.%6.%7.%8"/>
      <w:lvlJc w:val="left"/>
      <w:pPr>
        <w:tabs>
          <w:tab w:val="num" w:pos="2160"/>
        </w:tabs>
        <w:ind w:left="2160" w:hanging="2160"/>
      </w:pPr>
      <w:rPr>
        <w:rFonts w:hint="default"/>
        <w:b/>
        <w:color w:val="auto"/>
      </w:rPr>
    </w:lvl>
    <w:lvl w:ilvl="8">
      <w:start w:val="1"/>
      <w:numFmt w:val="decimal"/>
      <w:lvlText w:val="%1.%2.%3.%4.%5.%6.%7.%8.%9"/>
      <w:lvlJc w:val="left"/>
      <w:pPr>
        <w:tabs>
          <w:tab w:val="num" w:pos="2160"/>
        </w:tabs>
        <w:ind w:left="2160" w:hanging="2160"/>
      </w:pPr>
      <w:rPr>
        <w:rFonts w:hint="default"/>
        <w:b/>
        <w:color w:val="auto"/>
      </w:rPr>
    </w:lvl>
  </w:abstractNum>
  <w:abstractNum w:abstractNumId="16">
    <w:nsid w:val="39D67554"/>
    <w:multiLevelType w:val="multilevel"/>
    <w:tmpl w:val="CC30CDB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E574E0A"/>
    <w:multiLevelType w:val="hybridMultilevel"/>
    <w:tmpl w:val="5B66AE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2D35AC9"/>
    <w:multiLevelType w:val="multilevel"/>
    <w:tmpl w:val="FC201914"/>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Tahoma" w:hAnsi="Tahoma" w:cs="Tahoma"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47136715"/>
    <w:multiLevelType w:val="multilevel"/>
    <w:tmpl w:val="80DE37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D993896"/>
    <w:multiLevelType w:val="multilevel"/>
    <w:tmpl w:val="0BA8860A"/>
    <w:lvl w:ilvl="0">
      <w:start w:val="1"/>
      <w:numFmt w:val="decimal"/>
      <w:lvlText w:val="%1"/>
      <w:lvlJc w:val="left"/>
      <w:pPr>
        <w:ind w:left="937" w:hanging="795"/>
      </w:pPr>
      <w:rPr>
        <w:rFonts w:hint="default"/>
      </w:rPr>
    </w:lvl>
    <w:lvl w:ilvl="1">
      <w:start w:val="1"/>
      <w:numFmt w:val="decimal"/>
      <w:lvlText w:val="%1.%2"/>
      <w:lvlJc w:val="left"/>
      <w:pPr>
        <w:ind w:left="937" w:hanging="795"/>
      </w:pPr>
      <w:rPr>
        <w:rFonts w:hint="default"/>
      </w:rPr>
    </w:lvl>
    <w:lvl w:ilvl="2">
      <w:start w:val="1"/>
      <w:numFmt w:val="decimal"/>
      <w:lvlText w:val="%1.%2.%3"/>
      <w:lvlJc w:val="left"/>
      <w:pPr>
        <w:ind w:left="937" w:hanging="795"/>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21">
    <w:nsid w:val="4DD76A6B"/>
    <w:multiLevelType w:val="multilevel"/>
    <w:tmpl w:val="BBD8E7E0"/>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2706944"/>
    <w:multiLevelType w:val="multilevel"/>
    <w:tmpl w:val="4622E53A"/>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nsid w:val="58DA6675"/>
    <w:multiLevelType w:val="multilevel"/>
    <w:tmpl w:val="A290EE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5BD70EC7"/>
    <w:multiLevelType w:val="multilevel"/>
    <w:tmpl w:val="36C2324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0707C52"/>
    <w:multiLevelType w:val="hybridMultilevel"/>
    <w:tmpl w:val="8CDEAED2"/>
    <w:lvl w:ilvl="0" w:tplc="F2BCA1B8">
      <w:start w:val="3"/>
      <w:numFmt w:val="none"/>
      <w:lvlText w:val="2."/>
      <w:lvlJc w:val="left"/>
      <w:pPr>
        <w:tabs>
          <w:tab w:val="num" w:pos="720"/>
        </w:tabs>
        <w:ind w:left="720" w:hanging="360"/>
      </w:pPr>
      <w:rPr>
        <w:rFonts w:hint="default"/>
        <w:b/>
      </w:rPr>
    </w:lvl>
    <w:lvl w:ilvl="1" w:tplc="08090019">
      <w:start w:val="1"/>
      <w:numFmt w:val="lowerLetter"/>
      <w:lvlText w:val="%2."/>
      <w:lvlJc w:val="left"/>
      <w:pPr>
        <w:tabs>
          <w:tab w:val="num" w:pos="1440"/>
        </w:tabs>
        <w:ind w:left="1440" w:hanging="360"/>
      </w:pPr>
    </w:lvl>
    <w:lvl w:ilvl="2" w:tplc="508A13AC">
      <w:start w:val="3"/>
      <w:numFmt w:val="decimal"/>
      <w:lvlText w:val="%3."/>
      <w:lvlJc w:val="left"/>
      <w:pPr>
        <w:tabs>
          <w:tab w:val="num" w:pos="2340"/>
        </w:tabs>
        <w:ind w:left="2340" w:hanging="360"/>
      </w:pPr>
      <w:rPr>
        <w:rFonts w:hint="default"/>
        <w:b/>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4671E4F"/>
    <w:multiLevelType w:val="multilevel"/>
    <w:tmpl w:val="06F079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6F63E83"/>
    <w:multiLevelType w:val="multilevel"/>
    <w:tmpl w:val="F2B81B24"/>
    <w:lvl w:ilvl="0">
      <w:start w:val="13"/>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9942DF3"/>
    <w:multiLevelType w:val="hybridMultilevel"/>
    <w:tmpl w:val="A1BAC41C"/>
    <w:lvl w:ilvl="0" w:tplc="7C460240">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0F10F47"/>
    <w:multiLevelType w:val="hybridMultilevel"/>
    <w:tmpl w:val="AEAEB762"/>
    <w:lvl w:ilvl="0" w:tplc="F34651A2">
      <w:start w:val="2"/>
      <w:numFmt w:val="decimal"/>
      <w:lvlText w:val="%1."/>
      <w:lvlJc w:val="left"/>
      <w:pPr>
        <w:tabs>
          <w:tab w:val="num" w:pos="360"/>
        </w:tabs>
        <w:ind w:left="360" w:hanging="360"/>
      </w:pPr>
      <w:rPr>
        <w:rFonts w:hint="default"/>
        <w:b/>
      </w:rPr>
    </w:lvl>
    <w:lvl w:ilvl="1" w:tplc="3DA8DDDE">
      <w:numFmt w:val="none"/>
      <w:lvlText w:val=""/>
      <w:lvlJc w:val="left"/>
      <w:pPr>
        <w:tabs>
          <w:tab w:val="num" w:pos="360"/>
        </w:tabs>
      </w:pPr>
    </w:lvl>
    <w:lvl w:ilvl="2" w:tplc="4B902B86">
      <w:numFmt w:val="none"/>
      <w:lvlText w:val=""/>
      <w:lvlJc w:val="left"/>
      <w:pPr>
        <w:tabs>
          <w:tab w:val="num" w:pos="360"/>
        </w:tabs>
      </w:pPr>
    </w:lvl>
    <w:lvl w:ilvl="3" w:tplc="37DECECA">
      <w:numFmt w:val="none"/>
      <w:lvlText w:val=""/>
      <w:lvlJc w:val="left"/>
      <w:pPr>
        <w:tabs>
          <w:tab w:val="num" w:pos="360"/>
        </w:tabs>
      </w:pPr>
    </w:lvl>
    <w:lvl w:ilvl="4" w:tplc="976C6FF8">
      <w:numFmt w:val="none"/>
      <w:lvlText w:val=""/>
      <w:lvlJc w:val="left"/>
      <w:pPr>
        <w:tabs>
          <w:tab w:val="num" w:pos="360"/>
        </w:tabs>
      </w:pPr>
    </w:lvl>
    <w:lvl w:ilvl="5" w:tplc="F10AA89E">
      <w:numFmt w:val="none"/>
      <w:lvlText w:val=""/>
      <w:lvlJc w:val="left"/>
      <w:pPr>
        <w:tabs>
          <w:tab w:val="num" w:pos="360"/>
        </w:tabs>
      </w:pPr>
    </w:lvl>
    <w:lvl w:ilvl="6" w:tplc="5C0A51CC">
      <w:numFmt w:val="none"/>
      <w:lvlText w:val=""/>
      <w:lvlJc w:val="left"/>
      <w:pPr>
        <w:tabs>
          <w:tab w:val="num" w:pos="360"/>
        </w:tabs>
      </w:pPr>
    </w:lvl>
    <w:lvl w:ilvl="7" w:tplc="9A66DBA8">
      <w:numFmt w:val="none"/>
      <w:lvlText w:val=""/>
      <w:lvlJc w:val="left"/>
      <w:pPr>
        <w:tabs>
          <w:tab w:val="num" w:pos="360"/>
        </w:tabs>
      </w:pPr>
    </w:lvl>
    <w:lvl w:ilvl="8" w:tplc="6ED8E3E0">
      <w:numFmt w:val="none"/>
      <w:lvlText w:val=""/>
      <w:lvlJc w:val="left"/>
      <w:pPr>
        <w:tabs>
          <w:tab w:val="num" w:pos="360"/>
        </w:tabs>
      </w:pPr>
    </w:lvl>
  </w:abstractNum>
  <w:abstractNum w:abstractNumId="30">
    <w:nsid w:val="734B4F4C"/>
    <w:multiLevelType w:val="multilevel"/>
    <w:tmpl w:val="D4D8FA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506386F"/>
    <w:multiLevelType w:val="multilevel"/>
    <w:tmpl w:val="9F7E41BE"/>
    <w:lvl w:ilvl="0">
      <w:start w:val="3"/>
      <w:numFmt w:val="decimal"/>
      <w:lvlText w:val="%1"/>
      <w:lvlJc w:val="left"/>
      <w:pPr>
        <w:tabs>
          <w:tab w:val="num" w:pos="360"/>
        </w:tabs>
        <w:ind w:left="360" w:hanging="360"/>
      </w:pPr>
      <w:rPr>
        <w:rFonts w:hint="default"/>
        <w:color w:val="auto"/>
      </w:rPr>
    </w:lvl>
    <w:lvl w:ilvl="1">
      <w:start w:val="1"/>
      <w:numFmt w:val="decimal"/>
      <w:lvlText w:val="2.%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2160"/>
        </w:tabs>
        <w:ind w:left="2160" w:hanging="216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32">
    <w:nsid w:val="77571743"/>
    <w:multiLevelType w:val="multilevel"/>
    <w:tmpl w:val="172404EA"/>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7EB345A"/>
    <w:multiLevelType w:val="multilevel"/>
    <w:tmpl w:val="2A4061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5E7073"/>
    <w:multiLevelType w:val="hybridMultilevel"/>
    <w:tmpl w:val="B16C27E8"/>
    <w:lvl w:ilvl="0" w:tplc="566CF084">
      <w:start w:val="11"/>
      <w:numFmt w:val="decimal"/>
      <w:lvlText w:val="%1."/>
      <w:lvlJc w:val="left"/>
      <w:pPr>
        <w:tabs>
          <w:tab w:val="num" w:pos="735"/>
        </w:tabs>
        <w:ind w:left="735" w:hanging="375"/>
      </w:pPr>
      <w:rPr>
        <w:rFonts w:hint="default"/>
        <w:b/>
      </w:rPr>
    </w:lvl>
    <w:lvl w:ilvl="1" w:tplc="63D67328">
      <w:numFmt w:val="none"/>
      <w:lvlText w:val=""/>
      <w:lvlJc w:val="left"/>
      <w:pPr>
        <w:tabs>
          <w:tab w:val="num" w:pos="360"/>
        </w:tabs>
      </w:pPr>
    </w:lvl>
    <w:lvl w:ilvl="2" w:tplc="356823CA">
      <w:numFmt w:val="none"/>
      <w:lvlText w:val=""/>
      <w:lvlJc w:val="left"/>
      <w:pPr>
        <w:tabs>
          <w:tab w:val="num" w:pos="360"/>
        </w:tabs>
      </w:pPr>
    </w:lvl>
    <w:lvl w:ilvl="3" w:tplc="44AE2A36">
      <w:numFmt w:val="none"/>
      <w:lvlText w:val=""/>
      <w:lvlJc w:val="left"/>
      <w:pPr>
        <w:tabs>
          <w:tab w:val="num" w:pos="360"/>
        </w:tabs>
      </w:pPr>
    </w:lvl>
    <w:lvl w:ilvl="4" w:tplc="AD3A2BE0">
      <w:numFmt w:val="none"/>
      <w:lvlText w:val=""/>
      <w:lvlJc w:val="left"/>
      <w:pPr>
        <w:tabs>
          <w:tab w:val="num" w:pos="360"/>
        </w:tabs>
      </w:pPr>
    </w:lvl>
    <w:lvl w:ilvl="5" w:tplc="8B5A6868">
      <w:numFmt w:val="none"/>
      <w:lvlText w:val=""/>
      <w:lvlJc w:val="left"/>
      <w:pPr>
        <w:tabs>
          <w:tab w:val="num" w:pos="360"/>
        </w:tabs>
      </w:pPr>
    </w:lvl>
    <w:lvl w:ilvl="6" w:tplc="D220D262">
      <w:numFmt w:val="none"/>
      <w:lvlText w:val=""/>
      <w:lvlJc w:val="left"/>
      <w:pPr>
        <w:tabs>
          <w:tab w:val="num" w:pos="360"/>
        </w:tabs>
      </w:pPr>
    </w:lvl>
    <w:lvl w:ilvl="7" w:tplc="9F3E84B6">
      <w:numFmt w:val="none"/>
      <w:lvlText w:val=""/>
      <w:lvlJc w:val="left"/>
      <w:pPr>
        <w:tabs>
          <w:tab w:val="num" w:pos="360"/>
        </w:tabs>
      </w:pPr>
    </w:lvl>
    <w:lvl w:ilvl="8" w:tplc="A8E00E7C">
      <w:numFmt w:val="none"/>
      <w:lvlText w:val=""/>
      <w:lvlJc w:val="left"/>
      <w:pPr>
        <w:tabs>
          <w:tab w:val="num" w:pos="360"/>
        </w:tabs>
      </w:pPr>
    </w:lvl>
  </w:abstractNum>
  <w:abstractNum w:abstractNumId="35">
    <w:nsid w:val="7A5E34B1"/>
    <w:multiLevelType w:val="multilevel"/>
    <w:tmpl w:val="71B46C44"/>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A7831CA"/>
    <w:multiLevelType w:val="multilevel"/>
    <w:tmpl w:val="9E08229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7C1212F1"/>
    <w:multiLevelType w:val="hybridMultilevel"/>
    <w:tmpl w:val="35464A52"/>
    <w:lvl w:ilvl="0" w:tplc="0C2073A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DA16D07"/>
    <w:multiLevelType w:val="hybridMultilevel"/>
    <w:tmpl w:val="1332DB4C"/>
    <w:lvl w:ilvl="0" w:tplc="A142DB9C">
      <w:start w:val="7"/>
      <w:numFmt w:val="decimal"/>
      <w:lvlText w:val="%1."/>
      <w:lvlJc w:val="left"/>
      <w:pPr>
        <w:tabs>
          <w:tab w:val="num" w:pos="720"/>
        </w:tabs>
        <w:ind w:left="720" w:hanging="360"/>
      </w:pPr>
      <w:rPr>
        <w:rFonts w:hint="default"/>
      </w:rPr>
    </w:lvl>
    <w:lvl w:ilvl="1" w:tplc="B2CE0C5E">
      <w:numFmt w:val="none"/>
      <w:lvlText w:val=""/>
      <w:lvlJc w:val="left"/>
      <w:pPr>
        <w:tabs>
          <w:tab w:val="num" w:pos="360"/>
        </w:tabs>
      </w:pPr>
    </w:lvl>
    <w:lvl w:ilvl="2" w:tplc="E7DA3348">
      <w:numFmt w:val="none"/>
      <w:lvlText w:val=""/>
      <w:lvlJc w:val="left"/>
      <w:pPr>
        <w:tabs>
          <w:tab w:val="num" w:pos="360"/>
        </w:tabs>
      </w:pPr>
    </w:lvl>
    <w:lvl w:ilvl="3" w:tplc="DB20D63E">
      <w:numFmt w:val="none"/>
      <w:lvlText w:val=""/>
      <w:lvlJc w:val="left"/>
      <w:pPr>
        <w:tabs>
          <w:tab w:val="num" w:pos="360"/>
        </w:tabs>
      </w:pPr>
    </w:lvl>
    <w:lvl w:ilvl="4" w:tplc="9DB23418">
      <w:numFmt w:val="none"/>
      <w:lvlText w:val=""/>
      <w:lvlJc w:val="left"/>
      <w:pPr>
        <w:tabs>
          <w:tab w:val="num" w:pos="360"/>
        </w:tabs>
      </w:pPr>
    </w:lvl>
    <w:lvl w:ilvl="5" w:tplc="F3F2517A">
      <w:numFmt w:val="none"/>
      <w:lvlText w:val=""/>
      <w:lvlJc w:val="left"/>
      <w:pPr>
        <w:tabs>
          <w:tab w:val="num" w:pos="360"/>
        </w:tabs>
      </w:pPr>
    </w:lvl>
    <w:lvl w:ilvl="6" w:tplc="3F20392C">
      <w:numFmt w:val="none"/>
      <w:lvlText w:val=""/>
      <w:lvlJc w:val="left"/>
      <w:pPr>
        <w:tabs>
          <w:tab w:val="num" w:pos="360"/>
        </w:tabs>
      </w:pPr>
    </w:lvl>
    <w:lvl w:ilvl="7" w:tplc="B4E664CE">
      <w:numFmt w:val="none"/>
      <w:lvlText w:val=""/>
      <w:lvlJc w:val="left"/>
      <w:pPr>
        <w:tabs>
          <w:tab w:val="num" w:pos="360"/>
        </w:tabs>
      </w:pPr>
    </w:lvl>
    <w:lvl w:ilvl="8" w:tplc="A604719C">
      <w:numFmt w:val="none"/>
      <w:lvlText w:val=""/>
      <w:lvlJc w:val="left"/>
      <w:pPr>
        <w:tabs>
          <w:tab w:val="num" w:pos="360"/>
        </w:tabs>
      </w:pPr>
    </w:lvl>
  </w:abstractNum>
  <w:num w:numId="1">
    <w:abstractNumId w:val="11"/>
  </w:num>
  <w:num w:numId="2">
    <w:abstractNumId w:val="30"/>
  </w:num>
  <w:num w:numId="3">
    <w:abstractNumId w:val="8"/>
  </w:num>
  <w:num w:numId="4">
    <w:abstractNumId w:val="29"/>
  </w:num>
  <w:num w:numId="5">
    <w:abstractNumId w:val="10"/>
  </w:num>
  <w:num w:numId="6">
    <w:abstractNumId w:val="31"/>
  </w:num>
  <w:num w:numId="7">
    <w:abstractNumId w:val="25"/>
  </w:num>
  <w:num w:numId="8">
    <w:abstractNumId w:val="15"/>
  </w:num>
  <w:num w:numId="9">
    <w:abstractNumId w:val="7"/>
  </w:num>
  <w:num w:numId="10">
    <w:abstractNumId w:val="16"/>
  </w:num>
  <w:num w:numId="11">
    <w:abstractNumId w:val="9"/>
  </w:num>
  <w:num w:numId="12">
    <w:abstractNumId w:val="3"/>
  </w:num>
  <w:num w:numId="13">
    <w:abstractNumId w:val="38"/>
  </w:num>
  <w:num w:numId="14">
    <w:abstractNumId w:val="35"/>
  </w:num>
  <w:num w:numId="15">
    <w:abstractNumId w:val="34"/>
  </w:num>
  <w:num w:numId="16">
    <w:abstractNumId w:val="33"/>
  </w:num>
  <w:num w:numId="17">
    <w:abstractNumId w:val="26"/>
  </w:num>
  <w:num w:numId="18">
    <w:abstractNumId w:val="6"/>
  </w:num>
  <w:num w:numId="19">
    <w:abstractNumId w:val="2"/>
  </w:num>
  <w:num w:numId="20">
    <w:abstractNumId w:val="24"/>
  </w:num>
  <w:num w:numId="21">
    <w:abstractNumId w:val="14"/>
  </w:num>
  <w:num w:numId="22">
    <w:abstractNumId w:val="21"/>
  </w:num>
  <w:num w:numId="23">
    <w:abstractNumId w:val="27"/>
  </w:num>
  <w:num w:numId="24">
    <w:abstractNumId w:val="4"/>
  </w:num>
  <w:num w:numId="25">
    <w:abstractNumId w:val="19"/>
  </w:num>
  <w:num w:numId="26">
    <w:abstractNumId w:val="20"/>
  </w:num>
  <w:num w:numId="27">
    <w:abstractNumId w:val="5"/>
  </w:num>
  <w:num w:numId="28">
    <w:abstractNumId w:val="18"/>
  </w:num>
  <w:num w:numId="29">
    <w:abstractNumId w:val="17"/>
  </w:num>
  <w:num w:numId="30">
    <w:abstractNumId w:val="13"/>
  </w:num>
  <w:num w:numId="31">
    <w:abstractNumId w:val="36"/>
  </w:num>
  <w:num w:numId="32">
    <w:abstractNumId w:val="32"/>
  </w:num>
  <w:num w:numId="33">
    <w:abstractNumId w:val="12"/>
  </w:num>
  <w:num w:numId="34">
    <w:abstractNumId w:val="22"/>
  </w:num>
  <w:num w:numId="35">
    <w:abstractNumId w:val="37"/>
  </w:num>
  <w:num w:numId="36">
    <w:abstractNumId w:val="28"/>
  </w:num>
  <w:num w:numId="37">
    <w:abstractNumId w:val="0"/>
  </w:num>
  <w:num w:numId="38">
    <w:abstractNumId w:val="1"/>
  </w:num>
  <w:num w:numId="39">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727"/>
    <w:rsid w:val="00000409"/>
    <w:rsid w:val="00003D22"/>
    <w:rsid w:val="00006247"/>
    <w:rsid w:val="0001001C"/>
    <w:rsid w:val="0001170D"/>
    <w:rsid w:val="00020482"/>
    <w:rsid w:val="0002095C"/>
    <w:rsid w:val="0002187D"/>
    <w:rsid w:val="000254C0"/>
    <w:rsid w:val="0002572B"/>
    <w:rsid w:val="00026C92"/>
    <w:rsid w:val="00027A0E"/>
    <w:rsid w:val="00035B1A"/>
    <w:rsid w:val="00036C10"/>
    <w:rsid w:val="00040BCC"/>
    <w:rsid w:val="00041371"/>
    <w:rsid w:val="000504EE"/>
    <w:rsid w:val="00054AD3"/>
    <w:rsid w:val="0006183E"/>
    <w:rsid w:val="000623C7"/>
    <w:rsid w:val="000637D2"/>
    <w:rsid w:val="00063A5B"/>
    <w:rsid w:val="000655C9"/>
    <w:rsid w:val="000659F8"/>
    <w:rsid w:val="000729D5"/>
    <w:rsid w:val="00073D7E"/>
    <w:rsid w:val="000748C5"/>
    <w:rsid w:val="00074D8C"/>
    <w:rsid w:val="000755F8"/>
    <w:rsid w:val="00076E0B"/>
    <w:rsid w:val="00077457"/>
    <w:rsid w:val="00077B9E"/>
    <w:rsid w:val="000837EE"/>
    <w:rsid w:val="000854A4"/>
    <w:rsid w:val="00087D3E"/>
    <w:rsid w:val="00090C7B"/>
    <w:rsid w:val="00091924"/>
    <w:rsid w:val="00091B5C"/>
    <w:rsid w:val="0009617D"/>
    <w:rsid w:val="00096816"/>
    <w:rsid w:val="00097152"/>
    <w:rsid w:val="00097889"/>
    <w:rsid w:val="000A4018"/>
    <w:rsid w:val="000A53F6"/>
    <w:rsid w:val="000A79B8"/>
    <w:rsid w:val="000A7C4B"/>
    <w:rsid w:val="000B06B9"/>
    <w:rsid w:val="000B257B"/>
    <w:rsid w:val="000B41DA"/>
    <w:rsid w:val="000B47E5"/>
    <w:rsid w:val="000B4898"/>
    <w:rsid w:val="000B63A8"/>
    <w:rsid w:val="000B75B6"/>
    <w:rsid w:val="000C0076"/>
    <w:rsid w:val="000C0B24"/>
    <w:rsid w:val="000D3032"/>
    <w:rsid w:val="000D6EC7"/>
    <w:rsid w:val="000E082F"/>
    <w:rsid w:val="000E0B59"/>
    <w:rsid w:val="000E367D"/>
    <w:rsid w:val="000E5644"/>
    <w:rsid w:val="000E7A8B"/>
    <w:rsid w:val="000F0F53"/>
    <w:rsid w:val="000F6E14"/>
    <w:rsid w:val="000F7DFE"/>
    <w:rsid w:val="00100569"/>
    <w:rsid w:val="001034BE"/>
    <w:rsid w:val="00103580"/>
    <w:rsid w:val="0011048D"/>
    <w:rsid w:val="001118B4"/>
    <w:rsid w:val="0011265F"/>
    <w:rsid w:val="001135E8"/>
    <w:rsid w:val="00117429"/>
    <w:rsid w:val="001242CF"/>
    <w:rsid w:val="00124AFC"/>
    <w:rsid w:val="00124E72"/>
    <w:rsid w:val="0012515D"/>
    <w:rsid w:val="00125F49"/>
    <w:rsid w:val="00126FD0"/>
    <w:rsid w:val="00133FD9"/>
    <w:rsid w:val="00136529"/>
    <w:rsid w:val="001405A8"/>
    <w:rsid w:val="00140B8E"/>
    <w:rsid w:val="0014296D"/>
    <w:rsid w:val="001434B7"/>
    <w:rsid w:val="00143801"/>
    <w:rsid w:val="00144A75"/>
    <w:rsid w:val="0014561B"/>
    <w:rsid w:val="00153617"/>
    <w:rsid w:val="00153AA1"/>
    <w:rsid w:val="00160BEB"/>
    <w:rsid w:val="0016135D"/>
    <w:rsid w:val="00167258"/>
    <w:rsid w:val="00171FED"/>
    <w:rsid w:val="00174418"/>
    <w:rsid w:val="001807F6"/>
    <w:rsid w:val="00181EB8"/>
    <w:rsid w:val="00183616"/>
    <w:rsid w:val="001839D0"/>
    <w:rsid w:val="0018609B"/>
    <w:rsid w:val="00191057"/>
    <w:rsid w:val="00191EEA"/>
    <w:rsid w:val="00194525"/>
    <w:rsid w:val="001945AA"/>
    <w:rsid w:val="001970D9"/>
    <w:rsid w:val="001A35A9"/>
    <w:rsid w:val="001A5445"/>
    <w:rsid w:val="001A63FF"/>
    <w:rsid w:val="001A65DD"/>
    <w:rsid w:val="001B0060"/>
    <w:rsid w:val="001B06C1"/>
    <w:rsid w:val="001B0B11"/>
    <w:rsid w:val="001B4B6A"/>
    <w:rsid w:val="001B7C02"/>
    <w:rsid w:val="001C031E"/>
    <w:rsid w:val="001C22E4"/>
    <w:rsid w:val="001C24F3"/>
    <w:rsid w:val="001C26DC"/>
    <w:rsid w:val="001C6032"/>
    <w:rsid w:val="001C7B93"/>
    <w:rsid w:val="001D0F37"/>
    <w:rsid w:val="001D1B51"/>
    <w:rsid w:val="001D314C"/>
    <w:rsid w:val="001D4964"/>
    <w:rsid w:val="001E367D"/>
    <w:rsid w:val="001E38C8"/>
    <w:rsid w:val="001E3F51"/>
    <w:rsid w:val="001E51E4"/>
    <w:rsid w:val="001E5642"/>
    <w:rsid w:val="001E595B"/>
    <w:rsid w:val="001E5977"/>
    <w:rsid w:val="001E6D07"/>
    <w:rsid w:val="001F7D30"/>
    <w:rsid w:val="00200B5D"/>
    <w:rsid w:val="00202DDD"/>
    <w:rsid w:val="002032EC"/>
    <w:rsid w:val="00203D63"/>
    <w:rsid w:val="002049AD"/>
    <w:rsid w:val="0020597D"/>
    <w:rsid w:val="00206063"/>
    <w:rsid w:val="00210E22"/>
    <w:rsid w:val="002113F5"/>
    <w:rsid w:val="00215A0B"/>
    <w:rsid w:val="00215F9C"/>
    <w:rsid w:val="00217952"/>
    <w:rsid w:val="002205F1"/>
    <w:rsid w:val="002209A7"/>
    <w:rsid w:val="002236F2"/>
    <w:rsid w:val="0022563F"/>
    <w:rsid w:val="00225C9A"/>
    <w:rsid w:val="00226AE4"/>
    <w:rsid w:val="00227BB5"/>
    <w:rsid w:val="00227F46"/>
    <w:rsid w:val="0023259C"/>
    <w:rsid w:val="002325C0"/>
    <w:rsid w:val="0023506C"/>
    <w:rsid w:val="00236CD1"/>
    <w:rsid w:val="0024275E"/>
    <w:rsid w:val="002454C7"/>
    <w:rsid w:val="002502CA"/>
    <w:rsid w:val="002545AE"/>
    <w:rsid w:val="002575CC"/>
    <w:rsid w:val="00260347"/>
    <w:rsid w:val="00262BCE"/>
    <w:rsid w:val="00262FF3"/>
    <w:rsid w:val="002642DF"/>
    <w:rsid w:val="002709D0"/>
    <w:rsid w:val="00271655"/>
    <w:rsid w:val="00274FF1"/>
    <w:rsid w:val="00275A02"/>
    <w:rsid w:val="0028026B"/>
    <w:rsid w:val="0028080E"/>
    <w:rsid w:val="00281B97"/>
    <w:rsid w:val="002823EE"/>
    <w:rsid w:val="00284562"/>
    <w:rsid w:val="00284A35"/>
    <w:rsid w:val="00284CE7"/>
    <w:rsid w:val="00287CB6"/>
    <w:rsid w:val="0029311A"/>
    <w:rsid w:val="00295049"/>
    <w:rsid w:val="00297F67"/>
    <w:rsid w:val="002A0000"/>
    <w:rsid w:val="002A0B4F"/>
    <w:rsid w:val="002A1152"/>
    <w:rsid w:val="002A52ED"/>
    <w:rsid w:val="002A6A20"/>
    <w:rsid w:val="002B7678"/>
    <w:rsid w:val="002C1C97"/>
    <w:rsid w:val="002C738B"/>
    <w:rsid w:val="002D168D"/>
    <w:rsid w:val="002D2318"/>
    <w:rsid w:val="002D35D5"/>
    <w:rsid w:val="002D3D7C"/>
    <w:rsid w:val="002D52FF"/>
    <w:rsid w:val="002D777F"/>
    <w:rsid w:val="002D7C76"/>
    <w:rsid w:val="002E0683"/>
    <w:rsid w:val="002E080C"/>
    <w:rsid w:val="002E0FAE"/>
    <w:rsid w:val="002E1492"/>
    <w:rsid w:val="002E1CA4"/>
    <w:rsid w:val="002E4136"/>
    <w:rsid w:val="002F1EED"/>
    <w:rsid w:val="002F44A7"/>
    <w:rsid w:val="002F611C"/>
    <w:rsid w:val="002F7064"/>
    <w:rsid w:val="00301DAB"/>
    <w:rsid w:val="00302F33"/>
    <w:rsid w:val="003058D6"/>
    <w:rsid w:val="003111FD"/>
    <w:rsid w:val="0031437D"/>
    <w:rsid w:val="00320F94"/>
    <w:rsid w:val="00324C4B"/>
    <w:rsid w:val="00325F94"/>
    <w:rsid w:val="0032796F"/>
    <w:rsid w:val="0033176A"/>
    <w:rsid w:val="003319D3"/>
    <w:rsid w:val="00332D19"/>
    <w:rsid w:val="00332DCD"/>
    <w:rsid w:val="00333239"/>
    <w:rsid w:val="0033671D"/>
    <w:rsid w:val="00337161"/>
    <w:rsid w:val="00340652"/>
    <w:rsid w:val="003426F4"/>
    <w:rsid w:val="00343C43"/>
    <w:rsid w:val="00345361"/>
    <w:rsid w:val="00345D18"/>
    <w:rsid w:val="00345EA6"/>
    <w:rsid w:val="00347D51"/>
    <w:rsid w:val="0035030F"/>
    <w:rsid w:val="00356586"/>
    <w:rsid w:val="003610CC"/>
    <w:rsid w:val="0036192D"/>
    <w:rsid w:val="0036259C"/>
    <w:rsid w:val="003676E6"/>
    <w:rsid w:val="003713AA"/>
    <w:rsid w:val="00371BCC"/>
    <w:rsid w:val="00371F73"/>
    <w:rsid w:val="00372A4D"/>
    <w:rsid w:val="00375854"/>
    <w:rsid w:val="003763DB"/>
    <w:rsid w:val="00376DC7"/>
    <w:rsid w:val="00377B3B"/>
    <w:rsid w:val="00380C3D"/>
    <w:rsid w:val="003861BE"/>
    <w:rsid w:val="0038730B"/>
    <w:rsid w:val="00390054"/>
    <w:rsid w:val="00390CB1"/>
    <w:rsid w:val="0039313C"/>
    <w:rsid w:val="00395EE9"/>
    <w:rsid w:val="003A1EF2"/>
    <w:rsid w:val="003A4E1D"/>
    <w:rsid w:val="003B1405"/>
    <w:rsid w:val="003B2563"/>
    <w:rsid w:val="003B55DF"/>
    <w:rsid w:val="003B6E36"/>
    <w:rsid w:val="003C2371"/>
    <w:rsid w:val="003D0CE2"/>
    <w:rsid w:val="003D2E8A"/>
    <w:rsid w:val="003D3F54"/>
    <w:rsid w:val="003D4274"/>
    <w:rsid w:val="003D6B75"/>
    <w:rsid w:val="003E0AC5"/>
    <w:rsid w:val="003E5727"/>
    <w:rsid w:val="003F06FD"/>
    <w:rsid w:val="003F26F9"/>
    <w:rsid w:val="003F4DD8"/>
    <w:rsid w:val="003F5924"/>
    <w:rsid w:val="003F599A"/>
    <w:rsid w:val="003F63CD"/>
    <w:rsid w:val="003F6BB5"/>
    <w:rsid w:val="00400A1A"/>
    <w:rsid w:val="0040224F"/>
    <w:rsid w:val="00402660"/>
    <w:rsid w:val="004036A3"/>
    <w:rsid w:val="00404DAF"/>
    <w:rsid w:val="00406598"/>
    <w:rsid w:val="00411C34"/>
    <w:rsid w:val="004124B4"/>
    <w:rsid w:val="0042217F"/>
    <w:rsid w:val="00422502"/>
    <w:rsid w:val="00424F5E"/>
    <w:rsid w:val="00427C93"/>
    <w:rsid w:val="00432400"/>
    <w:rsid w:val="0043285E"/>
    <w:rsid w:val="00433933"/>
    <w:rsid w:val="004357F8"/>
    <w:rsid w:val="00436B31"/>
    <w:rsid w:val="00440711"/>
    <w:rsid w:val="00442641"/>
    <w:rsid w:val="00442C1B"/>
    <w:rsid w:val="0044374D"/>
    <w:rsid w:val="00444AD9"/>
    <w:rsid w:val="00445097"/>
    <w:rsid w:val="004455F8"/>
    <w:rsid w:val="004466C1"/>
    <w:rsid w:val="004479C0"/>
    <w:rsid w:val="004519A7"/>
    <w:rsid w:val="00453A7E"/>
    <w:rsid w:val="00455AC7"/>
    <w:rsid w:val="0045626A"/>
    <w:rsid w:val="004609B8"/>
    <w:rsid w:val="00460E38"/>
    <w:rsid w:val="0046107B"/>
    <w:rsid w:val="00470B38"/>
    <w:rsid w:val="00471AF4"/>
    <w:rsid w:val="00473E3A"/>
    <w:rsid w:val="00474511"/>
    <w:rsid w:val="00476896"/>
    <w:rsid w:val="00476F66"/>
    <w:rsid w:val="00480410"/>
    <w:rsid w:val="004810D4"/>
    <w:rsid w:val="004839F5"/>
    <w:rsid w:val="004840B9"/>
    <w:rsid w:val="00484796"/>
    <w:rsid w:val="00484AA3"/>
    <w:rsid w:val="0049155A"/>
    <w:rsid w:val="00493772"/>
    <w:rsid w:val="00495D7C"/>
    <w:rsid w:val="00496D87"/>
    <w:rsid w:val="00497F0E"/>
    <w:rsid w:val="004A0E6E"/>
    <w:rsid w:val="004A1B63"/>
    <w:rsid w:val="004A1D95"/>
    <w:rsid w:val="004A1DC4"/>
    <w:rsid w:val="004A6AE1"/>
    <w:rsid w:val="004B04BB"/>
    <w:rsid w:val="004B2641"/>
    <w:rsid w:val="004B4E83"/>
    <w:rsid w:val="004B566E"/>
    <w:rsid w:val="004B6024"/>
    <w:rsid w:val="004B6E39"/>
    <w:rsid w:val="004C58A7"/>
    <w:rsid w:val="004C5DCE"/>
    <w:rsid w:val="004C65A3"/>
    <w:rsid w:val="004D0FF5"/>
    <w:rsid w:val="004D1B42"/>
    <w:rsid w:val="004D327E"/>
    <w:rsid w:val="004D3E60"/>
    <w:rsid w:val="004D4474"/>
    <w:rsid w:val="004D4752"/>
    <w:rsid w:val="004D7056"/>
    <w:rsid w:val="004E05A6"/>
    <w:rsid w:val="004E4BE9"/>
    <w:rsid w:val="004E5C20"/>
    <w:rsid w:val="004F0BC9"/>
    <w:rsid w:val="004F1FE5"/>
    <w:rsid w:val="004F4245"/>
    <w:rsid w:val="004F4855"/>
    <w:rsid w:val="004F6D8E"/>
    <w:rsid w:val="00500B1E"/>
    <w:rsid w:val="00500E31"/>
    <w:rsid w:val="00504ECD"/>
    <w:rsid w:val="00507209"/>
    <w:rsid w:val="00507303"/>
    <w:rsid w:val="005160D2"/>
    <w:rsid w:val="005169AF"/>
    <w:rsid w:val="00522D69"/>
    <w:rsid w:val="00522E18"/>
    <w:rsid w:val="005236F0"/>
    <w:rsid w:val="00523E61"/>
    <w:rsid w:val="00523F73"/>
    <w:rsid w:val="005259D2"/>
    <w:rsid w:val="00525EB9"/>
    <w:rsid w:val="005260E0"/>
    <w:rsid w:val="00526CE1"/>
    <w:rsid w:val="00526F0C"/>
    <w:rsid w:val="00530AF5"/>
    <w:rsid w:val="00531493"/>
    <w:rsid w:val="0053255A"/>
    <w:rsid w:val="00534ECA"/>
    <w:rsid w:val="00535E44"/>
    <w:rsid w:val="00536E1F"/>
    <w:rsid w:val="0054048D"/>
    <w:rsid w:val="0054199B"/>
    <w:rsid w:val="00544F82"/>
    <w:rsid w:val="0054565D"/>
    <w:rsid w:val="00551DB7"/>
    <w:rsid w:val="00552785"/>
    <w:rsid w:val="00552F5C"/>
    <w:rsid w:val="005536CE"/>
    <w:rsid w:val="00555B30"/>
    <w:rsid w:val="00557BC5"/>
    <w:rsid w:val="00560D30"/>
    <w:rsid w:val="00560FBC"/>
    <w:rsid w:val="00563C52"/>
    <w:rsid w:val="00563E08"/>
    <w:rsid w:val="00565F1D"/>
    <w:rsid w:val="005701F3"/>
    <w:rsid w:val="00570443"/>
    <w:rsid w:val="005712AA"/>
    <w:rsid w:val="00571373"/>
    <w:rsid w:val="005752FA"/>
    <w:rsid w:val="00583F05"/>
    <w:rsid w:val="005840B8"/>
    <w:rsid w:val="005857F5"/>
    <w:rsid w:val="00585ED0"/>
    <w:rsid w:val="0059368E"/>
    <w:rsid w:val="00594B33"/>
    <w:rsid w:val="005A1B16"/>
    <w:rsid w:val="005A5C72"/>
    <w:rsid w:val="005A6A11"/>
    <w:rsid w:val="005A7BA9"/>
    <w:rsid w:val="005B0DA1"/>
    <w:rsid w:val="005C04F5"/>
    <w:rsid w:val="005C1422"/>
    <w:rsid w:val="005C3856"/>
    <w:rsid w:val="005C4873"/>
    <w:rsid w:val="005C70C5"/>
    <w:rsid w:val="005D2B9A"/>
    <w:rsid w:val="005D78D3"/>
    <w:rsid w:val="005E23E9"/>
    <w:rsid w:val="005E26E8"/>
    <w:rsid w:val="005E2F65"/>
    <w:rsid w:val="005E5BA6"/>
    <w:rsid w:val="005E7801"/>
    <w:rsid w:val="005F07B1"/>
    <w:rsid w:val="005F153B"/>
    <w:rsid w:val="005F1C25"/>
    <w:rsid w:val="005F1CBE"/>
    <w:rsid w:val="005F2331"/>
    <w:rsid w:val="005F4202"/>
    <w:rsid w:val="005F60D4"/>
    <w:rsid w:val="005F6C8A"/>
    <w:rsid w:val="00602E84"/>
    <w:rsid w:val="006039D8"/>
    <w:rsid w:val="006054EB"/>
    <w:rsid w:val="00605CD1"/>
    <w:rsid w:val="0061204D"/>
    <w:rsid w:val="00613443"/>
    <w:rsid w:val="00614321"/>
    <w:rsid w:val="00614FF5"/>
    <w:rsid w:val="006176E8"/>
    <w:rsid w:val="0061798F"/>
    <w:rsid w:val="00617A23"/>
    <w:rsid w:val="0062161E"/>
    <w:rsid w:val="00622FD9"/>
    <w:rsid w:val="00626FDA"/>
    <w:rsid w:val="0063044D"/>
    <w:rsid w:val="00633951"/>
    <w:rsid w:val="00634C03"/>
    <w:rsid w:val="006355EB"/>
    <w:rsid w:val="00635627"/>
    <w:rsid w:val="0064097E"/>
    <w:rsid w:val="00642D8A"/>
    <w:rsid w:val="006432BC"/>
    <w:rsid w:val="00644DED"/>
    <w:rsid w:val="006462C1"/>
    <w:rsid w:val="00650620"/>
    <w:rsid w:val="0065307C"/>
    <w:rsid w:val="00654021"/>
    <w:rsid w:val="006546B4"/>
    <w:rsid w:val="00655027"/>
    <w:rsid w:val="00655F14"/>
    <w:rsid w:val="0065706D"/>
    <w:rsid w:val="006574C2"/>
    <w:rsid w:val="00657645"/>
    <w:rsid w:val="00660607"/>
    <w:rsid w:val="006723E3"/>
    <w:rsid w:val="0067309C"/>
    <w:rsid w:val="0067481B"/>
    <w:rsid w:val="00674FD9"/>
    <w:rsid w:val="00675095"/>
    <w:rsid w:val="00675A96"/>
    <w:rsid w:val="00675B5B"/>
    <w:rsid w:val="0067727F"/>
    <w:rsid w:val="006823FB"/>
    <w:rsid w:val="00682409"/>
    <w:rsid w:val="006851C6"/>
    <w:rsid w:val="00685261"/>
    <w:rsid w:val="00685475"/>
    <w:rsid w:val="0068724B"/>
    <w:rsid w:val="00690561"/>
    <w:rsid w:val="00692FB7"/>
    <w:rsid w:val="006930C7"/>
    <w:rsid w:val="00693C3F"/>
    <w:rsid w:val="006A0579"/>
    <w:rsid w:val="006A38E5"/>
    <w:rsid w:val="006A4E44"/>
    <w:rsid w:val="006A69B2"/>
    <w:rsid w:val="006A6C16"/>
    <w:rsid w:val="006A6C19"/>
    <w:rsid w:val="006B26D0"/>
    <w:rsid w:val="006B3251"/>
    <w:rsid w:val="006B7B44"/>
    <w:rsid w:val="006C13BB"/>
    <w:rsid w:val="006C4D3E"/>
    <w:rsid w:val="006C59E1"/>
    <w:rsid w:val="006D1B9A"/>
    <w:rsid w:val="006D334D"/>
    <w:rsid w:val="006D6675"/>
    <w:rsid w:val="006D6FF7"/>
    <w:rsid w:val="006E272C"/>
    <w:rsid w:val="006E36A8"/>
    <w:rsid w:val="006E5B82"/>
    <w:rsid w:val="006E6E45"/>
    <w:rsid w:val="006F0AEF"/>
    <w:rsid w:val="006F0DDB"/>
    <w:rsid w:val="006F2E69"/>
    <w:rsid w:val="006F32B8"/>
    <w:rsid w:val="006F365A"/>
    <w:rsid w:val="006F5D81"/>
    <w:rsid w:val="006F6E2F"/>
    <w:rsid w:val="007043C9"/>
    <w:rsid w:val="007077C8"/>
    <w:rsid w:val="00710617"/>
    <w:rsid w:val="0071581B"/>
    <w:rsid w:val="007169B2"/>
    <w:rsid w:val="00720220"/>
    <w:rsid w:val="00724E46"/>
    <w:rsid w:val="0072545F"/>
    <w:rsid w:val="007268F6"/>
    <w:rsid w:val="00731932"/>
    <w:rsid w:val="007320F1"/>
    <w:rsid w:val="00733873"/>
    <w:rsid w:val="0073770E"/>
    <w:rsid w:val="00740640"/>
    <w:rsid w:val="00743F32"/>
    <w:rsid w:val="00745E01"/>
    <w:rsid w:val="00745F0F"/>
    <w:rsid w:val="0074761B"/>
    <w:rsid w:val="007536A0"/>
    <w:rsid w:val="00754807"/>
    <w:rsid w:val="00762571"/>
    <w:rsid w:val="00762970"/>
    <w:rsid w:val="007661D3"/>
    <w:rsid w:val="00771117"/>
    <w:rsid w:val="0077134E"/>
    <w:rsid w:val="00773D8F"/>
    <w:rsid w:val="00775758"/>
    <w:rsid w:val="00785274"/>
    <w:rsid w:val="007924EE"/>
    <w:rsid w:val="00792DF4"/>
    <w:rsid w:val="00794F10"/>
    <w:rsid w:val="007A0AEB"/>
    <w:rsid w:val="007A3BD2"/>
    <w:rsid w:val="007A49A4"/>
    <w:rsid w:val="007A7122"/>
    <w:rsid w:val="007B036E"/>
    <w:rsid w:val="007B171A"/>
    <w:rsid w:val="007B398E"/>
    <w:rsid w:val="007B3C9E"/>
    <w:rsid w:val="007B3FA0"/>
    <w:rsid w:val="007B46F2"/>
    <w:rsid w:val="007B5D35"/>
    <w:rsid w:val="007B62BD"/>
    <w:rsid w:val="007B674A"/>
    <w:rsid w:val="007C20F8"/>
    <w:rsid w:val="007C297F"/>
    <w:rsid w:val="007C4C4D"/>
    <w:rsid w:val="007C516F"/>
    <w:rsid w:val="007C5F13"/>
    <w:rsid w:val="007D1B86"/>
    <w:rsid w:val="007D6763"/>
    <w:rsid w:val="007D6D10"/>
    <w:rsid w:val="007E1894"/>
    <w:rsid w:val="007E37EF"/>
    <w:rsid w:val="007F023B"/>
    <w:rsid w:val="007F2DAB"/>
    <w:rsid w:val="007F3974"/>
    <w:rsid w:val="007F3D6B"/>
    <w:rsid w:val="007F6B8D"/>
    <w:rsid w:val="00800C55"/>
    <w:rsid w:val="00806191"/>
    <w:rsid w:val="008101B3"/>
    <w:rsid w:val="00810696"/>
    <w:rsid w:val="00810908"/>
    <w:rsid w:val="00810BD3"/>
    <w:rsid w:val="00816316"/>
    <w:rsid w:val="00817C86"/>
    <w:rsid w:val="00821B12"/>
    <w:rsid w:val="0083090E"/>
    <w:rsid w:val="00831597"/>
    <w:rsid w:val="00833201"/>
    <w:rsid w:val="0083496E"/>
    <w:rsid w:val="00836F2A"/>
    <w:rsid w:val="00843531"/>
    <w:rsid w:val="00846573"/>
    <w:rsid w:val="0085207B"/>
    <w:rsid w:val="00854D43"/>
    <w:rsid w:val="00856B94"/>
    <w:rsid w:val="00860960"/>
    <w:rsid w:val="0086279D"/>
    <w:rsid w:val="00864829"/>
    <w:rsid w:val="0086675B"/>
    <w:rsid w:val="00870FEE"/>
    <w:rsid w:val="00873137"/>
    <w:rsid w:val="0087318D"/>
    <w:rsid w:val="008750C2"/>
    <w:rsid w:val="00877008"/>
    <w:rsid w:val="00884710"/>
    <w:rsid w:val="00884D13"/>
    <w:rsid w:val="00890825"/>
    <w:rsid w:val="008922C2"/>
    <w:rsid w:val="008933AD"/>
    <w:rsid w:val="00895106"/>
    <w:rsid w:val="0089632C"/>
    <w:rsid w:val="008A181F"/>
    <w:rsid w:val="008A32D6"/>
    <w:rsid w:val="008A3DFB"/>
    <w:rsid w:val="008A566A"/>
    <w:rsid w:val="008B2C4B"/>
    <w:rsid w:val="008B2D51"/>
    <w:rsid w:val="008B4FAA"/>
    <w:rsid w:val="008B550E"/>
    <w:rsid w:val="008B55E6"/>
    <w:rsid w:val="008B6F7A"/>
    <w:rsid w:val="008C507C"/>
    <w:rsid w:val="008C5DCD"/>
    <w:rsid w:val="008C60FD"/>
    <w:rsid w:val="008D0CBF"/>
    <w:rsid w:val="008D121A"/>
    <w:rsid w:val="008D45BF"/>
    <w:rsid w:val="008D46C9"/>
    <w:rsid w:val="008D78FE"/>
    <w:rsid w:val="008E024D"/>
    <w:rsid w:val="008E2265"/>
    <w:rsid w:val="008E2654"/>
    <w:rsid w:val="008E4C20"/>
    <w:rsid w:val="008E65F3"/>
    <w:rsid w:val="008E6AC5"/>
    <w:rsid w:val="008E7609"/>
    <w:rsid w:val="008E78D6"/>
    <w:rsid w:val="008F0B28"/>
    <w:rsid w:val="008F1783"/>
    <w:rsid w:val="008F22A9"/>
    <w:rsid w:val="008F2C48"/>
    <w:rsid w:val="008F7503"/>
    <w:rsid w:val="009022C2"/>
    <w:rsid w:val="0090468C"/>
    <w:rsid w:val="00907503"/>
    <w:rsid w:val="00907534"/>
    <w:rsid w:val="00907D0F"/>
    <w:rsid w:val="00912484"/>
    <w:rsid w:val="009130B9"/>
    <w:rsid w:val="0092093F"/>
    <w:rsid w:val="00925F27"/>
    <w:rsid w:val="00927B7F"/>
    <w:rsid w:val="00936739"/>
    <w:rsid w:val="00937931"/>
    <w:rsid w:val="009415D0"/>
    <w:rsid w:val="0095297D"/>
    <w:rsid w:val="0095716B"/>
    <w:rsid w:val="00962707"/>
    <w:rsid w:val="0096627D"/>
    <w:rsid w:val="00970AD5"/>
    <w:rsid w:val="00970DBF"/>
    <w:rsid w:val="00974A35"/>
    <w:rsid w:val="00977A43"/>
    <w:rsid w:val="0098285A"/>
    <w:rsid w:val="00983798"/>
    <w:rsid w:val="00995EDB"/>
    <w:rsid w:val="00997DCC"/>
    <w:rsid w:val="009A217F"/>
    <w:rsid w:val="009A2DC8"/>
    <w:rsid w:val="009A5E3E"/>
    <w:rsid w:val="009B57FA"/>
    <w:rsid w:val="009B782C"/>
    <w:rsid w:val="009C034A"/>
    <w:rsid w:val="009C20F2"/>
    <w:rsid w:val="009C580E"/>
    <w:rsid w:val="009C5863"/>
    <w:rsid w:val="009C70F0"/>
    <w:rsid w:val="009D194F"/>
    <w:rsid w:val="009E4D1D"/>
    <w:rsid w:val="009E4E51"/>
    <w:rsid w:val="009F0702"/>
    <w:rsid w:val="009F527D"/>
    <w:rsid w:val="009F7EAB"/>
    <w:rsid w:val="00A03064"/>
    <w:rsid w:val="00A03624"/>
    <w:rsid w:val="00A03816"/>
    <w:rsid w:val="00A05AF5"/>
    <w:rsid w:val="00A073D7"/>
    <w:rsid w:val="00A1261B"/>
    <w:rsid w:val="00A15AEF"/>
    <w:rsid w:val="00A17552"/>
    <w:rsid w:val="00A2126F"/>
    <w:rsid w:val="00A21FF7"/>
    <w:rsid w:val="00A22282"/>
    <w:rsid w:val="00A22A51"/>
    <w:rsid w:val="00A27632"/>
    <w:rsid w:val="00A278E6"/>
    <w:rsid w:val="00A30389"/>
    <w:rsid w:val="00A32800"/>
    <w:rsid w:val="00A32D8B"/>
    <w:rsid w:val="00A343DD"/>
    <w:rsid w:val="00A34B1B"/>
    <w:rsid w:val="00A36B71"/>
    <w:rsid w:val="00A374CA"/>
    <w:rsid w:val="00A37887"/>
    <w:rsid w:val="00A40B77"/>
    <w:rsid w:val="00A4389E"/>
    <w:rsid w:val="00A44136"/>
    <w:rsid w:val="00A4787C"/>
    <w:rsid w:val="00A50275"/>
    <w:rsid w:val="00A50796"/>
    <w:rsid w:val="00A51A7D"/>
    <w:rsid w:val="00A51BF3"/>
    <w:rsid w:val="00A642D9"/>
    <w:rsid w:val="00A6638F"/>
    <w:rsid w:val="00A671AC"/>
    <w:rsid w:val="00A67B6B"/>
    <w:rsid w:val="00A74669"/>
    <w:rsid w:val="00A837CE"/>
    <w:rsid w:val="00A87AAE"/>
    <w:rsid w:val="00A87D2E"/>
    <w:rsid w:val="00A92D98"/>
    <w:rsid w:val="00A954FE"/>
    <w:rsid w:val="00A96AEC"/>
    <w:rsid w:val="00AA065F"/>
    <w:rsid w:val="00AA1D08"/>
    <w:rsid w:val="00AA47CC"/>
    <w:rsid w:val="00AA6124"/>
    <w:rsid w:val="00AB4636"/>
    <w:rsid w:val="00AC2DC5"/>
    <w:rsid w:val="00AC6824"/>
    <w:rsid w:val="00AC6FFE"/>
    <w:rsid w:val="00AC7F3B"/>
    <w:rsid w:val="00AD05D0"/>
    <w:rsid w:val="00AD3687"/>
    <w:rsid w:val="00AD6694"/>
    <w:rsid w:val="00AE02E6"/>
    <w:rsid w:val="00AE12DE"/>
    <w:rsid w:val="00AE1A0B"/>
    <w:rsid w:val="00AE3673"/>
    <w:rsid w:val="00AE467F"/>
    <w:rsid w:val="00AE564E"/>
    <w:rsid w:val="00AE75DC"/>
    <w:rsid w:val="00AF0437"/>
    <w:rsid w:val="00AF09D3"/>
    <w:rsid w:val="00AF1E13"/>
    <w:rsid w:val="00AF3566"/>
    <w:rsid w:val="00AF36D4"/>
    <w:rsid w:val="00AF434D"/>
    <w:rsid w:val="00AF568B"/>
    <w:rsid w:val="00AF5B4E"/>
    <w:rsid w:val="00AF61D1"/>
    <w:rsid w:val="00B00F27"/>
    <w:rsid w:val="00B02ADA"/>
    <w:rsid w:val="00B035A4"/>
    <w:rsid w:val="00B11402"/>
    <w:rsid w:val="00B12891"/>
    <w:rsid w:val="00B1390E"/>
    <w:rsid w:val="00B156C6"/>
    <w:rsid w:val="00B20BDC"/>
    <w:rsid w:val="00B21C5D"/>
    <w:rsid w:val="00B24162"/>
    <w:rsid w:val="00B2490B"/>
    <w:rsid w:val="00B25DAC"/>
    <w:rsid w:val="00B33D51"/>
    <w:rsid w:val="00B35ECC"/>
    <w:rsid w:val="00B40768"/>
    <w:rsid w:val="00B40A97"/>
    <w:rsid w:val="00B410C8"/>
    <w:rsid w:val="00B44F60"/>
    <w:rsid w:val="00B46CA0"/>
    <w:rsid w:val="00B52240"/>
    <w:rsid w:val="00B55CCF"/>
    <w:rsid w:val="00B56D61"/>
    <w:rsid w:val="00B619AA"/>
    <w:rsid w:val="00B6701E"/>
    <w:rsid w:val="00B7252B"/>
    <w:rsid w:val="00B73CDC"/>
    <w:rsid w:val="00B7509B"/>
    <w:rsid w:val="00B83B60"/>
    <w:rsid w:val="00B856DD"/>
    <w:rsid w:val="00B85EC6"/>
    <w:rsid w:val="00B901C9"/>
    <w:rsid w:val="00B926EA"/>
    <w:rsid w:val="00B955B8"/>
    <w:rsid w:val="00BA00A3"/>
    <w:rsid w:val="00BA2376"/>
    <w:rsid w:val="00BA6407"/>
    <w:rsid w:val="00BA6650"/>
    <w:rsid w:val="00BA7F60"/>
    <w:rsid w:val="00BB2848"/>
    <w:rsid w:val="00BB5E50"/>
    <w:rsid w:val="00BB6CA2"/>
    <w:rsid w:val="00BB755F"/>
    <w:rsid w:val="00BB7B4C"/>
    <w:rsid w:val="00BC1F2E"/>
    <w:rsid w:val="00BC2521"/>
    <w:rsid w:val="00BC41F5"/>
    <w:rsid w:val="00BC4B75"/>
    <w:rsid w:val="00BD026A"/>
    <w:rsid w:val="00BD2868"/>
    <w:rsid w:val="00BD32E3"/>
    <w:rsid w:val="00BD5C5C"/>
    <w:rsid w:val="00BE10E5"/>
    <w:rsid w:val="00BE112F"/>
    <w:rsid w:val="00BE31CD"/>
    <w:rsid w:val="00BE3368"/>
    <w:rsid w:val="00BE50A9"/>
    <w:rsid w:val="00BF244E"/>
    <w:rsid w:val="00BF2A13"/>
    <w:rsid w:val="00BF47DD"/>
    <w:rsid w:val="00C02828"/>
    <w:rsid w:val="00C04554"/>
    <w:rsid w:val="00C049D6"/>
    <w:rsid w:val="00C04B5E"/>
    <w:rsid w:val="00C05393"/>
    <w:rsid w:val="00C05CF9"/>
    <w:rsid w:val="00C10E17"/>
    <w:rsid w:val="00C12B89"/>
    <w:rsid w:val="00C15887"/>
    <w:rsid w:val="00C15A43"/>
    <w:rsid w:val="00C15F23"/>
    <w:rsid w:val="00C22A0D"/>
    <w:rsid w:val="00C257D1"/>
    <w:rsid w:val="00C26616"/>
    <w:rsid w:val="00C2709B"/>
    <w:rsid w:val="00C30F2D"/>
    <w:rsid w:val="00C33814"/>
    <w:rsid w:val="00C34D3F"/>
    <w:rsid w:val="00C351C8"/>
    <w:rsid w:val="00C35B9E"/>
    <w:rsid w:val="00C373E9"/>
    <w:rsid w:val="00C37A57"/>
    <w:rsid w:val="00C43B46"/>
    <w:rsid w:val="00C45DE2"/>
    <w:rsid w:val="00C50963"/>
    <w:rsid w:val="00C53B06"/>
    <w:rsid w:val="00C53B9D"/>
    <w:rsid w:val="00C5722C"/>
    <w:rsid w:val="00C607AE"/>
    <w:rsid w:val="00C613BD"/>
    <w:rsid w:val="00C6220A"/>
    <w:rsid w:val="00C624AB"/>
    <w:rsid w:val="00C62A91"/>
    <w:rsid w:val="00C66229"/>
    <w:rsid w:val="00C67973"/>
    <w:rsid w:val="00C679AF"/>
    <w:rsid w:val="00C71978"/>
    <w:rsid w:val="00C72013"/>
    <w:rsid w:val="00C73323"/>
    <w:rsid w:val="00C82475"/>
    <w:rsid w:val="00C908E5"/>
    <w:rsid w:val="00C9178B"/>
    <w:rsid w:val="00C962CC"/>
    <w:rsid w:val="00C96CAA"/>
    <w:rsid w:val="00C96CEA"/>
    <w:rsid w:val="00C96E52"/>
    <w:rsid w:val="00C97ADD"/>
    <w:rsid w:val="00CA0747"/>
    <w:rsid w:val="00CA1232"/>
    <w:rsid w:val="00CA19AA"/>
    <w:rsid w:val="00CA761B"/>
    <w:rsid w:val="00CB0266"/>
    <w:rsid w:val="00CB0FCD"/>
    <w:rsid w:val="00CB19D1"/>
    <w:rsid w:val="00CB1E74"/>
    <w:rsid w:val="00CB2411"/>
    <w:rsid w:val="00CC01A0"/>
    <w:rsid w:val="00CC0816"/>
    <w:rsid w:val="00CC1F48"/>
    <w:rsid w:val="00CC7CCC"/>
    <w:rsid w:val="00CD1547"/>
    <w:rsid w:val="00CD2B5F"/>
    <w:rsid w:val="00CD3852"/>
    <w:rsid w:val="00CE11B3"/>
    <w:rsid w:val="00CE6F12"/>
    <w:rsid w:val="00CE7AB1"/>
    <w:rsid w:val="00CF18BB"/>
    <w:rsid w:val="00CF47B8"/>
    <w:rsid w:val="00CF5703"/>
    <w:rsid w:val="00CF5FD5"/>
    <w:rsid w:val="00D02C80"/>
    <w:rsid w:val="00D05954"/>
    <w:rsid w:val="00D068E8"/>
    <w:rsid w:val="00D12F19"/>
    <w:rsid w:val="00D1511D"/>
    <w:rsid w:val="00D15361"/>
    <w:rsid w:val="00D15949"/>
    <w:rsid w:val="00D20D2D"/>
    <w:rsid w:val="00D20E6D"/>
    <w:rsid w:val="00D22FB4"/>
    <w:rsid w:val="00D243B8"/>
    <w:rsid w:val="00D253F2"/>
    <w:rsid w:val="00D26629"/>
    <w:rsid w:val="00D31695"/>
    <w:rsid w:val="00D3250B"/>
    <w:rsid w:val="00D36BF8"/>
    <w:rsid w:val="00D36E5E"/>
    <w:rsid w:val="00D41769"/>
    <w:rsid w:val="00D4368B"/>
    <w:rsid w:val="00D44E70"/>
    <w:rsid w:val="00D5098D"/>
    <w:rsid w:val="00D511F6"/>
    <w:rsid w:val="00D51A76"/>
    <w:rsid w:val="00D5207D"/>
    <w:rsid w:val="00D52F12"/>
    <w:rsid w:val="00D538B3"/>
    <w:rsid w:val="00D53DBE"/>
    <w:rsid w:val="00D53F2A"/>
    <w:rsid w:val="00D55881"/>
    <w:rsid w:val="00D569ED"/>
    <w:rsid w:val="00D6696E"/>
    <w:rsid w:val="00D66A82"/>
    <w:rsid w:val="00D672E1"/>
    <w:rsid w:val="00D74458"/>
    <w:rsid w:val="00D76398"/>
    <w:rsid w:val="00D8045A"/>
    <w:rsid w:val="00D80479"/>
    <w:rsid w:val="00D84C1F"/>
    <w:rsid w:val="00D9125E"/>
    <w:rsid w:val="00D916A9"/>
    <w:rsid w:val="00D91B51"/>
    <w:rsid w:val="00D922C6"/>
    <w:rsid w:val="00D94059"/>
    <w:rsid w:val="00D941D0"/>
    <w:rsid w:val="00DA337F"/>
    <w:rsid w:val="00DA3970"/>
    <w:rsid w:val="00DA5C61"/>
    <w:rsid w:val="00DA5D4A"/>
    <w:rsid w:val="00DB0186"/>
    <w:rsid w:val="00DB11B2"/>
    <w:rsid w:val="00DB278C"/>
    <w:rsid w:val="00DB2EEE"/>
    <w:rsid w:val="00DB42DD"/>
    <w:rsid w:val="00DB5D6F"/>
    <w:rsid w:val="00DC12F7"/>
    <w:rsid w:val="00DC4FA7"/>
    <w:rsid w:val="00DC59F9"/>
    <w:rsid w:val="00DC5BD9"/>
    <w:rsid w:val="00DD2A1C"/>
    <w:rsid w:val="00DD345A"/>
    <w:rsid w:val="00DD5C1E"/>
    <w:rsid w:val="00DD7D32"/>
    <w:rsid w:val="00DE3D84"/>
    <w:rsid w:val="00DE5D5F"/>
    <w:rsid w:val="00DF5859"/>
    <w:rsid w:val="00DF7F30"/>
    <w:rsid w:val="00E04669"/>
    <w:rsid w:val="00E04A8F"/>
    <w:rsid w:val="00E13F59"/>
    <w:rsid w:val="00E15327"/>
    <w:rsid w:val="00E16A8F"/>
    <w:rsid w:val="00E22D54"/>
    <w:rsid w:val="00E32EE2"/>
    <w:rsid w:val="00E32EF0"/>
    <w:rsid w:val="00E363A8"/>
    <w:rsid w:val="00E36869"/>
    <w:rsid w:val="00E457C9"/>
    <w:rsid w:val="00E47530"/>
    <w:rsid w:val="00E546C4"/>
    <w:rsid w:val="00E54C70"/>
    <w:rsid w:val="00E54CC0"/>
    <w:rsid w:val="00E561CB"/>
    <w:rsid w:val="00E57409"/>
    <w:rsid w:val="00E60EDB"/>
    <w:rsid w:val="00E6176E"/>
    <w:rsid w:val="00E630D3"/>
    <w:rsid w:val="00E64E54"/>
    <w:rsid w:val="00E67101"/>
    <w:rsid w:val="00E67B63"/>
    <w:rsid w:val="00E67C39"/>
    <w:rsid w:val="00E779FD"/>
    <w:rsid w:val="00E80C54"/>
    <w:rsid w:val="00E80E05"/>
    <w:rsid w:val="00E8112F"/>
    <w:rsid w:val="00E81A1D"/>
    <w:rsid w:val="00E81D46"/>
    <w:rsid w:val="00E82280"/>
    <w:rsid w:val="00E82D3F"/>
    <w:rsid w:val="00E83233"/>
    <w:rsid w:val="00E851BD"/>
    <w:rsid w:val="00E87292"/>
    <w:rsid w:val="00E87ED4"/>
    <w:rsid w:val="00E901C8"/>
    <w:rsid w:val="00E9045C"/>
    <w:rsid w:val="00E914D0"/>
    <w:rsid w:val="00E95244"/>
    <w:rsid w:val="00E962BD"/>
    <w:rsid w:val="00EA1988"/>
    <w:rsid w:val="00EA2EF2"/>
    <w:rsid w:val="00EA7F04"/>
    <w:rsid w:val="00EB0584"/>
    <w:rsid w:val="00EB3029"/>
    <w:rsid w:val="00EB3328"/>
    <w:rsid w:val="00EB40A2"/>
    <w:rsid w:val="00EB55B6"/>
    <w:rsid w:val="00EB577F"/>
    <w:rsid w:val="00EB58BA"/>
    <w:rsid w:val="00EB656B"/>
    <w:rsid w:val="00EB7055"/>
    <w:rsid w:val="00EB7650"/>
    <w:rsid w:val="00EC0425"/>
    <w:rsid w:val="00EC564F"/>
    <w:rsid w:val="00EC5D9A"/>
    <w:rsid w:val="00EC7EB8"/>
    <w:rsid w:val="00ED0B21"/>
    <w:rsid w:val="00ED17E0"/>
    <w:rsid w:val="00ED41F8"/>
    <w:rsid w:val="00ED57E6"/>
    <w:rsid w:val="00ED7F6C"/>
    <w:rsid w:val="00EE18CC"/>
    <w:rsid w:val="00EE2B6E"/>
    <w:rsid w:val="00EE3F04"/>
    <w:rsid w:val="00EE57F9"/>
    <w:rsid w:val="00EE5A75"/>
    <w:rsid w:val="00EE696A"/>
    <w:rsid w:val="00EE72F9"/>
    <w:rsid w:val="00EE77B7"/>
    <w:rsid w:val="00EF7E17"/>
    <w:rsid w:val="00F00F13"/>
    <w:rsid w:val="00F017BF"/>
    <w:rsid w:val="00F01C31"/>
    <w:rsid w:val="00F07444"/>
    <w:rsid w:val="00F07FA4"/>
    <w:rsid w:val="00F10E88"/>
    <w:rsid w:val="00F11F4C"/>
    <w:rsid w:val="00F155FC"/>
    <w:rsid w:val="00F17CAD"/>
    <w:rsid w:val="00F22295"/>
    <w:rsid w:val="00F25666"/>
    <w:rsid w:val="00F26312"/>
    <w:rsid w:val="00F26AE3"/>
    <w:rsid w:val="00F3041E"/>
    <w:rsid w:val="00F31146"/>
    <w:rsid w:val="00F32674"/>
    <w:rsid w:val="00F33BAC"/>
    <w:rsid w:val="00F34552"/>
    <w:rsid w:val="00F354A9"/>
    <w:rsid w:val="00F36DB7"/>
    <w:rsid w:val="00F37AD2"/>
    <w:rsid w:val="00F421FF"/>
    <w:rsid w:val="00F44FDE"/>
    <w:rsid w:val="00F5036D"/>
    <w:rsid w:val="00F52ACA"/>
    <w:rsid w:val="00F5332D"/>
    <w:rsid w:val="00F533D4"/>
    <w:rsid w:val="00F53862"/>
    <w:rsid w:val="00F55BDF"/>
    <w:rsid w:val="00F61538"/>
    <w:rsid w:val="00F62252"/>
    <w:rsid w:val="00F62830"/>
    <w:rsid w:val="00F635A7"/>
    <w:rsid w:val="00F63828"/>
    <w:rsid w:val="00F6632B"/>
    <w:rsid w:val="00F66500"/>
    <w:rsid w:val="00F6782E"/>
    <w:rsid w:val="00F719B5"/>
    <w:rsid w:val="00F76FDD"/>
    <w:rsid w:val="00F77D6F"/>
    <w:rsid w:val="00F86E30"/>
    <w:rsid w:val="00F87998"/>
    <w:rsid w:val="00F92B07"/>
    <w:rsid w:val="00F97690"/>
    <w:rsid w:val="00F976EB"/>
    <w:rsid w:val="00FA59D1"/>
    <w:rsid w:val="00FA70CA"/>
    <w:rsid w:val="00FA7775"/>
    <w:rsid w:val="00FA7CD1"/>
    <w:rsid w:val="00FB072B"/>
    <w:rsid w:val="00FB0FA6"/>
    <w:rsid w:val="00FB15E9"/>
    <w:rsid w:val="00FB3AD9"/>
    <w:rsid w:val="00FB42CB"/>
    <w:rsid w:val="00FC2499"/>
    <w:rsid w:val="00FC334E"/>
    <w:rsid w:val="00FC3524"/>
    <w:rsid w:val="00FC3A46"/>
    <w:rsid w:val="00FC3A61"/>
    <w:rsid w:val="00FC58B0"/>
    <w:rsid w:val="00FD1C18"/>
    <w:rsid w:val="00FD402F"/>
    <w:rsid w:val="00FD4082"/>
    <w:rsid w:val="00FD6429"/>
    <w:rsid w:val="00FD6754"/>
    <w:rsid w:val="00FD6D80"/>
    <w:rsid w:val="00FE06A8"/>
    <w:rsid w:val="00FE37C2"/>
    <w:rsid w:val="00FF3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5510">
      <w:bodyDiv w:val="1"/>
      <w:marLeft w:val="0"/>
      <w:marRight w:val="0"/>
      <w:marTop w:val="0"/>
      <w:marBottom w:val="0"/>
      <w:divBdr>
        <w:top w:val="none" w:sz="0" w:space="0" w:color="auto"/>
        <w:left w:val="none" w:sz="0" w:space="0" w:color="auto"/>
        <w:bottom w:val="none" w:sz="0" w:space="0" w:color="auto"/>
        <w:right w:val="none" w:sz="0" w:space="0" w:color="auto"/>
      </w:divBdr>
    </w:div>
    <w:div w:id="18318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C2077-99E6-40DD-9928-0A805704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Template>
  <TotalTime>5</TotalTime>
  <Pages>7</Pages>
  <Words>2426</Words>
  <Characters>12666</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15062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ROWNTREE, Kate (C8111)</cp:lastModifiedBy>
  <cp:revision>6</cp:revision>
  <cp:lastPrinted>2014-03-07T15:23:00Z</cp:lastPrinted>
  <dcterms:created xsi:type="dcterms:W3CDTF">2017-03-02T17:41:00Z</dcterms:created>
  <dcterms:modified xsi:type="dcterms:W3CDTF">2017-03-08T14:45:00Z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388a756b-3a87-49f3-a1b3-2abb3cb23825</vt:lpwstr>
  </property>
  <property fmtid="{D5CDD505-2E9C-101B-9397-08002B2CF9AE}" pid="3" name="Classification">
    <vt:lpwstr>OFFICIAL</vt:lpwstr>
  </property>
</Properties>
</file>