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5EB" w:rsidRDefault="000705E8" w:rsidP="00EE05EB">
      <w:r>
        <w:rPr>
          <w:noProof/>
        </w:rPr>
        <mc:AlternateContent>
          <mc:Choice Requires="wps">
            <w:drawing>
              <wp:anchor distT="0" distB="0" distL="114300" distR="114300" simplePos="0" relativeHeight="251660288" behindDoc="0" locked="0" layoutInCell="1" allowOverlap="1" wp14:editId="36B11C9B">
                <wp:simplePos x="0" y="0"/>
                <wp:positionH relativeFrom="column">
                  <wp:posOffset>5372100</wp:posOffset>
                </wp:positionH>
                <wp:positionV relativeFrom="paragraph">
                  <wp:posOffset>-457835</wp:posOffset>
                </wp:positionV>
                <wp:extent cx="847725" cy="3714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371475"/>
                        </a:xfrm>
                        <a:prstGeom prst="rect">
                          <a:avLst/>
                        </a:prstGeom>
                        <a:solidFill>
                          <a:srgbClr val="FFFFFF"/>
                        </a:solidFill>
                        <a:ln w="9525">
                          <a:solidFill>
                            <a:schemeClr val="bg1"/>
                          </a:solidFill>
                          <a:miter lim="800000"/>
                          <a:headEnd/>
                          <a:tailEnd/>
                        </a:ln>
                      </wps:spPr>
                      <wps:txbx>
                        <w:txbxContent>
                          <w:p w:rsidR="00D57949" w:rsidRPr="000705E8" w:rsidRDefault="005E7EC7">
                            <w:pPr>
                              <w:rPr>
                                <w:rFonts w:ascii="Tahoma" w:hAnsi="Tahoma" w:cs="Tahoma"/>
                                <w:sz w:val="28"/>
                              </w:rPr>
                            </w:pPr>
                            <w:r>
                              <w:rPr>
                                <w:rFonts w:ascii="Tahoma" w:hAnsi="Tahoma" w:cs="Tahoma"/>
                                <w:sz w:val="28"/>
                              </w:rPr>
                              <w:t>Item 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3pt;margin-top:-36.05pt;width:66.7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" strokecolor="white [3212]">
                <v:textbox>
                  <w:txbxContent>
                    <w:p w:rsidR="00D57949" w:rsidRPr="000705E8" w:rsidRDefault="005E7EC7">
                      <w:pPr>
                        <w:rPr>
                          <w:rFonts w:ascii="Tahoma" w:hAnsi="Tahoma" w:cs="Tahoma"/>
                          <w:sz w:val="28"/>
                        </w:rPr>
                      </w:pPr>
                      <w:r>
                        <w:rPr>
                          <w:rFonts w:ascii="Tahoma" w:hAnsi="Tahoma" w:cs="Tahoma"/>
                          <w:sz w:val="28"/>
                        </w:rPr>
                        <w:t>Item 9</w:t>
                      </w:r>
                    </w:p>
                  </w:txbxContent>
                </v:textbox>
              </v:shape>
            </w:pict>
          </mc:Fallback>
        </mc:AlternateContent>
      </w:r>
    </w:p>
    <w:p w:rsidR="00EE05EB" w:rsidRDefault="00EE05EB" w:rsidP="00EE05EB">
      <w:pPr>
        <w:widowControl w:val="0"/>
        <w:jc w:val="right"/>
        <w:rPr>
          <w:rFonts w:ascii="Tahoma" w:hAnsi="Tahoma" w:cs="Tahoma"/>
          <w:b/>
          <w:bCs/>
        </w:rPr>
      </w:pPr>
      <w:r>
        <w:rPr>
          <w:noProof/>
        </w:rPr>
        <w:drawing>
          <wp:anchor distT="36576" distB="36576" distL="36576" distR="36576" simplePos="0" relativeHeight="251658240" behindDoc="0" locked="0" layoutInCell="1" allowOverlap="1">
            <wp:simplePos x="0" y="0"/>
            <wp:positionH relativeFrom="column">
              <wp:posOffset>0</wp:posOffset>
            </wp:positionH>
            <wp:positionV relativeFrom="paragraph">
              <wp:posOffset>-457200</wp:posOffset>
            </wp:positionV>
            <wp:extent cx="1959610" cy="1697355"/>
            <wp:effectExtent l="0" t="0" r="2540" b="0"/>
            <wp:wrapNone/>
            <wp:docPr id="1" name="Picture 1" descr="PCCC - M on 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CC - M on W"/>
                    <pic:cNvPicPr>
                      <a:picLocks noChangeAspect="1" noChangeArrowheads="1"/>
                    </pic:cNvPicPr>
                  </pic:nvPicPr>
                  <pic:blipFill>
                    <a:blip r:embed="rId7" cstate="print">
                      <a:extLst>
                        <a:ext uri="{28A0092B-C50C-407E-A947-70E740481C1C}">
                          <a14:useLocalDpi xmlns:a14="http://schemas.microsoft.com/office/drawing/2010/main" val="0"/>
                        </a:ext>
                      </a:extLst>
                    </a:blip>
                    <a:srcRect l="27942" r="26082" b="485"/>
                    <a:stretch>
                      <a:fillRect/>
                    </a:stretch>
                  </pic:blipFill>
                  <pic:spPr bwMode="auto">
                    <a:xfrm>
                      <a:off x="0" y="0"/>
                      <a:ext cx="1959610" cy="169735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EE05EB" w:rsidRDefault="00EE05EB" w:rsidP="00EE05EB">
      <w:pPr>
        <w:widowControl w:val="0"/>
        <w:jc w:val="right"/>
        <w:rPr>
          <w:rFonts w:ascii="Tahoma" w:hAnsi="Tahoma" w:cs="Tahoma"/>
          <w:b/>
          <w:bCs/>
          <w:sz w:val="20"/>
          <w:szCs w:val="20"/>
        </w:rPr>
      </w:pPr>
    </w:p>
    <w:p w:rsidR="00EE05EB" w:rsidRDefault="00EE05EB" w:rsidP="00EE05EB">
      <w:pPr>
        <w:widowControl w:val="0"/>
        <w:rPr>
          <w:rFonts w:ascii="Tahoma" w:hAnsi="Tahoma" w:cs="Tahoma"/>
          <w:b/>
          <w:sz w:val="20"/>
          <w:szCs w:val="20"/>
        </w:rPr>
      </w:pPr>
      <w:r>
        <w:rPr>
          <w:rFonts w:ascii="Tahoma" w:hAnsi="Tahoma" w:cs="Tahoma"/>
          <w:b/>
          <w:bCs/>
          <w:sz w:val="20"/>
          <w:szCs w:val="20"/>
        </w:rPr>
        <w:t xml:space="preserve">                                                                                                                 </w:t>
      </w:r>
      <w:r>
        <w:rPr>
          <w:rFonts w:ascii="Tahoma" w:hAnsi="Tahoma" w:cs="Tahoma"/>
          <w:b/>
          <w:sz w:val="20"/>
          <w:szCs w:val="20"/>
        </w:rPr>
        <w:t xml:space="preserve"> </w:t>
      </w:r>
    </w:p>
    <w:p w:rsidR="00EE05EB" w:rsidRDefault="00EE05EB" w:rsidP="00EE05EB">
      <w:pPr>
        <w:widowControl w:val="0"/>
        <w:rPr>
          <w:rFonts w:ascii="Tahoma" w:hAnsi="Tahoma" w:cs="Tahoma"/>
          <w:b/>
          <w:sz w:val="20"/>
          <w:szCs w:val="20"/>
        </w:rPr>
      </w:pPr>
    </w:p>
    <w:p w:rsidR="000705E8" w:rsidRDefault="000705E8" w:rsidP="00EE05EB">
      <w:pPr>
        <w:widowControl w:val="0"/>
        <w:rPr>
          <w:rFonts w:ascii="Tahoma" w:hAnsi="Tahoma" w:cs="Tahoma"/>
          <w:b/>
          <w:sz w:val="20"/>
          <w:szCs w:val="20"/>
        </w:rPr>
      </w:pPr>
    </w:p>
    <w:p w:rsidR="000705E8" w:rsidRDefault="000705E8" w:rsidP="00EE05EB">
      <w:pPr>
        <w:widowControl w:val="0"/>
        <w:rPr>
          <w:rFonts w:ascii="Tahoma" w:hAnsi="Tahoma" w:cs="Tahoma"/>
          <w:b/>
          <w:sz w:val="20"/>
          <w:szCs w:val="20"/>
        </w:rPr>
      </w:pPr>
    </w:p>
    <w:p w:rsidR="000705E8" w:rsidRDefault="000705E8" w:rsidP="00EE05EB">
      <w:pPr>
        <w:widowControl w:val="0"/>
        <w:rPr>
          <w:rFonts w:ascii="Tahoma" w:hAnsi="Tahoma" w:cs="Tahoma"/>
          <w:b/>
          <w:sz w:val="20"/>
          <w:szCs w:val="20"/>
        </w:rPr>
      </w:pPr>
    </w:p>
    <w:p w:rsidR="000705E8" w:rsidRDefault="000705E8" w:rsidP="00EE05EB">
      <w:pPr>
        <w:widowControl w:val="0"/>
        <w:rPr>
          <w:rFonts w:ascii="Tahoma" w:hAnsi="Tahoma" w:cs="Tahoma"/>
          <w:b/>
          <w:sz w:val="20"/>
          <w:szCs w:val="20"/>
        </w:rPr>
      </w:pPr>
    </w:p>
    <w:p w:rsidR="00EE05EB" w:rsidRPr="00AD6A88" w:rsidRDefault="00EE05EB" w:rsidP="00AD6A88">
      <w:pPr>
        <w:widowControl w:val="0"/>
        <w:tabs>
          <w:tab w:val="left" w:pos="900"/>
          <w:tab w:val="left" w:pos="3794"/>
          <w:tab w:val="left" w:pos="6569"/>
        </w:tabs>
        <w:rPr>
          <w:rFonts w:ascii="Tahoma" w:hAnsi="Tahoma" w:cs="Tahoma"/>
          <w:b/>
          <w:sz w:val="20"/>
          <w:szCs w:val="20"/>
        </w:rPr>
      </w:pPr>
      <w:r>
        <w:rPr>
          <w:rFonts w:ascii="Tahoma" w:hAnsi="Tahoma" w:cs="Tahoma"/>
          <w:b/>
          <w:sz w:val="20"/>
          <w:szCs w:val="20"/>
        </w:rPr>
        <w:t xml:space="preserve"> </w:t>
      </w:r>
    </w:p>
    <w:p w:rsidR="00EE05EB" w:rsidRDefault="00EE05EB" w:rsidP="00EE05EB">
      <w:pPr>
        <w:jc w:val="both"/>
        <w:outlineLvl w:val="0"/>
        <w:rPr>
          <w:rFonts w:ascii="Tahoma" w:hAnsi="Tahoma" w:cs="Tahoma"/>
          <w:b/>
        </w:rPr>
      </w:pPr>
      <w:r>
        <w:rPr>
          <w:rFonts w:ascii="Tahoma" w:hAnsi="Tahoma" w:cs="Tahoma"/>
          <w:b/>
        </w:rPr>
        <w:t xml:space="preserve">Report of the PCC </w:t>
      </w:r>
      <w:r w:rsidR="00554C46">
        <w:rPr>
          <w:rFonts w:ascii="Tahoma" w:hAnsi="Tahoma" w:cs="Tahoma"/>
          <w:b/>
        </w:rPr>
        <w:t xml:space="preserve">CFO </w:t>
      </w:r>
      <w:r>
        <w:rPr>
          <w:rFonts w:ascii="Tahoma" w:hAnsi="Tahoma" w:cs="Tahoma"/>
          <w:b/>
        </w:rPr>
        <w:t xml:space="preserve">to the Chair and Members of the Joint Audit Committee </w:t>
      </w:r>
    </w:p>
    <w:p w:rsidR="00EE05EB" w:rsidRDefault="009D4A94" w:rsidP="00EE05EB">
      <w:pPr>
        <w:jc w:val="both"/>
        <w:rPr>
          <w:rFonts w:ascii="Tahoma" w:hAnsi="Tahoma" w:cs="Tahoma"/>
          <w:b/>
        </w:rPr>
      </w:pPr>
      <w:r>
        <w:rPr>
          <w:rFonts w:ascii="Tahoma" w:hAnsi="Tahoma" w:cs="Tahoma"/>
          <w:b/>
        </w:rPr>
        <w:t>2</w:t>
      </w:r>
      <w:r w:rsidR="005E7EC7">
        <w:rPr>
          <w:rFonts w:ascii="Tahoma" w:hAnsi="Tahoma" w:cs="Tahoma"/>
          <w:b/>
        </w:rPr>
        <w:t>3</w:t>
      </w:r>
      <w:r w:rsidR="005E7EC7" w:rsidRPr="005E7EC7">
        <w:rPr>
          <w:rFonts w:ascii="Tahoma" w:hAnsi="Tahoma" w:cs="Tahoma"/>
          <w:b/>
          <w:vertAlign w:val="superscript"/>
        </w:rPr>
        <w:t>rd</w:t>
      </w:r>
      <w:r w:rsidR="005E7EC7">
        <w:rPr>
          <w:rFonts w:ascii="Tahoma" w:hAnsi="Tahoma" w:cs="Tahoma"/>
          <w:b/>
        </w:rPr>
        <w:t xml:space="preserve"> March</w:t>
      </w:r>
      <w:r>
        <w:rPr>
          <w:rFonts w:ascii="Tahoma" w:hAnsi="Tahoma" w:cs="Tahoma"/>
          <w:b/>
        </w:rPr>
        <w:t xml:space="preserve"> 201</w:t>
      </w:r>
      <w:r w:rsidR="005E7EC7">
        <w:rPr>
          <w:rFonts w:ascii="Tahoma" w:hAnsi="Tahoma" w:cs="Tahoma"/>
          <w:b/>
        </w:rPr>
        <w:t>7</w:t>
      </w:r>
    </w:p>
    <w:p w:rsidR="00EE05EB" w:rsidRDefault="00EE05EB" w:rsidP="00EE05EB">
      <w:pPr>
        <w:jc w:val="both"/>
        <w:rPr>
          <w:rFonts w:ascii="Tahoma" w:hAnsi="Tahoma" w:cs="Tahoma"/>
        </w:rPr>
      </w:pPr>
    </w:p>
    <w:p w:rsidR="00EE05EB" w:rsidRDefault="00EE05EB" w:rsidP="00EE05EB">
      <w:pPr>
        <w:jc w:val="both"/>
        <w:rPr>
          <w:rFonts w:ascii="Tahoma" w:hAnsi="Tahoma" w:cs="Tahoma"/>
          <w:b/>
        </w:rPr>
      </w:pPr>
      <w:r>
        <w:rPr>
          <w:rFonts w:ascii="Tahoma" w:hAnsi="Tahoma" w:cs="Tahoma"/>
          <w:b/>
        </w:rPr>
        <w:t>Presenting Officer: Mr Michae</w:t>
      </w:r>
      <w:r w:rsidR="000705E8">
        <w:rPr>
          <w:rFonts w:ascii="Tahoma" w:hAnsi="Tahoma" w:cs="Tahoma"/>
          <w:b/>
        </w:rPr>
        <w:t>l Porter, Chief Finance Officer</w:t>
      </w:r>
    </w:p>
    <w:p w:rsidR="00EE05EB" w:rsidRDefault="00EE05EB" w:rsidP="00EE05EB">
      <w:pPr>
        <w:jc w:val="both"/>
        <w:rPr>
          <w:rFonts w:ascii="Tahoma" w:hAnsi="Tahoma" w:cs="Tahoma"/>
          <w:b/>
        </w:rPr>
      </w:pPr>
    </w:p>
    <w:p w:rsidR="00EE05EB" w:rsidRDefault="00EE05EB" w:rsidP="00EE05EB">
      <w:pPr>
        <w:jc w:val="both"/>
        <w:outlineLvl w:val="0"/>
        <w:rPr>
          <w:rFonts w:ascii="Tahoma" w:hAnsi="Tahoma" w:cs="Tahoma"/>
          <w:b/>
        </w:rPr>
      </w:pPr>
      <w:r>
        <w:rPr>
          <w:rFonts w:ascii="Tahoma" w:hAnsi="Tahoma" w:cs="Tahoma"/>
          <w:b/>
        </w:rPr>
        <w:t>Status: For information</w:t>
      </w:r>
    </w:p>
    <w:p w:rsidR="00EE05EB" w:rsidRDefault="00EE05EB" w:rsidP="00EE05EB">
      <w:pPr>
        <w:jc w:val="both"/>
        <w:rPr>
          <w:rFonts w:ascii="Tahoma" w:hAnsi="Tahoma" w:cs="Tahoma"/>
          <w:b/>
          <w:bCs/>
        </w:rPr>
      </w:pPr>
    </w:p>
    <w:p w:rsidR="00EE05EB" w:rsidRDefault="00EE05EB" w:rsidP="00EE05EB">
      <w:pPr>
        <w:jc w:val="both"/>
        <w:outlineLvl w:val="0"/>
        <w:rPr>
          <w:rFonts w:ascii="Tahoma" w:hAnsi="Tahoma" w:cs="Tahoma"/>
          <w:b/>
          <w:sz w:val="28"/>
          <w:szCs w:val="28"/>
        </w:rPr>
      </w:pPr>
      <w:r>
        <w:rPr>
          <w:rFonts w:ascii="Tahoma" w:hAnsi="Tahoma" w:cs="Tahoma"/>
          <w:b/>
          <w:sz w:val="28"/>
          <w:szCs w:val="28"/>
        </w:rPr>
        <w:t>Strategic Risk Register</w:t>
      </w:r>
    </w:p>
    <w:p w:rsidR="00EE05EB" w:rsidRDefault="00EE05EB" w:rsidP="00EE05EB">
      <w:pPr>
        <w:jc w:val="both"/>
        <w:rPr>
          <w:rFonts w:ascii="Tahoma" w:hAnsi="Tahoma" w:cs="Tahoma"/>
          <w:b/>
          <w:bCs/>
        </w:rPr>
      </w:pPr>
    </w:p>
    <w:p w:rsidR="00EE05EB" w:rsidRDefault="00EE05EB" w:rsidP="00EE05EB">
      <w:pPr>
        <w:jc w:val="both"/>
        <w:rPr>
          <w:rFonts w:ascii="Tahoma" w:hAnsi="Tahoma" w:cs="Tahoma"/>
          <w:b/>
          <w:bCs/>
        </w:rPr>
      </w:pPr>
    </w:p>
    <w:p w:rsidR="00EE05EB" w:rsidRDefault="00EE05EB" w:rsidP="00EE05EB">
      <w:pPr>
        <w:tabs>
          <w:tab w:val="left" w:pos="709"/>
        </w:tabs>
        <w:outlineLvl w:val="0"/>
        <w:rPr>
          <w:rFonts w:ascii="Tahoma" w:hAnsi="Tahoma" w:cs="Tahoma"/>
          <w:b/>
        </w:rPr>
      </w:pPr>
      <w:r>
        <w:rPr>
          <w:rFonts w:ascii="Tahoma" w:hAnsi="Tahoma" w:cs="Tahoma"/>
          <w:b/>
        </w:rPr>
        <w:t>1.</w:t>
      </w:r>
      <w:r>
        <w:rPr>
          <w:rFonts w:ascii="Tahoma" w:hAnsi="Tahoma" w:cs="Tahoma"/>
          <w:b/>
        </w:rPr>
        <w:tab/>
        <w:t xml:space="preserve">Purpose </w:t>
      </w:r>
    </w:p>
    <w:p w:rsidR="00EE05EB" w:rsidRDefault="00EE05EB" w:rsidP="00EE05EB">
      <w:pPr>
        <w:tabs>
          <w:tab w:val="left" w:pos="567"/>
        </w:tabs>
        <w:rPr>
          <w:rFonts w:ascii="Tahoma" w:hAnsi="Tahoma" w:cs="Tahoma"/>
        </w:rPr>
      </w:pPr>
    </w:p>
    <w:p w:rsidR="00EE05EB" w:rsidRDefault="00EE05EB" w:rsidP="00EE05EB">
      <w:pPr>
        <w:tabs>
          <w:tab w:val="left" w:pos="709"/>
        </w:tabs>
        <w:ind w:left="709" w:hanging="709"/>
        <w:rPr>
          <w:rFonts w:ascii="Tahoma" w:hAnsi="Tahoma" w:cs="Tahoma"/>
          <w:iCs/>
        </w:rPr>
      </w:pPr>
      <w:r>
        <w:rPr>
          <w:rFonts w:ascii="Tahoma" w:hAnsi="Tahoma" w:cs="Tahoma"/>
        </w:rPr>
        <w:t>1.1</w:t>
      </w:r>
      <w:r>
        <w:rPr>
          <w:rFonts w:ascii="Tahoma" w:hAnsi="Tahoma" w:cs="Tahoma"/>
        </w:rPr>
        <w:tab/>
      </w:r>
      <w:r>
        <w:rPr>
          <w:rFonts w:ascii="Tahoma" w:hAnsi="Tahoma" w:cs="Tahoma"/>
          <w:iCs/>
        </w:rPr>
        <w:t>To provide Members with an update on the progress of the PCC’s</w:t>
      </w:r>
      <w:r>
        <w:rPr>
          <w:rFonts w:ascii="Tahoma" w:hAnsi="Tahoma" w:cs="Tahoma"/>
        </w:rPr>
        <w:t xml:space="preserve"> risk register</w:t>
      </w:r>
      <w:r>
        <w:rPr>
          <w:rFonts w:ascii="Tahoma" w:hAnsi="Tahoma" w:cs="Tahoma"/>
          <w:iCs/>
        </w:rPr>
        <w:t>.</w:t>
      </w:r>
    </w:p>
    <w:p w:rsidR="00EE05EB" w:rsidRDefault="00EE05EB" w:rsidP="00EE05EB">
      <w:pPr>
        <w:rPr>
          <w:rFonts w:ascii="Tahoma" w:hAnsi="Tahoma" w:cs="Tahoma"/>
        </w:rPr>
      </w:pPr>
    </w:p>
    <w:p w:rsidR="00EE05EB" w:rsidRDefault="00EE05EB" w:rsidP="00EE05EB">
      <w:pPr>
        <w:outlineLvl w:val="0"/>
        <w:rPr>
          <w:rFonts w:ascii="Tahoma" w:hAnsi="Tahoma" w:cs="Tahoma"/>
          <w:b/>
        </w:rPr>
      </w:pPr>
      <w:r>
        <w:rPr>
          <w:rFonts w:ascii="Tahoma" w:hAnsi="Tahoma" w:cs="Tahoma"/>
          <w:b/>
        </w:rPr>
        <w:t>2.</w:t>
      </w:r>
      <w:r>
        <w:rPr>
          <w:rFonts w:ascii="Tahoma" w:hAnsi="Tahoma" w:cs="Tahoma"/>
          <w:b/>
        </w:rPr>
        <w:tab/>
        <w:t>Recommendations</w:t>
      </w:r>
    </w:p>
    <w:p w:rsidR="00EE05EB" w:rsidRDefault="00EE05EB" w:rsidP="00EE05EB">
      <w:pPr>
        <w:rPr>
          <w:rFonts w:ascii="Tahoma" w:hAnsi="Tahoma" w:cs="Tahoma"/>
        </w:rPr>
      </w:pPr>
    </w:p>
    <w:p w:rsidR="00EE05EB" w:rsidRDefault="00EE05EB" w:rsidP="00EE05EB">
      <w:pPr>
        <w:rPr>
          <w:rFonts w:ascii="Tahoma" w:hAnsi="Tahoma" w:cs="Tahoma"/>
        </w:rPr>
      </w:pPr>
      <w:r>
        <w:rPr>
          <w:rFonts w:ascii="Tahoma" w:hAnsi="Tahoma" w:cs="Tahoma"/>
        </w:rPr>
        <w:t>2.1</w:t>
      </w:r>
      <w:r>
        <w:rPr>
          <w:rFonts w:ascii="Tahoma" w:hAnsi="Tahoma" w:cs="Tahoma"/>
        </w:rPr>
        <w:tab/>
        <w:t>That Members note the content of the report.</w:t>
      </w:r>
    </w:p>
    <w:p w:rsidR="00EE05EB" w:rsidRDefault="00EE05EB" w:rsidP="00EE05EB">
      <w:pPr>
        <w:outlineLvl w:val="0"/>
        <w:rPr>
          <w:rFonts w:ascii="Tahoma" w:hAnsi="Tahoma" w:cs="Tahoma"/>
        </w:rPr>
      </w:pPr>
    </w:p>
    <w:p w:rsidR="00EE05EB" w:rsidRDefault="00EE05EB" w:rsidP="00EE05EB">
      <w:pPr>
        <w:outlineLvl w:val="0"/>
        <w:rPr>
          <w:rFonts w:ascii="Tahoma" w:hAnsi="Tahoma" w:cs="Tahoma"/>
          <w:b/>
        </w:rPr>
      </w:pPr>
      <w:r>
        <w:rPr>
          <w:rFonts w:ascii="Tahoma" w:hAnsi="Tahoma" w:cs="Tahoma"/>
          <w:b/>
        </w:rPr>
        <w:t>3.</w:t>
      </w:r>
      <w:r>
        <w:rPr>
          <w:rFonts w:ascii="Tahoma" w:hAnsi="Tahoma" w:cs="Tahoma"/>
          <w:b/>
        </w:rPr>
        <w:tab/>
        <w:t>Background</w:t>
      </w:r>
    </w:p>
    <w:p w:rsidR="00EE05EB" w:rsidRDefault="00EE05EB" w:rsidP="00EE05EB">
      <w:pPr>
        <w:tabs>
          <w:tab w:val="left" w:pos="1843"/>
        </w:tabs>
        <w:rPr>
          <w:rFonts w:ascii="Tahoma" w:hAnsi="Tahoma" w:cs="Tahoma"/>
        </w:rPr>
      </w:pPr>
    </w:p>
    <w:p w:rsidR="0057014F" w:rsidRDefault="00EE05EB" w:rsidP="00EE05EB">
      <w:pPr>
        <w:tabs>
          <w:tab w:val="left" w:pos="709"/>
        </w:tabs>
        <w:ind w:left="709" w:hanging="851"/>
        <w:rPr>
          <w:rFonts w:ascii="Tahoma" w:hAnsi="Tahoma" w:cs="Tahoma"/>
        </w:rPr>
      </w:pPr>
      <w:r>
        <w:rPr>
          <w:rFonts w:ascii="Tahoma" w:hAnsi="Tahoma" w:cs="Tahoma"/>
        </w:rPr>
        <w:t xml:space="preserve"> 3.1</w:t>
      </w:r>
      <w:r>
        <w:rPr>
          <w:rFonts w:ascii="Tahoma" w:hAnsi="Tahoma" w:cs="Tahoma"/>
        </w:rPr>
        <w:tab/>
        <w:t xml:space="preserve">The PCC is taking an integrated approach to embedding its risk register within the OPCC. The strategic register </w:t>
      </w:r>
      <w:r w:rsidR="005E7EC7">
        <w:rPr>
          <w:rFonts w:ascii="Tahoma" w:hAnsi="Tahoma" w:cs="Tahoma"/>
        </w:rPr>
        <w:t>is managed on the</w:t>
      </w:r>
      <w:r w:rsidR="0057014F">
        <w:rPr>
          <w:rFonts w:ascii="Tahoma" w:hAnsi="Tahoma" w:cs="Tahoma"/>
        </w:rPr>
        <w:t xml:space="preserve"> </w:t>
      </w:r>
      <w:r w:rsidR="00710EA0">
        <w:rPr>
          <w:rFonts w:ascii="Tahoma" w:hAnsi="Tahoma" w:cs="Tahoma"/>
        </w:rPr>
        <w:t>Insight4GRC</w:t>
      </w:r>
      <w:r w:rsidR="0057014F">
        <w:rPr>
          <w:rFonts w:ascii="Tahoma" w:hAnsi="Tahoma" w:cs="Tahoma"/>
        </w:rPr>
        <w:t xml:space="preserve"> system and also </w:t>
      </w:r>
      <w:r w:rsidR="00710EA0">
        <w:rPr>
          <w:rFonts w:ascii="Tahoma" w:hAnsi="Tahoma" w:cs="Tahoma"/>
        </w:rPr>
        <w:t xml:space="preserve">continues to be reviewed in line with </w:t>
      </w:r>
      <w:r w:rsidR="0057014F">
        <w:rPr>
          <w:rFonts w:ascii="Tahoma" w:hAnsi="Tahoma" w:cs="Tahoma"/>
        </w:rPr>
        <w:t xml:space="preserve">the </w:t>
      </w:r>
      <w:r w:rsidR="00411E2D">
        <w:rPr>
          <w:rFonts w:ascii="Tahoma" w:hAnsi="Tahoma" w:cs="Tahoma"/>
        </w:rPr>
        <w:t xml:space="preserve">OPCC’s own </w:t>
      </w:r>
      <w:r w:rsidR="0057014F">
        <w:rPr>
          <w:rFonts w:ascii="Tahoma" w:hAnsi="Tahoma" w:cs="Tahoma"/>
        </w:rPr>
        <w:t>Risk Management Policy.</w:t>
      </w:r>
    </w:p>
    <w:p w:rsidR="00EE05EB" w:rsidRDefault="00EE05EB" w:rsidP="00EE05EB">
      <w:pPr>
        <w:tabs>
          <w:tab w:val="left" w:pos="1843"/>
        </w:tabs>
        <w:rPr>
          <w:rFonts w:ascii="Tahoma" w:hAnsi="Tahoma" w:cs="Tahoma"/>
        </w:rPr>
      </w:pPr>
    </w:p>
    <w:p w:rsidR="00AD6A88" w:rsidRDefault="00EE05EB" w:rsidP="00C7559C">
      <w:pPr>
        <w:tabs>
          <w:tab w:val="left" w:pos="709"/>
        </w:tabs>
        <w:ind w:left="709" w:hanging="709"/>
        <w:rPr>
          <w:rFonts w:ascii="Tahoma" w:hAnsi="Tahoma" w:cs="Tahoma"/>
        </w:rPr>
      </w:pPr>
      <w:r>
        <w:rPr>
          <w:rFonts w:ascii="Tahoma" w:hAnsi="Tahoma" w:cs="Tahoma"/>
        </w:rPr>
        <w:t>3.2</w:t>
      </w:r>
      <w:r>
        <w:rPr>
          <w:rFonts w:ascii="Tahoma" w:hAnsi="Tahoma" w:cs="Tahoma"/>
        </w:rPr>
        <w:tab/>
        <w:t>The Risk Register is being reviewed and reported on a half yearly rolling basis</w:t>
      </w:r>
      <w:r w:rsidR="0057014F">
        <w:rPr>
          <w:rFonts w:ascii="Tahoma" w:hAnsi="Tahoma" w:cs="Tahoma"/>
        </w:rPr>
        <w:t>.</w:t>
      </w:r>
      <w:r w:rsidR="009D4A94">
        <w:rPr>
          <w:rFonts w:ascii="Tahoma" w:hAnsi="Tahoma" w:cs="Tahoma"/>
        </w:rPr>
        <w:t xml:space="preserve">  </w:t>
      </w:r>
      <w:r>
        <w:rPr>
          <w:rFonts w:ascii="Tahoma" w:hAnsi="Tahoma" w:cs="Tahoma"/>
        </w:rPr>
        <w:t>The objective of the review is to update risk controls, scoring, and check progress against outstanding actions and to explore new or emerging risks.</w:t>
      </w:r>
    </w:p>
    <w:p w:rsidR="00AD6A88" w:rsidRDefault="00AD6A88" w:rsidP="0057014F">
      <w:pPr>
        <w:tabs>
          <w:tab w:val="left" w:pos="709"/>
        </w:tabs>
        <w:ind w:left="709"/>
        <w:rPr>
          <w:rFonts w:ascii="Tahoma" w:hAnsi="Tahoma" w:cs="Tahoma"/>
        </w:rPr>
      </w:pPr>
    </w:p>
    <w:p w:rsidR="00C7559C" w:rsidRDefault="00EE05EB" w:rsidP="00C7559C">
      <w:pPr>
        <w:numPr>
          <w:ilvl w:val="0"/>
          <w:numId w:val="1"/>
        </w:numPr>
        <w:tabs>
          <w:tab w:val="left" w:pos="567"/>
          <w:tab w:val="num" w:pos="1134"/>
        </w:tabs>
        <w:ind w:hanging="2591"/>
        <w:rPr>
          <w:rFonts w:ascii="Tahoma" w:hAnsi="Tahoma" w:cs="Tahoma"/>
          <w:b/>
        </w:rPr>
      </w:pPr>
      <w:r>
        <w:rPr>
          <w:rFonts w:ascii="Tahoma" w:hAnsi="Tahoma" w:cs="Tahoma"/>
          <w:b/>
        </w:rPr>
        <w:t xml:space="preserve">Progress </w:t>
      </w:r>
      <w:r w:rsidR="001F7815">
        <w:rPr>
          <w:rFonts w:ascii="Tahoma" w:hAnsi="Tahoma" w:cs="Tahoma"/>
          <w:b/>
        </w:rPr>
        <w:t xml:space="preserve">and Changes </w:t>
      </w:r>
      <w:r w:rsidR="00147B9F">
        <w:rPr>
          <w:rFonts w:ascii="Tahoma" w:hAnsi="Tahoma" w:cs="Tahoma"/>
          <w:b/>
        </w:rPr>
        <w:t xml:space="preserve">since the last update in </w:t>
      </w:r>
      <w:r w:rsidR="005E7EC7">
        <w:rPr>
          <w:rFonts w:ascii="Tahoma" w:hAnsi="Tahoma" w:cs="Tahoma"/>
          <w:b/>
        </w:rPr>
        <w:t>September</w:t>
      </w:r>
      <w:r w:rsidR="00DD4807">
        <w:rPr>
          <w:rFonts w:ascii="Tahoma" w:hAnsi="Tahoma" w:cs="Tahoma"/>
          <w:b/>
        </w:rPr>
        <w:t xml:space="preserve"> </w:t>
      </w:r>
      <w:r w:rsidR="00147B9F">
        <w:rPr>
          <w:rFonts w:ascii="Tahoma" w:hAnsi="Tahoma" w:cs="Tahoma"/>
          <w:b/>
        </w:rPr>
        <w:t>201</w:t>
      </w:r>
      <w:r w:rsidR="00DD4807">
        <w:rPr>
          <w:rFonts w:ascii="Tahoma" w:hAnsi="Tahoma" w:cs="Tahoma"/>
          <w:b/>
        </w:rPr>
        <w:t>6</w:t>
      </w:r>
      <w:r w:rsidR="00C7559C">
        <w:rPr>
          <w:rFonts w:ascii="Tahoma" w:hAnsi="Tahoma" w:cs="Tahoma"/>
          <w:b/>
        </w:rPr>
        <w:br/>
      </w:r>
    </w:p>
    <w:p w:rsidR="00156B1B" w:rsidRPr="00156B1B" w:rsidRDefault="00147B9F" w:rsidP="00C7559C">
      <w:pPr>
        <w:pStyle w:val="ListParagraph"/>
        <w:numPr>
          <w:ilvl w:val="1"/>
          <w:numId w:val="4"/>
        </w:numPr>
        <w:tabs>
          <w:tab w:val="left" w:pos="567"/>
        </w:tabs>
        <w:ind w:left="567" w:hanging="567"/>
        <w:rPr>
          <w:rFonts w:ascii="Tahoma" w:hAnsi="Tahoma" w:cs="Tahoma"/>
          <w:b/>
        </w:rPr>
      </w:pPr>
      <w:r>
        <w:rPr>
          <w:rFonts w:ascii="Tahoma" w:hAnsi="Tahoma" w:cs="Tahoma"/>
        </w:rPr>
        <w:t xml:space="preserve">All risks have been reviewed during the six months since the last report to Members was provided in </w:t>
      </w:r>
      <w:r w:rsidR="005E7EC7">
        <w:rPr>
          <w:rFonts w:ascii="Tahoma" w:hAnsi="Tahoma" w:cs="Tahoma"/>
        </w:rPr>
        <w:t>September</w:t>
      </w:r>
      <w:r>
        <w:rPr>
          <w:rFonts w:ascii="Tahoma" w:hAnsi="Tahoma" w:cs="Tahoma"/>
        </w:rPr>
        <w:t xml:space="preserve"> 201</w:t>
      </w:r>
      <w:r w:rsidR="00DD4807">
        <w:rPr>
          <w:rFonts w:ascii="Tahoma" w:hAnsi="Tahoma" w:cs="Tahoma"/>
        </w:rPr>
        <w:t>6</w:t>
      </w:r>
      <w:r>
        <w:rPr>
          <w:rFonts w:ascii="Tahoma" w:hAnsi="Tahoma" w:cs="Tahoma"/>
        </w:rPr>
        <w:t xml:space="preserve">. This has resulted in </w:t>
      </w:r>
      <w:r w:rsidR="00156B1B">
        <w:rPr>
          <w:rFonts w:ascii="Tahoma" w:hAnsi="Tahoma" w:cs="Tahoma"/>
        </w:rPr>
        <w:t>only very minor changes at this stage. There have been no additional risks added to the register during the last 6 months.</w:t>
      </w:r>
    </w:p>
    <w:p w:rsidR="00156B1B" w:rsidRPr="00156B1B" w:rsidRDefault="00156B1B" w:rsidP="00156B1B">
      <w:pPr>
        <w:tabs>
          <w:tab w:val="left" w:pos="567"/>
        </w:tabs>
        <w:rPr>
          <w:rFonts w:ascii="Tahoma" w:hAnsi="Tahoma" w:cs="Tahoma"/>
          <w:b/>
        </w:rPr>
      </w:pPr>
    </w:p>
    <w:p w:rsidR="005E7EC7" w:rsidRPr="005E7EC7" w:rsidRDefault="005E7EC7" w:rsidP="00C7559C">
      <w:pPr>
        <w:pStyle w:val="ListParagraph"/>
        <w:numPr>
          <w:ilvl w:val="1"/>
          <w:numId w:val="4"/>
        </w:numPr>
        <w:tabs>
          <w:tab w:val="left" w:pos="567"/>
        </w:tabs>
        <w:ind w:left="567" w:hanging="567"/>
        <w:rPr>
          <w:rFonts w:ascii="Tahoma" w:hAnsi="Tahoma" w:cs="Tahoma"/>
          <w:b/>
        </w:rPr>
      </w:pPr>
      <w:r>
        <w:rPr>
          <w:rFonts w:ascii="Tahoma" w:hAnsi="Tahoma" w:cs="Tahoma"/>
        </w:rPr>
        <w:t xml:space="preserve">During the 6 month period a number of ‘actions required’ have been implemented and whilst these haven’t resulted in any reductions in Residual </w:t>
      </w:r>
      <w:r>
        <w:rPr>
          <w:rFonts w:ascii="Tahoma" w:hAnsi="Tahoma" w:cs="Tahoma"/>
        </w:rPr>
        <w:lastRenderedPageBreak/>
        <w:t>Risks there are now a number of risks with only one action required which will then enable these risks to be at their ‘Target Risk’ level.</w:t>
      </w:r>
    </w:p>
    <w:p w:rsidR="005E7EC7" w:rsidRPr="005E7EC7" w:rsidRDefault="005E7EC7" w:rsidP="005E7EC7">
      <w:pPr>
        <w:pStyle w:val="ListParagraph"/>
        <w:rPr>
          <w:rFonts w:ascii="Tahoma" w:hAnsi="Tahoma" w:cs="Tahoma"/>
        </w:rPr>
      </w:pPr>
    </w:p>
    <w:p w:rsidR="005E7EC7" w:rsidRPr="005E7EC7" w:rsidRDefault="005E7EC7" w:rsidP="00C7559C">
      <w:pPr>
        <w:pStyle w:val="ListParagraph"/>
        <w:numPr>
          <w:ilvl w:val="1"/>
          <w:numId w:val="4"/>
        </w:numPr>
        <w:tabs>
          <w:tab w:val="left" w:pos="567"/>
        </w:tabs>
        <w:ind w:left="567" w:hanging="567"/>
        <w:rPr>
          <w:rFonts w:ascii="Tahoma" w:hAnsi="Tahoma" w:cs="Tahoma"/>
          <w:b/>
        </w:rPr>
      </w:pPr>
      <w:r>
        <w:rPr>
          <w:rFonts w:ascii="Tahoma" w:hAnsi="Tahoma" w:cs="Tahoma"/>
        </w:rPr>
        <w:t xml:space="preserve">The residual risks on 2 risks (Financial Planning and Reductions in Central Funding) have increased during the 6 months. They are now at their Target Risk having previously been below the Target Risk due to the organisation having a 4 year balanced plan in place. </w:t>
      </w:r>
      <w:r w:rsidR="008D1022">
        <w:rPr>
          <w:rFonts w:ascii="Tahoma" w:hAnsi="Tahoma" w:cs="Tahoma"/>
        </w:rPr>
        <w:t>The increased risk in these areas results from having a 2 year (i.e. 2017/18 and 2018/19) balanced plan in place.</w:t>
      </w:r>
      <w:r>
        <w:rPr>
          <w:rFonts w:ascii="Tahoma" w:hAnsi="Tahoma" w:cs="Tahoma"/>
        </w:rPr>
        <w:t xml:space="preserve">  </w:t>
      </w:r>
    </w:p>
    <w:p w:rsidR="005E7EC7" w:rsidRPr="005E7EC7" w:rsidRDefault="005E7EC7" w:rsidP="005E7EC7">
      <w:pPr>
        <w:pStyle w:val="ListParagraph"/>
        <w:rPr>
          <w:rFonts w:ascii="Tahoma" w:hAnsi="Tahoma" w:cs="Tahoma"/>
        </w:rPr>
      </w:pPr>
    </w:p>
    <w:p w:rsidR="00147B9F" w:rsidRPr="00147B9F" w:rsidRDefault="008D1022" w:rsidP="00C7559C">
      <w:pPr>
        <w:pStyle w:val="ListParagraph"/>
        <w:numPr>
          <w:ilvl w:val="1"/>
          <w:numId w:val="4"/>
        </w:numPr>
        <w:tabs>
          <w:tab w:val="left" w:pos="567"/>
        </w:tabs>
        <w:ind w:left="567" w:hanging="567"/>
        <w:rPr>
          <w:rFonts w:ascii="Tahoma" w:hAnsi="Tahoma" w:cs="Tahoma"/>
          <w:b/>
        </w:rPr>
      </w:pPr>
      <w:r>
        <w:rPr>
          <w:rFonts w:ascii="Tahoma" w:hAnsi="Tahoma" w:cs="Tahoma"/>
        </w:rPr>
        <w:t xml:space="preserve">A full review of the Diversity and Equality Risk has been requested to ensure that this fully reflects both the current risk in this area and that it also takes into account all of the current work. This will be refreshed by the next update of the </w:t>
      </w:r>
      <w:r w:rsidRPr="008D1022">
        <w:t>Risk</w:t>
      </w:r>
      <w:r>
        <w:t xml:space="preserve"> Register in September 2017.</w:t>
      </w:r>
    </w:p>
    <w:p w:rsidR="003071C9" w:rsidRPr="003071C9" w:rsidRDefault="003071C9" w:rsidP="003071C9">
      <w:pPr>
        <w:tabs>
          <w:tab w:val="left" w:pos="567"/>
        </w:tabs>
        <w:rPr>
          <w:rFonts w:ascii="Tahoma" w:hAnsi="Tahoma" w:cs="Tahoma"/>
          <w:b/>
        </w:rPr>
      </w:pPr>
    </w:p>
    <w:p w:rsidR="008D1022" w:rsidRPr="008D1022" w:rsidRDefault="002E7B36" w:rsidP="008D1022">
      <w:pPr>
        <w:pStyle w:val="ListParagraph"/>
        <w:numPr>
          <w:ilvl w:val="0"/>
          <w:numId w:val="6"/>
        </w:numPr>
        <w:tabs>
          <w:tab w:val="left" w:pos="567"/>
        </w:tabs>
        <w:rPr>
          <w:rFonts w:ascii="Tahoma" w:hAnsi="Tahoma" w:cs="Tahoma"/>
          <w:b/>
          <w:vanish/>
        </w:rPr>
      </w:pPr>
      <w:r w:rsidRPr="008D1022">
        <w:rPr>
          <w:rFonts w:ascii="Tahoma" w:hAnsi="Tahoma" w:cs="Tahoma"/>
        </w:rPr>
        <w:t xml:space="preserve">An overview of all current ‘open’ risks on the PCC’s Risk Register, based on </w:t>
      </w:r>
      <w:r w:rsidR="00D57949" w:rsidRPr="008D1022">
        <w:rPr>
          <w:rFonts w:ascii="Tahoma" w:hAnsi="Tahoma" w:cs="Tahoma"/>
        </w:rPr>
        <w:t>Inherent</w:t>
      </w:r>
      <w:r w:rsidRPr="008D1022">
        <w:rPr>
          <w:rFonts w:ascii="Tahoma" w:hAnsi="Tahoma" w:cs="Tahoma"/>
        </w:rPr>
        <w:t xml:space="preserve"> Risk is shown in the table below:</w:t>
      </w:r>
      <w:r w:rsidR="008D1022" w:rsidRPr="008D1022">
        <w:rPr>
          <w:rFonts w:ascii="Tahoma" w:hAnsi="Tahoma" w:cs="Tahoma"/>
          <w:b/>
          <w:vanish/>
        </w:rPr>
        <w:t>Inherent Risk Priority (I x L)</w:t>
      </w:r>
    </w:p>
    <w:p w:rsidR="008D1022" w:rsidRPr="008D1022" w:rsidRDefault="008D1022" w:rsidP="008D1022">
      <w:pPr>
        <w:numPr>
          <w:ilvl w:val="0"/>
          <w:numId w:val="6"/>
        </w:numPr>
        <w:tabs>
          <w:tab w:val="left" w:pos="567"/>
        </w:tabs>
        <w:rPr>
          <w:rFonts w:ascii="Tahoma" w:hAnsi="Tahoma" w:cs="Tahoma"/>
          <w:b/>
          <w:vanish/>
        </w:rPr>
      </w:pPr>
      <w:r w:rsidRPr="008D1022">
        <w:rPr>
          <w:rFonts w:ascii="Tahoma" w:hAnsi="Tahoma" w:cs="Tahoma"/>
          <w:b/>
          <w:vanish/>
        </w:rPr>
        <w:t>Residual Risk Priority (I x L)</w:t>
      </w:r>
    </w:p>
    <w:p w:rsidR="008D1022" w:rsidRPr="008D1022" w:rsidRDefault="008D1022" w:rsidP="008D1022">
      <w:pPr>
        <w:tabs>
          <w:tab w:val="left" w:pos="567"/>
        </w:tabs>
        <w:rPr>
          <w:rFonts w:ascii="Tahoma" w:hAnsi="Tahoma" w:cs="Tahoma"/>
          <w:b/>
        </w:rPr>
      </w:pPr>
      <w:r w:rsidRPr="008D1022">
        <w:rPr>
          <w:rFonts w:ascii="Tahoma" w:hAnsi="Tahoma" w:cs="Tahoma"/>
          <w:b/>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9" type="#_x0000_t75" style="width:1in;height:18pt" o:ole="">
            <v:imagedata r:id="rId8" o:title=""/>
          </v:shape>
          <w:control r:id="rId9" w:name="DefaultOcxName13" w:shapeid="_x0000_i1299"/>
        </w:object>
      </w:r>
    </w:p>
    <w:p w:rsidR="008D1022" w:rsidRPr="008D1022" w:rsidRDefault="008D1022" w:rsidP="008D1022">
      <w:pPr>
        <w:tabs>
          <w:tab w:val="left" w:pos="567"/>
        </w:tabs>
        <w:rPr>
          <w:rFonts w:ascii="Tahoma" w:hAnsi="Tahoma" w:cs="Tahoma"/>
          <w:b/>
        </w:rPr>
      </w:pPr>
      <w:r w:rsidRPr="008D1022">
        <w:rPr>
          <w:rFonts w:ascii="Tahoma" w:hAnsi="Tahoma" w:cs="Tahoma"/>
          <w:b/>
        </w:rPr>
        <w:object w:dxaOrig="225" w:dyaOrig="225">
          <v:shape id="_x0000_i1320" type="#_x0000_t75" style="width:39pt;height:22pt" o:ole="">
            <v:imagedata r:id="rId10" o:title=""/>
          </v:shape>
          <w:control r:id="rId11" w:name="DefaultOcxName12" w:shapeid="_x0000_i1320"/>
        </w:object>
      </w:r>
    </w:p>
    <w:tbl>
      <w:tblPr>
        <w:tblW w:w="0" w:type="auto"/>
        <w:tblCellSpacing w:w="15" w:type="dxa"/>
        <w:tblCellMar>
          <w:left w:w="0" w:type="dxa"/>
          <w:right w:w="0" w:type="dxa"/>
        </w:tblCellMar>
        <w:tblLook w:val="04A0" w:firstRow="1" w:lastRow="0" w:firstColumn="1" w:lastColumn="0" w:noHBand="0" w:noVBand="1"/>
      </w:tblPr>
      <w:tblGrid>
        <w:gridCol w:w="1101"/>
        <w:gridCol w:w="1080"/>
        <w:gridCol w:w="1080"/>
        <w:gridCol w:w="1080"/>
        <w:gridCol w:w="1080"/>
        <w:gridCol w:w="1095"/>
      </w:tblGrid>
      <w:tr w:rsidR="008D1022" w:rsidRPr="008D1022" w:rsidTr="008D1022">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5 - Catastrophic</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Contingency (5)</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Contingency (10)</w: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(15)</w:t>
            </w:r>
            <w:r w:rsidRPr="008D1022">
              <w:rPr>
                <w:rFonts w:ascii="Tahoma" w:hAnsi="Tahoma" w:cs="Tahoma"/>
                <w:sz w:val="16"/>
                <w:szCs w:val="16"/>
              </w:rPr>
              <w:br/>
            </w:r>
            <w:r w:rsidRPr="008D1022">
              <w:rPr>
                <w:rFonts w:ascii="Tahoma" w:hAnsi="Tahoma" w:cs="Tahoma"/>
                <w:sz w:val="16"/>
                <w:szCs w:val="16"/>
              </w:rPr>
              <w:object w:dxaOrig="225" w:dyaOrig="225">
                <v:shape id="_x0000_i1297" type="#_x0000_t75" style="width:17.5pt;height:22pt" o:ole="">
                  <v:imagedata r:id="rId12" o:title=""/>
                </v:shape>
                <w:control r:id="rId13" w:name="DefaultOcxName21" w:shapeid="_x0000_i1297"/>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(20)</w:t>
            </w:r>
            <w:r w:rsidRPr="008D1022">
              <w:rPr>
                <w:rFonts w:ascii="Tahoma" w:hAnsi="Tahoma" w:cs="Tahoma"/>
                <w:sz w:val="16"/>
                <w:szCs w:val="16"/>
              </w:rPr>
              <w:br/>
            </w:r>
            <w:r w:rsidRPr="008D1022">
              <w:rPr>
                <w:rFonts w:ascii="Tahoma" w:hAnsi="Tahoma" w:cs="Tahoma"/>
                <w:sz w:val="16"/>
                <w:szCs w:val="16"/>
              </w:rPr>
              <w:object w:dxaOrig="225" w:dyaOrig="225">
                <v:shape id="_x0000_i1296" type="#_x0000_t75" style="width:17.5pt;height:22pt" o:ole="">
                  <v:imagedata r:id="rId14" o:title=""/>
                </v:shape>
                <w:control r:id="rId15" w:name="DefaultOcxName31" w:shapeid="_x0000_i1296"/>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(25)</w:t>
            </w:r>
          </w:p>
        </w:tc>
      </w:tr>
      <w:tr w:rsidR="008D1022" w:rsidRPr="008D1022" w:rsidTr="008D1022">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4 - Significant</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Contingency (4)</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Contingency (8)</w:t>
            </w:r>
            <w:r w:rsidRPr="008D1022">
              <w:rPr>
                <w:rFonts w:ascii="Tahoma" w:hAnsi="Tahoma" w:cs="Tahoma"/>
                <w:sz w:val="16"/>
                <w:szCs w:val="16"/>
              </w:rPr>
              <w:br/>
            </w:r>
            <w:r w:rsidRPr="008D1022">
              <w:rPr>
                <w:rFonts w:ascii="Tahoma" w:hAnsi="Tahoma" w:cs="Tahoma"/>
                <w:sz w:val="16"/>
                <w:szCs w:val="16"/>
              </w:rPr>
              <w:object w:dxaOrig="225" w:dyaOrig="225">
                <v:shape id="_x0000_i1295" type="#_x0000_t75" style="width:17.5pt;height:22pt" o:ole="">
                  <v:imagedata r:id="rId16" o:title=""/>
                </v:shape>
                <w:control r:id="rId17" w:name="DefaultOcxName41" w:shapeid="_x0000_i1295"/>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(12)</w:t>
            </w:r>
            <w:r w:rsidRPr="008D1022">
              <w:rPr>
                <w:rFonts w:ascii="Tahoma" w:hAnsi="Tahoma" w:cs="Tahoma"/>
                <w:sz w:val="16"/>
                <w:szCs w:val="16"/>
              </w:rPr>
              <w:br/>
            </w:r>
            <w:r w:rsidRPr="008D1022">
              <w:rPr>
                <w:rFonts w:ascii="Tahoma" w:hAnsi="Tahoma" w:cs="Tahoma"/>
                <w:sz w:val="16"/>
                <w:szCs w:val="16"/>
              </w:rPr>
              <w:object w:dxaOrig="225" w:dyaOrig="225">
                <v:shape id="_x0000_i1294" type="#_x0000_t75" style="width:17.5pt;height:22pt" o:ole="">
                  <v:imagedata r:id="rId18" o:title=""/>
                </v:shape>
                <w:control r:id="rId19" w:name="DefaultOcxName51" w:shapeid="_x0000_i1294"/>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(16)</w:t>
            </w:r>
            <w:r w:rsidRPr="008D1022">
              <w:rPr>
                <w:rFonts w:ascii="Tahoma" w:hAnsi="Tahoma" w:cs="Tahoma"/>
                <w:sz w:val="16"/>
                <w:szCs w:val="16"/>
              </w:rPr>
              <w:br/>
            </w:r>
            <w:r w:rsidRPr="008D1022">
              <w:rPr>
                <w:rFonts w:ascii="Tahoma" w:hAnsi="Tahoma" w:cs="Tahoma"/>
                <w:sz w:val="16"/>
                <w:szCs w:val="16"/>
              </w:rPr>
              <w:object w:dxaOrig="225" w:dyaOrig="225">
                <v:shape id="_x0000_i1293" type="#_x0000_t75" style="width:17.5pt;height:22pt" o:ole="">
                  <v:imagedata r:id="rId20" o:title=""/>
                </v:shape>
                <w:control r:id="rId21" w:name="DefaultOcxName61" w:shapeid="_x0000_i1293"/>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(20)</w:t>
            </w:r>
            <w:r w:rsidRPr="008D1022">
              <w:rPr>
                <w:rFonts w:ascii="Tahoma" w:hAnsi="Tahoma" w:cs="Tahoma"/>
                <w:sz w:val="16"/>
                <w:szCs w:val="16"/>
              </w:rPr>
              <w:br/>
            </w:r>
            <w:r w:rsidRPr="008D1022">
              <w:rPr>
                <w:rFonts w:ascii="Tahoma" w:hAnsi="Tahoma" w:cs="Tahoma"/>
                <w:sz w:val="16"/>
                <w:szCs w:val="16"/>
              </w:rPr>
              <w:object w:dxaOrig="225" w:dyaOrig="225">
                <v:shape id="_x0000_i1292" type="#_x0000_t75" style="width:17.5pt;height:22pt" o:ole="">
                  <v:imagedata r:id="rId22" o:title=""/>
                </v:shape>
                <w:control r:id="rId23" w:name="DefaultOcxName71" w:shapeid="_x0000_i1292"/>
              </w:object>
            </w:r>
          </w:p>
        </w:tc>
      </w:tr>
      <w:tr w:rsidR="008D1022" w:rsidRPr="008D1022" w:rsidTr="008D1022">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3 - Moderate</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Low (3)</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Contingency (6)</w:t>
            </w:r>
            <w:r w:rsidRPr="008D1022">
              <w:rPr>
                <w:rFonts w:ascii="Tahoma" w:hAnsi="Tahoma" w:cs="Tahoma"/>
                <w:sz w:val="16"/>
                <w:szCs w:val="16"/>
              </w:rPr>
              <w:br/>
            </w:r>
            <w:r w:rsidRPr="008D1022">
              <w:rPr>
                <w:rFonts w:ascii="Tahoma" w:hAnsi="Tahoma" w:cs="Tahoma"/>
                <w:sz w:val="16"/>
                <w:szCs w:val="16"/>
              </w:rPr>
              <w:object w:dxaOrig="225" w:dyaOrig="225">
                <v:shape id="_x0000_i1291" type="#_x0000_t75" style="width:17.5pt;height:22pt" o:ole="">
                  <v:imagedata r:id="rId24" o:title=""/>
                </v:shape>
                <w:control r:id="rId25" w:name="DefaultOcxName8" w:shapeid="_x0000_i1291"/>
              </w:objec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Contingency (9)</w:t>
            </w:r>
            <w:r w:rsidRPr="008D1022">
              <w:rPr>
                <w:rFonts w:ascii="Tahoma" w:hAnsi="Tahoma" w:cs="Tahoma"/>
                <w:sz w:val="16"/>
                <w:szCs w:val="16"/>
              </w:rPr>
              <w:br/>
            </w:r>
            <w:r w:rsidRPr="008D1022">
              <w:rPr>
                <w:rFonts w:ascii="Tahoma" w:hAnsi="Tahoma" w:cs="Tahoma"/>
                <w:sz w:val="16"/>
                <w:szCs w:val="16"/>
              </w:rPr>
              <w:object w:dxaOrig="225" w:dyaOrig="225">
                <v:shape id="_x0000_i1290" type="#_x0000_t75" style="width:17.5pt;height:22pt" o:ole="">
                  <v:imagedata r:id="rId26" o:title=""/>
                </v:shape>
                <w:control r:id="rId27" w:name="DefaultOcxName9" w:shapeid="_x0000_i1290"/>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(12)</w:t>
            </w:r>
            <w:r w:rsidRPr="008D1022">
              <w:rPr>
                <w:rFonts w:ascii="Tahoma" w:hAnsi="Tahoma" w:cs="Tahoma"/>
                <w:sz w:val="16"/>
                <w:szCs w:val="16"/>
              </w:rPr>
              <w:br/>
            </w:r>
            <w:r w:rsidRPr="008D1022">
              <w:rPr>
                <w:rFonts w:ascii="Tahoma" w:hAnsi="Tahoma" w:cs="Tahoma"/>
                <w:sz w:val="16"/>
                <w:szCs w:val="16"/>
              </w:rPr>
              <w:object w:dxaOrig="225" w:dyaOrig="225">
                <v:shape id="_x0000_i1289" type="#_x0000_t75" style="width:17.5pt;height:22pt" o:ole="">
                  <v:imagedata r:id="rId28" o:title=""/>
                </v:shape>
                <w:control r:id="rId29" w:name="DefaultOcxName10" w:shapeid="_x0000_i1289"/>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(15)</w:t>
            </w:r>
          </w:p>
        </w:tc>
      </w:tr>
      <w:tr w:rsidR="008D1022" w:rsidRPr="008D1022" w:rsidTr="008D1022">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2 - Minor</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Low (2)</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Low (4)</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House Keeping (6)</w:t>
            </w:r>
            <w:r w:rsidRPr="008D1022">
              <w:rPr>
                <w:rFonts w:ascii="Tahoma" w:hAnsi="Tahoma" w:cs="Tahoma"/>
                <w:sz w:val="16"/>
                <w:szCs w:val="16"/>
              </w:rPr>
              <w:br/>
            </w:r>
            <w:r w:rsidRPr="008D1022">
              <w:rPr>
                <w:rFonts w:ascii="Tahoma" w:hAnsi="Tahoma" w:cs="Tahoma"/>
                <w:sz w:val="16"/>
                <w:szCs w:val="16"/>
              </w:rPr>
              <w:object w:dxaOrig="225" w:dyaOrig="225">
                <v:shape id="_x0000_i1288" type="#_x0000_t75" style="width:17.5pt;height:22pt" o:ole="">
                  <v:imagedata r:id="rId30" o:title=""/>
                </v:shape>
                <w:control r:id="rId31" w:name="DefaultOcxName11" w:shapeid="_x0000_i1288"/>
              </w:objec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House Keeping (8)</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House Keeping (10)</w:t>
            </w:r>
          </w:p>
        </w:tc>
      </w:tr>
      <w:tr w:rsidR="008D1022" w:rsidRPr="008D1022" w:rsidTr="008D1022">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1 - Insignificant</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Low (1)</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Low (2)</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House Keeping (3)</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House Keeping (4)</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House Keeping (5)</w:t>
            </w:r>
          </w:p>
        </w:tc>
      </w:tr>
      <w:tr w:rsidR="008D1022" w:rsidRPr="008D1022" w:rsidTr="008D1022">
        <w:trPr>
          <w:trHeight w:val="1050"/>
          <w:tblCellSpacing w:w="15" w:type="dxa"/>
        </w:trPr>
        <w:tc>
          <w:tcPr>
            <w:tcW w:w="1050" w:type="dxa"/>
            <w:tcBorders>
              <w:top w:val="nil"/>
              <w:left w:val="nil"/>
              <w:bottom w:val="nil"/>
              <w:right w:val="nil"/>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 </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 xml:space="preserve">1 - Negligible </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2 - Rare</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3 - Unlikely</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4 - Possible</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5 - Probable</w:t>
            </w:r>
          </w:p>
        </w:tc>
      </w:tr>
    </w:tbl>
    <w:p w:rsidR="008D1022" w:rsidRPr="008D1022" w:rsidRDefault="008D1022" w:rsidP="008D1022">
      <w:pPr>
        <w:tabs>
          <w:tab w:val="left" w:pos="567"/>
        </w:tabs>
        <w:rPr>
          <w:rFonts w:ascii="Tahoma" w:hAnsi="Tahoma" w:cs="Tahoma"/>
          <w:b/>
        </w:rPr>
      </w:pPr>
    </w:p>
    <w:p w:rsidR="00D57949" w:rsidRPr="00D57949" w:rsidRDefault="00D57949" w:rsidP="00D57949">
      <w:pPr>
        <w:tabs>
          <w:tab w:val="left" w:pos="567"/>
        </w:tabs>
        <w:rPr>
          <w:rFonts w:ascii="Tahoma" w:hAnsi="Tahoma" w:cs="Tahoma"/>
          <w:b/>
        </w:rPr>
      </w:pPr>
    </w:p>
    <w:p w:rsidR="00D57949" w:rsidRDefault="00D57949" w:rsidP="00D57949">
      <w:pPr>
        <w:tabs>
          <w:tab w:val="left" w:pos="567"/>
        </w:tabs>
        <w:rPr>
          <w:rFonts w:ascii="Tahoma" w:hAnsi="Tahoma" w:cs="Tahoma"/>
          <w:b/>
        </w:rPr>
      </w:pPr>
    </w:p>
    <w:p w:rsidR="00D57949" w:rsidRDefault="00D57949" w:rsidP="00D57949">
      <w:pPr>
        <w:tabs>
          <w:tab w:val="left" w:pos="567"/>
        </w:tabs>
        <w:rPr>
          <w:rFonts w:ascii="Tahoma" w:hAnsi="Tahoma" w:cs="Tahoma"/>
          <w:b/>
        </w:rPr>
      </w:pPr>
    </w:p>
    <w:p w:rsidR="00D57949" w:rsidRDefault="00D57949" w:rsidP="00D57949">
      <w:pPr>
        <w:tabs>
          <w:tab w:val="left" w:pos="567"/>
        </w:tabs>
        <w:rPr>
          <w:rFonts w:ascii="Tahoma" w:hAnsi="Tahoma" w:cs="Tahoma"/>
          <w:b/>
        </w:rPr>
      </w:pPr>
    </w:p>
    <w:p w:rsidR="00D57949" w:rsidRPr="00D57949" w:rsidRDefault="00D57949" w:rsidP="00D57949">
      <w:pPr>
        <w:tabs>
          <w:tab w:val="left" w:pos="567"/>
        </w:tabs>
        <w:rPr>
          <w:rFonts w:ascii="Tahoma" w:hAnsi="Tahoma" w:cs="Tahoma"/>
          <w:b/>
        </w:rPr>
      </w:pPr>
    </w:p>
    <w:p w:rsidR="00D57949" w:rsidRPr="00D57949" w:rsidRDefault="00D57949" w:rsidP="002E7B36">
      <w:pPr>
        <w:pStyle w:val="ListParagraph"/>
        <w:numPr>
          <w:ilvl w:val="1"/>
          <w:numId w:val="4"/>
        </w:numPr>
        <w:tabs>
          <w:tab w:val="left" w:pos="567"/>
        </w:tabs>
        <w:ind w:left="567" w:hanging="567"/>
        <w:rPr>
          <w:rFonts w:ascii="Tahoma" w:hAnsi="Tahoma" w:cs="Tahoma"/>
        </w:rPr>
      </w:pPr>
      <w:r w:rsidRPr="00D57949">
        <w:rPr>
          <w:rFonts w:ascii="Tahoma" w:hAnsi="Tahoma" w:cs="Tahoma"/>
        </w:rPr>
        <w:lastRenderedPageBreak/>
        <w:t>With the following table showing the Residual Risks</w:t>
      </w:r>
      <w:r>
        <w:rPr>
          <w:rFonts w:ascii="Tahoma" w:hAnsi="Tahoma" w:cs="Tahoma"/>
        </w:rPr>
        <w:t>:</w:t>
      </w:r>
    </w:p>
    <w:p w:rsidR="00D57949" w:rsidRDefault="00D57949" w:rsidP="002E7B36">
      <w:pPr>
        <w:tabs>
          <w:tab w:val="left" w:pos="567"/>
        </w:tabs>
        <w:rPr>
          <w:rFonts w:ascii="Tahoma" w:hAnsi="Tahoma" w:cs="Tahoma"/>
          <w:b/>
        </w:rPr>
      </w:pPr>
    </w:p>
    <w:p w:rsidR="008D1022" w:rsidRPr="008D1022" w:rsidRDefault="008D1022" w:rsidP="008D1022">
      <w:pPr>
        <w:numPr>
          <w:ilvl w:val="0"/>
          <w:numId w:val="7"/>
        </w:numPr>
        <w:tabs>
          <w:tab w:val="left" w:pos="567"/>
        </w:tabs>
        <w:rPr>
          <w:rFonts w:ascii="Tahoma" w:hAnsi="Tahoma" w:cs="Tahoma"/>
          <w:b/>
          <w:vanish/>
        </w:rPr>
      </w:pPr>
      <w:r w:rsidRPr="008D1022">
        <w:rPr>
          <w:rFonts w:ascii="Tahoma" w:hAnsi="Tahoma" w:cs="Tahoma"/>
          <w:b/>
          <w:vanish/>
        </w:rPr>
        <w:t>Inherent Risk Priority (I x L)</w:t>
      </w:r>
    </w:p>
    <w:p w:rsidR="008D1022" w:rsidRPr="008D1022" w:rsidRDefault="008D1022" w:rsidP="008D1022">
      <w:pPr>
        <w:numPr>
          <w:ilvl w:val="0"/>
          <w:numId w:val="7"/>
        </w:numPr>
        <w:tabs>
          <w:tab w:val="left" w:pos="567"/>
        </w:tabs>
        <w:rPr>
          <w:rFonts w:ascii="Tahoma" w:hAnsi="Tahoma" w:cs="Tahoma"/>
          <w:b/>
          <w:vanish/>
        </w:rPr>
      </w:pPr>
      <w:r w:rsidRPr="008D1022">
        <w:rPr>
          <w:rFonts w:ascii="Tahoma" w:hAnsi="Tahoma" w:cs="Tahoma"/>
          <w:b/>
          <w:vanish/>
        </w:rPr>
        <w:t>Residual Risk Priority (I x L)</w:t>
      </w:r>
    </w:p>
    <w:p w:rsidR="008D1022" w:rsidRPr="008D1022" w:rsidRDefault="008D1022" w:rsidP="008D1022">
      <w:pPr>
        <w:tabs>
          <w:tab w:val="left" w:pos="567"/>
        </w:tabs>
        <w:rPr>
          <w:rFonts w:ascii="Tahoma" w:hAnsi="Tahoma" w:cs="Tahoma"/>
          <w:b/>
        </w:rPr>
      </w:pPr>
      <w:r w:rsidRPr="008D1022">
        <w:rPr>
          <w:rFonts w:ascii="Tahoma" w:hAnsi="Tahoma" w:cs="Tahoma"/>
          <w:b/>
        </w:rPr>
        <w:object w:dxaOrig="225" w:dyaOrig="225">
          <v:shape id="_x0000_i1366" type="#_x0000_t75" style="width:39pt;height:22pt" o:ole="">
            <v:imagedata r:id="rId32" o:title=""/>
          </v:shape>
          <w:control r:id="rId33" w:name="DefaultOcxName1" w:shapeid="_x0000_i1366"/>
        </w:object>
      </w:r>
    </w:p>
    <w:tbl>
      <w:tblPr>
        <w:tblW w:w="0" w:type="auto"/>
        <w:tblCellSpacing w:w="15" w:type="dxa"/>
        <w:tblCellMar>
          <w:left w:w="0" w:type="dxa"/>
          <w:right w:w="0" w:type="dxa"/>
        </w:tblCellMar>
        <w:tblLook w:val="04A0" w:firstRow="1" w:lastRow="0" w:firstColumn="1" w:lastColumn="0" w:noHBand="0" w:noVBand="1"/>
      </w:tblPr>
      <w:tblGrid>
        <w:gridCol w:w="1101"/>
        <w:gridCol w:w="1080"/>
        <w:gridCol w:w="1080"/>
        <w:gridCol w:w="1080"/>
        <w:gridCol w:w="1080"/>
        <w:gridCol w:w="1095"/>
      </w:tblGrid>
      <w:tr w:rsidR="008D1022" w:rsidRPr="008D1022" w:rsidTr="008D1022">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5 - Catastrophic</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Contingency (5)</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Contingency (10)</w: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(15)</w: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(20)</w: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(25)</w:t>
            </w:r>
          </w:p>
        </w:tc>
      </w:tr>
      <w:tr w:rsidR="008D1022" w:rsidRPr="008D1022" w:rsidTr="008D1022">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4 - Significant</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Contingency (4)</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Contingency (8)</w:t>
            </w:r>
            <w:r w:rsidRPr="008D1022">
              <w:rPr>
                <w:rFonts w:ascii="Tahoma" w:hAnsi="Tahoma" w:cs="Tahoma"/>
                <w:sz w:val="16"/>
                <w:szCs w:val="16"/>
              </w:rPr>
              <w:br/>
            </w:r>
            <w:r w:rsidRPr="008D1022">
              <w:rPr>
                <w:rFonts w:ascii="Tahoma" w:hAnsi="Tahoma" w:cs="Tahoma"/>
                <w:sz w:val="16"/>
                <w:szCs w:val="16"/>
              </w:rPr>
              <w:object w:dxaOrig="225" w:dyaOrig="225">
                <v:shape id="_x0000_i1365" type="#_x0000_t75" style="width:17.5pt;height:22pt" o:ole="">
                  <v:imagedata r:id="rId34" o:title=""/>
                </v:shape>
                <w:control r:id="rId35" w:name="DefaultOcxName2" w:shapeid="_x0000_i1365"/>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(12)</w:t>
            </w:r>
            <w:r w:rsidRPr="008D1022">
              <w:rPr>
                <w:rFonts w:ascii="Tahoma" w:hAnsi="Tahoma" w:cs="Tahoma"/>
                <w:sz w:val="16"/>
                <w:szCs w:val="16"/>
              </w:rPr>
              <w:br/>
            </w:r>
            <w:r w:rsidRPr="008D1022">
              <w:rPr>
                <w:rFonts w:ascii="Tahoma" w:hAnsi="Tahoma" w:cs="Tahoma"/>
                <w:sz w:val="16"/>
                <w:szCs w:val="16"/>
              </w:rPr>
              <w:object w:dxaOrig="225" w:dyaOrig="225">
                <v:shape id="_x0000_i1364" type="#_x0000_t75" style="width:17.5pt;height:22pt" o:ole="">
                  <v:imagedata r:id="rId36" o:title=""/>
                </v:shape>
                <w:control r:id="rId37" w:name="DefaultOcxName3" w:shapeid="_x0000_i1364"/>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(16)</w: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(20)</w:t>
            </w:r>
            <w:r w:rsidRPr="008D1022">
              <w:rPr>
                <w:rFonts w:ascii="Tahoma" w:hAnsi="Tahoma" w:cs="Tahoma"/>
                <w:sz w:val="16"/>
                <w:szCs w:val="16"/>
              </w:rPr>
              <w:br/>
            </w:r>
            <w:r w:rsidRPr="008D1022">
              <w:rPr>
                <w:rFonts w:ascii="Tahoma" w:hAnsi="Tahoma" w:cs="Tahoma"/>
                <w:sz w:val="16"/>
                <w:szCs w:val="16"/>
              </w:rPr>
              <w:object w:dxaOrig="225" w:dyaOrig="225">
                <v:shape id="_x0000_i1363" type="#_x0000_t75" style="width:17.5pt;height:22pt" o:ole="">
                  <v:imagedata r:id="rId38" o:title=""/>
                </v:shape>
                <w:control r:id="rId39" w:name="DefaultOcxName4" w:shapeid="_x0000_i1363"/>
              </w:object>
            </w:r>
          </w:p>
        </w:tc>
      </w:tr>
      <w:tr w:rsidR="008D1022" w:rsidRPr="008D1022" w:rsidTr="008D1022">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3 - Moderate</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Low (3)</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Contingency (6)</w:t>
            </w:r>
            <w:r w:rsidRPr="008D1022">
              <w:rPr>
                <w:rFonts w:ascii="Tahoma" w:hAnsi="Tahoma" w:cs="Tahoma"/>
                <w:sz w:val="16"/>
                <w:szCs w:val="16"/>
              </w:rPr>
              <w:br/>
            </w:r>
            <w:r w:rsidRPr="008D1022">
              <w:rPr>
                <w:rFonts w:ascii="Tahoma" w:hAnsi="Tahoma" w:cs="Tahoma"/>
                <w:sz w:val="16"/>
                <w:szCs w:val="16"/>
              </w:rPr>
              <w:object w:dxaOrig="225" w:dyaOrig="225">
                <v:shape id="_x0000_i1362" type="#_x0000_t75" style="width:17.5pt;height:22pt" o:ole="">
                  <v:imagedata r:id="rId40" o:title=""/>
                </v:shape>
                <w:control r:id="rId41" w:name="DefaultOcxName5" w:shapeid="_x0000_i1362"/>
              </w:objec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Contingency (9)</w:t>
            </w:r>
            <w:r w:rsidRPr="008D1022">
              <w:rPr>
                <w:rFonts w:ascii="Tahoma" w:hAnsi="Tahoma" w:cs="Tahoma"/>
                <w:sz w:val="16"/>
                <w:szCs w:val="16"/>
              </w:rPr>
              <w:br/>
            </w:r>
            <w:r w:rsidRPr="008D1022">
              <w:rPr>
                <w:rFonts w:ascii="Tahoma" w:hAnsi="Tahoma" w:cs="Tahoma"/>
                <w:sz w:val="16"/>
                <w:szCs w:val="16"/>
              </w:rPr>
              <w:object w:dxaOrig="225" w:dyaOrig="225">
                <v:shape id="_x0000_i1361" type="#_x0000_t75" style="width:17.5pt;height:22pt" o:ole="">
                  <v:imagedata r:id="rId42" o:title=""/>
                </v:shape>
                <w:control r:id="rId43" w:name="DefaultOcxName6" w:shapeid="_x0000_i1361"/>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(12)</w: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Primary (15)</w:t>
            </w:r>
          </w:p>
        </w:tc>
      </w:tr>
      <w:tr w:rsidR="008D1022" w:rsidRPr="008D1022" w:rsidTr="008D1022">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2 - Minor</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Low (2)</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Low (4)</w:t>
            </w:r>
            <w:r w:rsidRPr="008D1022">
              <w:rPr>
                <w:rFonts w:ascii="Tahoma" w:hAnsi="Tahoma" w:cs="Tahoma"/>
                <w:sz w:val="16"/>
                <w:szCs w:val="16"/>
              </w:rPr>
              <w:br/>
            </w:r>
            <w:r w:rsidRPr="008D1022">
              <w:rPr>
                <w:rFonts w:ascii="Tahoma" w:hAnsi="Tahoma" w:cs="Tahoma"/>
                <w:sz w:val="16"/>
                <w:szCs w:val="16"/>
              </w:rPr>
              <w:object w:dxaOrig="225" w:dyaOrig="225">
                <v:shape id="_x0000_i1360" type="#_x0000_t75" style="width:17.5pt;height:22pt" o:ole="">
                  <v:imagedata r:id="rId44" o:title=""/>
                </v:shape>
                <w:control r:id="rId45" w:name="DefaultOcxName7" w:shapeid="_x0000_i1360"/>
              </w:objec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House Keeping (6)</w:t>
            </w:r>
            <w:r w:rsidRPr="008D1022">
              <w:rPr>
                <w:rFonts w:ascii="Tahoma" w:hAnsi="Tahoma" w:cs="Tahoma"/>
                <w:sz w:val="16"/>
                <w:szCs w:val="16"/>
              </w:rPr>
              <w:br/>
            </w:r>
            <w:r w:rsidRPr="008D1022">
              <w:rPr>
                <w:rFonts w:ascii="Tahoma" w:hAnsi="Tahoma" w:cs="Tahoma"/>
                <w:sz w:val="16"/>
                <w:szCs w:val="16"/>
              </w:rPr>
              <w:object w:dxaOrig="225" w:dyaOrig="225">
                <v:shape id="_x0000_i1359" type="#_x0000_t75" style="width:17.5pt;height:22pt" o:ole="">
                  <v:imagedata r:id="rId46" o:title=""/>
                </v:shape>
                <w:control r:id="rId47" w:name="DefaultOcxName81" w:shapeid="_x0000_i1359"/>
              </w:objec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House Keeping (8)</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House Keeping (10)</w:t>
            </w:r>
          </w:p>
        </w:tc>
      </w:tr>
      <w:tr w:rsidR="008D1022" w:rsidRPr="008D1022" w:rsidTr="008D1022">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1 - Insignificant</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Low (1)</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Low (2)</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House Keeping (3)</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House Keeping (4)</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sz w:val="16"/>
                <w:szCs w:val="16"/>
              </w:rPr>
            </w:pPr>
            <w:r w:rsidRPr="008D1022">
              <w:rPr>
                <w:rFonts w:ascii="Tahoma" w:hAnsi="Tahoma" w:cs="Tahoma"/>
                <w:sz w:val="16"/>
                <w:szCs w:val="16"/>
              </w:rPr>
              <w:t>House Keeping (5)</w:t>
            </w:r>
          </w:p>
        </w:tc>
      </w:tr>
      <w:tr w:rsidR="008D1022" w:rsidRPr="008D1022" w:rsidTr="008D1022">
        <w:trPr>
          <w:trHeight w:val="1050"/>
          <w:tblCellSpacing w:w="15" w:type="dxa"/>
        </w:trPr>
        <w:tc>
          <w:tcPr>
            <w:tcW w:w="1050" w:type="dxa"/>
            <w:tcBorders>
              <w:top w:val="nil"/>
              <w:left w:val="nil"/>
              <w:bottom w:val="nil"/>
              <w:right w:val="nil"/>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 </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 xml:space="preserve">1 - Negligible </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2 - Rare</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3 - Unlikely</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4 - Possible</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8D1022" w:rsidRPr="008D1022" w:rsidRDefault="008D1022" w:rsidP="008D1022">
            <w:pPr>
              <w:tabs>
                <w:tab w:val="left" w:pos="567"/>
              </w:tabs>
              <w:rPr>
                <w:rFonts w:ascii="Tahoma" w:hAnsi="Tahoma" w:cs="Tahoma"/>
                <w:bCs/>
                <w:sz w:val="16"/>
                <w:szCs w:val="16"/>
              </w:rPr>
            </w:pPr>
            <w:r w:rsidRPr="008D1022">
              <w:rPr>
                <w:rFonts w:ascii="Tahoma" w:hAnsi="Tahoma" w:cs="Tahoma"/>
                <w:bCs/>
                <w:sz w:val="16"/>
                <w:szCs w:val="16"/>
              </w:rPr>
              <w:t>5 - Probable</w:t>
            </w:r>
          </w:p>
        </w:tc>
      </w:tr>
    </w:tbl>
    <w:p w:rsidR="008D1022" w:rsidRDefault="008D1022" w:rsidP="002E7B36">
      <w:pPr>
        <w:tabs>
          <w:tab w:val="left" w:pos="567"/>
        </w:tabs>
        <w:rPr>
          <w:rFonts w:ascii="Tahoma" w:hAnsi="Tahoma" w:cs="Tahoma"/>
          <w:b/>
        </w:rPr>
      </w:pPr>
      <w:bookmarkStart w:id="0" w:name="_GoBack"/>
      <w:bookmarkEnd w:id="0"/>
    </w:p>
    <w:p w:rsidR="00D57949" w:rsidRPr="002E7B36" w:rsidRDefault="00D57949" w:rsidP="002E7B36">
      <w:pPr>
        <w:tabs>
          <w:tab w:val="left" w:pos="567"/>
        </w:tabs>
        <w:rPr>
          <w:rFonts w:ascii="Tahoma" w:hAnsi="Tahoma" w:cs="Tahoma"/>
          <w:b/>
        </w:rPr>
      </w:pPr>
    </w:p>
    <w:p w:rsidR="00EE05EB" w:rsidRDefault="00EE05EB" w:rsidP="00C7559C">
      <w:pPr>
        <w:tabs>
          <w:tab w:val="left" w:pos="0"/>
        </w:tabs>
        <w:rPr>
          <w:rFonts w:ascii="Tahoma" w:hAnsi="Tahoma" w:cs="Tahoma"/>
          <w:b/>
        </w:rPr>
      </w:pPr>
      <w:r>
        <w:rPr>
          <w:rFonts w:ascii="Tahoma" w:hAnsi="Tahoma" w:cs="Tahoma"/>
          <w:b/>
        </w:rPr>
        <w:t>5.    Risk Register</w:t>
      </w:r>
    </w:p>
    <w:p w:rsidR="00EE05EB" w:rsidRDefault="00EE05EB" w:rsidP="00EE05EB">
      <w:pPr>
        <w:tabs>
          <w:tab w:val="left" w:pos="709"/>
        </w:tabs>
        <w:rPr>
          <w:rFonts w:ascii="Tahoma" w:hAnsi="Tahoma" w:cs="Tahoma"/>
        </w:rPr>
      </w:pPr>
    </w:p>
    <w:p w:rsidR="00EE05EB" w:rsidRDefault="00C7559C" w:rsidP="008137B2">
      <w:pPr>
        <w:tabs>
          <w:tab w:val="left" w:pos="567"/>
        </w:tabs>
        <w:ind w:left="567" w:hanging="567"/>
        <w:rPr>
          <w:rFonts w:ascii="Tahoma" w:hAnsi="Tahoma" w:cs="Tahoma"/>
        </w:rPr>
      </w:pPr>
      <w:r>
        <w:rPr>
          <w:rFonts w:ascii="Tahoma" w:hAnsi="Tahoma" w:cs="Tahoma"/>
        </w:rPr>
        <w:t xml:space="preserve">5.1  </w:t>
      </w:r>
      <w:r w:rsidR="00C16577">
        <w:rPr>
          <w:rFonts w:ascii="Tahoma" w:hAnsi="Tahoma" w:cs="Tahoma"/>
        </w:rPr>
        <w:t xml:space="preserve"> </w:t>
      </w:r>
      <w:r w:rsidR="00E86E24">
        <w:rPr>
          <w:rFonts w:ascii="Tahoma" w:hAnsi="Tahoma" w:cs="Tahoma"/>
        </w:rPr>
        <w:t xml:space="preserve">The </w:t>
      </w:r>
      <w:r w:rsidR="00BC7EF2">
        <w:rPr>
          <w:rFonts w:ascii="Tahoma" w:hAnsi="Tahoma" w:cs="Tahoma"/>
        </w:rPr>
        <w:t xml:space="preserve">Insight4GRC </w:t>
      </w:r>
      <w:r w:rsidR="00E86E24">
        <w:rPr>
          <w:rFonts w:ascii="Tahoma" w:hAnsi="Tahoma" w:cs="Tahoma"/>
        </w:rPr>
        <w:t xml:space="preserve">methodology </w:t>
      </w:r>
      <w:r w:rsidR="00850690">
        <w:rPr>
          <w:rFonts w:ascii="Tahoma" w:hAnsi="Tahoma" w:cs="Tahoma"/>
        </w:rPr>
        <w:t xml:space="preserve">and Risk Management Policy </w:t>
      </w:r>
      <w:r w:rsidR="00C10A7B">
        <w:rPr>
          <w:rFonts w:ascii="Tahoma" w:hAnsi="Tahoma" w:cs="Tahoma"/>
        </w:rPr>
        <w:t>is</w:t>
      </w:r>
      <w:r>
        <w:rPr>
          <w:rFonts w:ascii="Tahoma" w:hAnsi="Tahoma" w:cs="Tahoma"/>
        </w:rPr>
        <w:t xml:space="preserve"> in place and work is </w:t>
      </w:r>
      <w:r w:rsidR="00E86E24">
        <w:rPr>
          <w:rFonts w:ascii="Tahoma" w:hAnsi="Tahoma" w:cs="Tahoma"/>
        </w:rPr>
        <w:t xml:space="preserve">continuing to </w:t>
      </w:r>
      <w:r w:rsidR="00197F20">
        <w:rPr>
          <w:rFonts w:ascii="Tahoma" w:hAnsi="Tahoma" w:cs="Tahoma"/>
        </w:rPr>
        <w:t xml:space="preserve">embed it into the </w:t>
      </w:r>
      <w:r w:rsidR="00850690">
        <w:rPr>
          <w:rFonts w:ascii="Tahoma" w:hAnsi="Tahoma" w:cs="Tahoma"/>
        </w:rPr>
        <w:t xml:space="preserve">day to day work of the </w:t>
      </w:r>
      <w:r w:rsidR="00197F20">
        <w:rPr>
          <w:rFonts w:ascii="Tahoma" w:hAnsi="Tahoma" w:cs="Tahoma"/>
        </w:rPr>
        <w:t>OPCC.</w:t>
      </w:r>
    </w:p>
    <w:p w:rsidR="00EE05EB" w:rsidRDefault="00EE05EB" w:rsidP="00C10A7B">
      <w:pPr>
        <w:tabs>
          <w:tab w:val="left" w:pos="709"/>
        </w:tabs>
        <w:rPr>
          <w:rFonts w:ascii="Tahoma" w:hAnsi="Tahoma" w:cs="Tahoma"/>
        </w:rPr>
      </w:pPr>
    </w:p>
    <w:p w:rsidR="00EE05EB" w:rsidRDefault="00C10A7B" w:rsidP="008137B2">
      <w:pPr>
        <w:tabs>
          <w:tab w:val="left" w:pos="567"/>
        </w:tabs>
        <w:ind w:left="567" w:hanging="567"/>
        <w:rPr>
          <w:rFonts w:ascii="Tahoma" w:hAnsi="Tahoma" w:cs="Tahoma"/>
        </w:rPr>
      </w:pPr>
      <w:r>
        <w:rPr>
          <w:rFonts w:ascii="Tahoma" w:hAnsi="Tahoma" w:cs="Tahoma"/>
        </w:rPr>
        <w:t>5.2</w:t>
      </w:r>
      <w:r>
        <w:rPr>
          <w:rFonts w:ascii="Tahoma" w:hAnsi="Tahoma" w:cs="Tahoma"/>
        </w:rPr>
        <w:tab/>
      </w:r>
      <w:r w:rsidR="00EE05EB">
        <w:rPr>
          <w:rFonts w:ascii="Tahoma" w:hAnsi="Tahoma" w:cs="Tahoma"/>
        </w:rPr>
        <w:t>All of the risks have and will continue to be allocated to individual Officers</w:t>
      </w:r>
      <w:r w:rsidR="00850690">
        <w:rPr>
          <w:rFonts w:ascii="Tahoma" w:hAnsi="Tahoma" w:cs="Tahoma"/>
        </w:rPr>
        <w:t xml:space="preserve"> </w:t>
      </w:r>
      <w:r w:rsidR="00C16577">
        <w:rPr>
          <w:rFonts w:ascii="Tahoma" w:hAnsi="Tahoma" w:cs="Tahoma"/>
        </w:rPr>
        <w:t>with regular</w:t>
      </w:r>
      <w:r w:rsidR="00850690">
        <w:rPr>
          <w:rFonts w:ascii="Tahoma" w:hAnsi="Tahoma" w:cs="Tahoma"/>
        </w:rPr>
        <w:t xml:space="preserve"> updates required.</w:t>
      </w:r>
    </w:p>
    <w:p w:rsidR="00EE05EB" w:rsidRDefault="00EE05EB" w:rsidP="00C10A7B">
      <w:pPr>
        <w:rPr>
          <w:rFonts w:ascii="Tahoma" w:hAnsi="Tahoma" w:cs="Tahoma"/>
        </w:rPr>
      </w:pPr>
    </w:p>
    <w:p w:rsidR="00EE05EB" w:rsidRDefault="00EE05EB" w:rsidP="00C10A7B">
      <w:pPr>
        <w:rPr>
          <w:rFonts w:ascii="Tahoma" w:hAnsi="Tahoma" w:cs="Tahoma"/>
        </w:rPr>
      </w:pPr>
      <w:r>
        <w:rPr>
          <w:rFonts w:ascii="Tahoma" w:hAnsi="Tahoma" w:cs="Tahoma"/>
        </w:rPr>
        <w:t xml:space="preserve">5.3  </w:t>
      </w:r>
      <w:r w:rsidR="00850690">
        <w:rPr>
          <w:rFonts w:ascii="Tahoma" w:hAnsi="Tahoma" w:cs="Tahoma"/>
        </w:rPr>
        <w:t xml:space="preserve"> </w:t>
      </w:r>
      <w:r>
        <w:rPr>
          <w:rFonts w:ascii="Tahoma" w:hAnsi="Tahoma" w:cs="Tahoma"/>
        </w:rPr>
        <w:t>A copy of the Strategic Risk Register is included at todays meeting.</w:t>
      </w:r>
    </w:p>
    <w:p w:rsidR="00EE05EB" w:rsidRDefault="00EE05EB" w:rsidP="00EE05EB">
      <w:pPr>
        <w:tabs>
          <w:tab w:val="left" w:pos="709"/>
        </w:tabs>
        <w:outlineLvl w:val="0"/>
        <w:rPr>
          <w:rFonts w:ascii="Tahoma" w:hAnsi="Tahoma" w:cs="Tahoma"/>
          <w:b/>
        </w:rPr>
      </w:pPr>
    </w:p>
    <w:p w:rsidR="002E7B36" w:rsidRDefault="002E7B36" w:rsidP="00EE05EB">
      <w:pPr>
        <w:tabs>
          <w:tab w:val="left" w:pos="709"/>
        </w:tabs>
        <w:outlineLvl w:val="0"/>
        <w:rPr>
          <w:rFonts w:ascii="Tahoma" w:hAnsi="Tahoma" w:cs="Tahoma"/>
          <w:b/>
        </w:rPr>
      </w:pPr>
    </w:p>
    <w:p w:rsidR="002E7B36" w:rsidRDefault="002E7B36" w:rsidP="00EE05EB">
      <w:pPr>
        <w:tabs>
          <w:tab w:val="left" w:pos="709"/>
        </w:tabs>
        <w:outlineLvl w:val="0"/>
        <w:rPr>
          <w:rFonts w:ascii="Tahoma" w:hAnsi="Tahoma" w:cs="Tahoma"/>
          <w:b/>
        </w:rPr>
      </w:pPr>
    </w:p>
    <w:p w:rsidR="00284437" w:rsidRDefault="00284437" w:rsidP="00EE05EB">
      <w:pPr>
        <w:tabs>
          <w:tab w:val="left" w:pos="709"/>
        </w:tabs>
        <w:outlineLvl w:val="0"/>
        <w:rPr>
          <w:rFonts w:ascii="Tahoma" w:hAnsi="Tahoma" w:cs="Tahoma"/>
          <w:b/>
        </w:rPr>
      </w:pPr>
    </w:p>
    <w:p w:rsidR="00284437" w:rsidRDefault="00284437" w:rsidP="00EE05EB">
      <w:pPr>
        <w:tabs>
          <w:tab w:val="left" w:pos="709"/>
        </w:tabs>
        <w:outlineLvl w:val="0"/>
        <w:rPr>
          <w:rFonts w:ascii="Tahoma" w:hAnsi="Tahoma" w:cs="Tahoma"/>
          <w:b/>
        </w:rPr>
      </w:pPr>
    </w:p>
    <w:p w:rsidR="00284437" w:rsidRDefault="00284437" w:rsidP="00EE05EB">
      <w:pPr>
        <w:tabs>
          <w:tab w:val="left" w:pos="709"/>
        </w:tabs>
        <w:outlineLvl w:val="0"/>
        <w:rPr>
          <w:rFonts w:ascii="Tahoma" w:hAnsi="Tahoma" w:cs="Tahoma"/>
          <w:b/>
        </w:rPr>
      </w:pPr>
    </w:p>
    <w:p w:rsidR="00284437" w:rsidRDefault="00284437" w:rsidP="00EE05EB">
      <w:pPr>
        <w:tabs>
          <w:tab w:val="left" w:pos="709"/>
        </w:tabs>
        <w:outlineLvl w:val="0"/>
        <w:rPr>
          <w:rFonts w:ascii="Tahoma" w:hAnsi="Tahoma" w:cs="Tahoma"/>
          <w:b/>
        </w:rPr>
      </w:pPr>
    </w:p>
    <w:p w:rsidR="00284437" w:rsidRDefault="00284437" w:rsidP="00EE05EB">
      <w:pPr>
        <w:tabs>
          <w:tab w:val="left" w:pos="709"/>
        </w:tabs>
        <w:outlineLvl w:val="0"/>
        <w:rPr>
          <w:rFonts w:ascii="Tahoma" w:hAnsi="Tahoma" w:cs="Tahoma"/>
          <w:b/>
        </w:rPr>
      </w:pPr>
    </w:p>
    <w:p w:rsidR="00BC7EF2" w:rsidRDefault="00BC7EF2" w:rsidP="00EE05EB">
      <w:pPr>
        <w:tabs>
          <w:tab w:val="left" w:pos="709"/>
        </w:tabs>
        <w:outlineLvl w:val="0"/>
        <w:rPr>
          <w:rFonts w:ascii="Tahoma" w:hAnsi="Tahoma" w:cs="Tahoma"/>
          <w:b/>
        </w:rPr>
      </w:pPr>
    </w:p>
    <w:p w:rsidR="002E7B36" w:rsidRDefault="002E7B36" w:rsidP="00EE05EB">
      <w:pPr>
        <w:tabs>
          <w:tab w:val="left" w:pos="709"/>
        </w:tabs>
        <w:outlineLvl w:val="0"/>
        <w:rPr>
          <w:rFonts w:ascii="Tahoma" w:hAnsi="Tahoma" w:cs="Tahoma"/>
          <w:b/>
        </w:rPr>
      </w:pPr>
    </w:p>
    <w:p w:rsidR="00EE05EB" w:rsidRDefault="008137B2" w:rsidP="008137B2">
      <w:pPr>
        <w:tabs>
          <w:tab w:val="left" w:pos="567"/>
        </w:tabs>
        <w:outlineLvl w:val="0"/>
        <w:rPr>
          <w:rFonts w:ascii="Tahoma" w:hAnsi="Tahoma" w:cs="Tahoma"/>
          <w:b/>
        </w:rPr>
      </w:pPr>
      <w:r>
        <w:rPr>
          <w:rFonts w:ascii="Tahoma" w:hAnsi="Tahoma" w:cs="Tahoma"/>
          <w:b/>
        </w:rPr>
        <w:t>6.</w:t>
      </w:r>
      <w:r>
        <w:rPr>
          <w:rFonts w:ascii="Tahoma" w:hAnsi="Tahoma" w:cs="Tahoma"/>
          <w:b/>
        </w:rPr>
        <w:tab/>
      </w:r>
      <w:r w:rsidR="00EE05EB">
        <w:rPr>
          <w:rFonts w:ascii="Tahoma" w:hAnsi="Tahoma" w:cs="Tahoma"/>
          <w:b/>
        </w:rPr>
        <w:t>Implications</w:t>
      </w:r>
    </w:p>
    <w:p w:rsidR="00EE05EB" w:rsidRDefault="00EE05EB" w:rsidP="00EE05EB">
      <w:pPr>
        <w:rPr>
          <w:rFonts w:ascii="Tahoma" w:hAnsi="Tahoma" w:cs="Tahoma"/>
        </w:rPr>
      </w:pPr>
    </w:p>
    <w:p w:rsidR="00EE05EB" w:rsidRDefault="008137B2" w:rsidP="008137B2">
      <w:pPr>
        <w:tabs>
          <w:tab w:val="left" w:pos="567"/>
        </w:tabs>
        <w:outlineLvl w:val="0"/>
        <w:rPr>
          <w:rFonts w:ascii="Tahoma" w:hAnsi="Tahoma" w:cs="Tahoma"/>
          <w:u w:val="single"/>
        </w:rPr>
      </w:pPr>
      <w:r>
        <w:rPr>
          <w:rFonts w:ascii="Tahoma" w:hAnsi="Tahoma" w:cs="Tahoma"/>
          <w:bCs/>
        </w:rPr>
        <w:t>6.1</w:t>
      </w:r>
      <w:r>
        <w:rPr>
          <w:rFonts w:ascii="Tahoma" w:hAnsi="Tahoma" w:cs="Tahoma"/>
          <w:bCs/>
        </w:rPr>
        <w:tab/>
      </w:r>
      <w:r w:rsidR="00EE05EB">
        <w:rPr>
          <w:rFonts w:ascii="Tahoma" w:hAnsi="Tahoma" w:cs="Tahoma"/>
          <w:bCs/>
          <w:u w:val="single"/>
        </w:rPr>
        <w:t>Finance</w:t>
      </w:r>
    </w:p>
    <w:p w:rsidR="00EE05EB" w:rsidRDefault="00EE05EB" w:rsidP="008137B2">
      <w:pPr>
        <w:ind w:left="567"/>
        <w:rPr>
          <w:rFonts w:ascii="Tahoma" w:hAnsi="Tahoma" w:cs="Tahoma"/>
        </w:rPr>
      </w:pPr>
      <w:r>
        <w:rPr>
          <w:rFonts w:ascii="Tahoma" w:hAnsi="Tahoma" w:cs="Tahoma"/>
        </w:rPr>
        <w:t>There are no known financial implications at the present time. However, as the process progresses the financial implications will be continually reviewed.</w:t>
      </w:r>
    </w:p>
    <w:p w:rsidR="00EE05EB" w:rsidRDefault="00EE05EB" w:rsidP="00EE05EB">
      <w:pPr>
        <w:ind w:left="720"/>
        <w:rPr>
          <w:rFonts w:ascii="Tahoma" w:hAnsi="Tahoma" w:cs="Tahoma"/>
        </w:rPr>
      </w:pPr>
    </w:p>
    <w:p w:rsidR="00EE05EB" w:rsidRDefault="00EE05EB" w:rsidP="008137B2">
      <w:pPr>
        <w:tabs>
          <w:tab w:val="left" w:pos="567"/>
        </w:tabs>
        <w:outlineLvl w:val="0"/>
        <w:rPr>
          <w:rFonts w:ascii="Tahoma" w:hAnsi="Tahoma" w:cs="Tahoma"/>
          <w:u w:val="single"/>
        </w:rPr>
      </w:pPr>
      <w:r>
        <w:rPr>
          <w:rFonts w:ascii="Tahoma" w:hAnsi="Tahoma" w:cs="Tahoma"/>
        </w:rPr>
        <w:t>6.2</w:t>
      </w:r>
      <w:r>
        <w:rPr>
          <w:rFonts w:ascii="Tahoma" w:hAnsi="Tahoma" w:cs="Tahoma"/>
        </w:rPr>
        <w:tab/>
      </w:r>
      <w:r>
        <w:rPr>
          <w:rFonts w:ascii="Tahoma" w:hAnsi="Tahoma" w:cs="Tahoma"/>
          <w:u w:val="single"/>
        </w:rPr>
        <w:t>Diversity and Equal Opportunities</w:t>
      </w:r>
    </w:p>
    <w:p w:rsidR="00EE05EB" w:rsidRDefault="00EE05EB" w:rsidP="008137B2">
      <w:pPr>
        <w:ind w:left="567"/>
        <w:rPr>
          <w:rFonts w:ascii="Tahoma" w:hAnsi="Tahoma" w:cs="Tahoma"/>
        </w:rPr>
      </w:pPr>
      <w:r>
        <w:rPr>
          <w:rFonts w:ascii="Tahoma" w:hAnsi="Tahoma" w:cs="Tahoma"/>
        </w:rPr>
        <w:t>There are no diversity or equal opportunities implications arising from the content of this report.</w:t>
      </w:r>
    </w:p>
    <w:p w:rsidR="00EE05EB" w:rsidRDefault="00EE05EB" w:rsidP="00EE05EB">
      <w:pPr>
        <w:rPr>
          <w:rFonts w:ascii="Tahoma" w:hAnsi="Tahoma" w:cs="Tahoma"/>
        </w:rPr>
      </w:pPr>
    </w:p>
    <w:p w:rsidR="00EE05EB" w:rsidRDefault="00EE05EB" w:rsidP="008137B2">
      <w:pPr>
        <w:tabs>
          <w:tab w:val="left" w:pos="567"/>
        </w:tabs>
        <w:outlineLvl w:val="0"/>
        <w:rPr>
          <w:rFonts w:ascii="Tahoma" w:hAnsi="Tahoma" w:cs="Tahoma"/>
          <w:u w:val="single"/>
        </w:rPr>
      </w:pPr>
      <w:r>
        <w:rPr>
          <w:rFonts w:ascii="Tahoma" w:hAnsi="Tahoma" w:cs="Tahoma"/>
        </w:rPr>
        <w:t>6.3</w:t>
      </w:r>
      <w:r>
        <w:rPr>
          <w:rFonts w:ascii="Tahoma" w:hAnsi="Tahoma" w:cs="Tahoma"/>
        </w:rPr>
        <w:tab/>
      </w:r>
      <w:r>
        <w:rPr>
          <w:rFonts w:ascii="Tahoma" w:hAnsi="Tahoma" w:cs="Tahoma"/>
          <w:u w:val="single"/>
        </w:rPr>
        <w:t>Human Rights Act</w:t>
      </w:r>
    </w:p>
    <w:p w:rsidR="00EE05EB" w:rsidRDefault="00EE05EB" w:rsidP="008137B2">
      <w:pPr>
        <w:ind w:left="567" w:firstLine="11"/>
        <w:rPr>
          <w:rFonts w:ascii="Tahoma" w:hAnsi="Tahoma" w:cs="Tahoma"/>
        </w:rPr>
      </w:pPr>
      <w:r>
        <w:rPr>
          <w:rFonts w:ascii="Tahoma" w:hAnsi="Tahoma" w:cs="Tahoma"/>
        </w:rPr>
        <w:t>There are no Human Rights Act implications arising from the content of this report.</w:t>
      </w:r>
    </w:p>
    <w:p w:rsidR="00EE05EB" w:rsidRDefault="00EE05EB" w:rsidP="00EE05EB">
      <w:pPr>
        <w:rPr>
          <w:rFonts w:ascii="Tahoma" w:hAnsi="Tahoma" w:cs="Tahoma"/>
          <w:u w:val="single"/>
        </w:rPr>
      </w:pPr>
    </w:p>
    <w:p w:rsidR="00EE05EB" w:rsidRDefault="00EE05EB" w:rsidP="008137B2">
      <w:pPr>
        <w:tabs>
          <w:tab w:val="left" w:pos="567"/>
        </w:tabs>
        <w:outlineLvl w:val="0"/>
        <w:rPr>
          <w:rFonts w:ascii="Tahoma" w:hAnsi="Tahoma" w:cs="Tahoma"/>
          <w:u w:val="single"/>
        </w:rPr>
      </w:pPr>
      <w:r>
        <w:rPr>
          <w:rFonts w:ascii="Tahoma" w:hAnsi="Tahoma" w:cs="Tahoma"/>
        </w:rPr>
        <w:t>6.4</w:t>
      </w:r>
      <w:r>
        <w:rPr>
          <w:rFonts w:ascii="Tahoma" w:hAnsi="Tahoma" w:cs="Tahoma"/>
        </w:rPr>
        <w:tab/>
      </w:r>
      <w:r>
        <w:rPr>
          <w:rFonts w:ascii="Tahoma" w:hAnsi="Tahoma" w:cs="Tahoma"/>
          <w:u w:val="single"/>
        </w:rPr>
        <w:t>Sustainability</w:t>
      </w:r>
    </w:p>
    <w:p w:rsidR="00EE05EB" w:rsidRPr="00197F20" w:rsidRDefault="00EE05EB" w:rsidP="008137B2">
      <w:pPr>
        <w:ind w:left="567"/>
        <w:rPr>
          <w:rFonts w:ascii="Tahoma" w:hAnsi="Tahoma" w:cs="Tahoma"/>
        </w:rPr>
      </w:pPr>
      <w:r>
        <w:rPr>
          <w:rFonts w:ascii="Tahoma" w:hAnsi="Tahoma" w:cs="Tahoma"/>
        </w:rPr>
        <w:t>Risk Management is a vital element in ensuring the sustainable delivery of services and delivering the PCC’s priorities.</w:t>
      </w:r>
      <w:r>
        <w:rPr>
          <w:rFonts w:ascii="Tahoma" w:hAnsi="Tahoma" w:cs="Tahoma"/>
          <w:u w:val="single"/>
        </w:rPr>
        <w:br/>
      </w:r>
    </w:p>
    <w:p w:rsidR="00EE05EB" w:rsidRDefault="00EE05EB" w:rsidP="008137B2">
      <w:pPr>
        <w:tabs>
          <w:tab w:val="left" w:pos="567"/>
        </w:tabs>
        <w:outlineLvl w:val="0"/>
        <w:rPr>
          <w:rFonts w:ascii="Tahoma" w:hAnsi="Tahoma" w:cs="Tahoma"/>
          <w:u w:val="single"/>
        </w:rPr>
      </w:pPr>
      <w:r>
        <w:rPr>
          <w:rFonts w:ascii="Tahoma" w:hAnsi="Tahoma" w:cs="Tahoma"/>
        </w:rPr>
        <w:t>6.5</w:t>
      </w:r>
      <w:r>
        <w:rPr>
          <w:rFonts w:ascii="Tahoma" w:hAnsi="Tahoma" w:cs="Tahoma"/>
        </w:rPr>
        <w:tab/>
      </w:r>
      <w:r>
        <w:rPr>
          <w:rFonts w:ascii="Tahoma" w:hAnsi="Tahoma" w:cs="Tahoma"/>
          <w:u w:val="single"/>
        </w:rPr>
        <w:t>Risk</w:t>
      </w:r>
    </w:p>
    <w:p w:rsidR="00EE05EB" w:rsidRDefault="00EE05EB" w:rsidP="008137B2">
      <w:pPr>
        <w:ind w:left="567"/>
        <w:rPr>
          <w:rFonts w:ascii="Tahoma" w:hAnsi="Tahoma" w:cs="Tahoma"/>
        </w:rPr>
      </w:pPr>
      <w:r>
        <w:rPr>
          <w:rFonts w:ascii="Tahoma" w:hAnsi="Tahoma" w:cs="Tahoma"/>
        </w:rPr>
        <w:t>Risk Management is crucial in ensuring the sustainable delivery of services and delivery of the PCC’s priorities through the effective identification and management of the principal risks to the delivery of corporate objectives.</w:t>
      </w:r>
    </w:p>
    <w:p w:rsidR="00850690" w:rsidRDefault="00850690" w:rsidP="00EE05EB">
      <w:pPr>
        <w:rPr>
          <w:rFonts w:ascii="Tahoma" w:hAnsi="Tahoma" w:cs="Tahoma"/>
        </w:rPr>
      </w:pPr>
    </w:p>
    <w:p w:rsidR="00EE05EB" w:rsidRDefault="00EE05EB" w:rsidP="008137B2">
      <w:pPr>
        <w:tabs>
          <w:tab w:val="left" w:pos="567"/>
        </w:tabs>
        <w:outlineLvl w:val="0"/>
        <w:rPr>
          <w:rFonts w:ascii="Tahoma" w:hAnsi="Tahoma" w:cs="Tahoma"/>
          <w:b/>
          <w:bCs/>
        </w:rPr>
      </w:pPr>
      <w:r>
        <w:rPr>
          <w:rFonts w:ascii="Tahoma" w:hAnsi="Tahoma" w:cs="Tahoma"/>
          <w:b/>
          <w:bCs/>
        </w:rPr>
        <w:t>7.</w:t>
      </w:r>
      <w:r>
        <w:rPr>
          <w:rFonts w:ascii="Tahoma" w:hAnsi="Tahoma" w:cs="Tahoma"/>
          <w:b/>
          <w:bCs/>
        </w:rPr>
        <w:tab/>
        <w:t>Conclusion</w:t>
      </w:r>
    </w:p>
    <w:p w:rsidR="00EE05EB" w:rsidRDefault="00EE05EB" w:rsidP="00EE05EB">
      <w:pPr>
        <w:rPr>
          <w:rFonts w:ascii="Tahoma" w:hAnsi="Tahoma" w:cs="Tahoma"/>
        </w:rPr>
      </w:pPr>
    </w:p>
    <w:p w:rsidR="00EE05EB" w:rsidRPr="00850690" w:rsidRDefault="00EE05EB" w:rsidP="008137B2">
      <w:pPr>
        <w:numPr>
          <w:ilvl w:val="1"/>
          <w:numId w:val="3"/>
        </w:numPr>
        <w:tabs>
          <w:tab w:val="clear" w:pos="720"/>
          <w:tab w:val="num" w:pos="567"/>
        </w:tabs>
        <w:ind w:left="567" w:hanging="567"/>
        <w:outlineLvl w:val="0"/>
        <w:rPr>
          <w:rFonts w:ascii="Tahoma" w:hAnsi="Tahoma" w:cs="Tahoma"/>
        </w:rPr>
      </w:pPr>
      <w:r w:rsidRPr="00850690">
        <w:rPr>
          <w:rFonts w:ascii="Tahoma" w:hAnsi="Tahoma" w:cs="Tahoma"/>
          <w:iCs/>
        </w:rPr>
        <w:t xml:space="preserve">The risk </w:t>
      </w:r>
      <w:r w:rsidR="00850690" w:rsidRPr="00850690">
        <w:rPr>
          <w:rFonts w:ascii="Tahoma" w:hAnsi="Tahoma" w:cs="Tahoma"/>
          <w:iCs/>
        </w:rPr>
        <w:t xml:space="preserve">register and the work to embed risk </w:t>
      </w:r>
      <w:r w:rsidRPr="00850690">
        <w:rPr>
          <w:rFonts w:ascii="Tahoma" w:hAnsi="Tahoma" w:cs="Tahoma"/>
          <w:iCs/>
        </w:rPr>
        <w:t>management</w:t>
      </w:r>
      <w:r w:rsidR="00850690" w:rsidRPr="00850690">
        <w:rPr>
          <w:rFonts w:ascii="Tahoma" w:hAnsi="Tahoma" w:cs="Tahoma"/>
          <w:iCs/>
        </w:rPr>
        <w:t xml:space="preserve"> within the work of the OPCC </w:t>
      </w:r>
      <w:proofErr w:type="gramStart"/>
      <w:r w:rsidR="00850690" w:rsidRPr="00850690">
        <w:rPr>
          <w:rFonts w:ascii="Tahoma" w:hAnsi="Tahoma" w:cs="Tahoma"/>
          <w:iCs/>
        </w:rPr>
        <w:t>is</w:t>
      </w:r>
      <w:proofErr w:type="gramEnd"/>
      <w:r w:rsidR="00850690" w:rsidRPr="00850690">
        <w:rPr>
          <w:rFonts w:ascii="Tahoma" w:hAnsi="Tahoma" w:cs="Tahoma"/>
          <w:iCs/>
        </w:rPr>
        <w:t xml:space="preserve"> on-going and work will continue to ensure progress is maintained and risks are appropriately captured and managed</w:t>
      </w:r>
      <w:r w:rsidR="00850690" w:rsidRPr="00850690">
        <w:rPr>
          <w:rFonts w:ascii="Tahoma" w:hAnsi="Tahoma" w:cs="Tahoma"/>
        </w:rPr>
        <w:t>.</w:t>
      </w:r>
    </w:p>
    <w:p w:rsidR="00C01ACF" w:rsidRDefault="00C01ACF"/>
    <w:sectPr w:rsidR="00C01ACF" w:rsidSect="00AD6A88">
      <w:pgSz w:w="11906" w:h="16838"/>
      <w:pgMar w:top="1276"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B7951"/>
    <w:multiLevelType w:val="hybridMultilevel"/>
    <w:tmpl w:val="F6C0B34E"/>
    <w:lvl w:ilvl="0" w:tplc="D018D658">
      <w:start w:val="4"/>
      <w:numFmt w:val="decimal"/>
      <w:lvlText w:val="%1"/>
      <w:lvlJc w:val="left"/>
      <w:pPr>
        <w:tabs>
          <w:tab w:val="num" w:pos="2591"/>
        </w:tabs>
        <w:ind w:left="2591" w:hanging="360"/>
      </w:pPr>
    </w:lvl>
    <w:lvl w:ilvl="1" w:tplc="08090019">
      <w:start w:val="1"/>
      <w:numFmt w:val="lowerLetter"/>
      <w:lvlText w:val="%2."/>
      <w:lvlJc w:val="left"/>
      <w:pPr>
        <w:tabs>
          <w:tab w:val="num" w:pos="2602"/>
        </w:tabs>
        <w:ind w:left="2602" w:hanging="360"/>
      </w:pPr>
    </w:lvl>
    <w:lvl w:ilvl="2" w:tplc="0809001B">
      <w:start w:val="1"/>
      <w:numFmt w:val="lowerRoman"/>
      <w:lvlText w:val="%3."/>
      <w:lvlJc w:val="right"/>
      <w:pPr>
        <w:tabs>
          <w:tab w:val="num" w:pos="3322"/>
        </w:tabs>
        <w:ind w:left="3322" w:hanging="180"/>
      </w:pPr>
    </w:lvl>
    <w:lvl w:ilvl="3" w:tplc="0809000F">
      <w:start w:val="1"/>
      <w:numFmt w:val="decimal"/>
      <w:lvlText w:val="%4."/>
      <w:lvlJc w:val="left"/>
      <w:pPr>
        <w:tabs>
          <w:tab w:val="num" w:pos="4042"/>
        </w:tabs>
        <w:ind w:left="4042" w:hanging="360"/>
      </w:pPr>
    </w:lvl>
    <w:lvl w:ilvl="4" w:tplc="08090019">
      <w:start w:val="1"/>
      <w:numFmt w:val="lowerLetter"/>
      <w:lvlText w:val="%5."/>
      <w:lvlJc w:val="left"/>
      <w:pPr>
        <w:tabs>
          <w:tab w:val="num" w:pos="4762"/>
        </w:tabs>
        <w:ind w:left="4762" w:hanging="360"/>
      </w:pPr>
    </w:lvl>
    <w:lvl w:ilvl="5" w:tplc="0809001B">
      <w:start w:val="1"/>
      <w:numFmt w:val="lowerRoman"/>
      <w:lvlText w:val="%6."/>
      <w:lvlJc w:val="right"/>
      <w:pPr>
        <w:tabs>
          <w:tab w:val="num" w:pos="5482"/>
        </w:tabs>
        <w:ind w:left="5482" w:hanging="180"/>
      </w:pPr>
    </w:lvl>
    <w:lvl w:ilvl="6" w:tplc="0809000F">
      <w:start w:val="1"/>
      <w:numFmt w:val="decimal"/>
      <w:lvlText w:val="%7."/>
      <w:lvlJc w:val="left"/>
      <w:pPr>
        <w:tabs>
          <w:tab w:val="num" w:pos="6202"/>
        </w:tabs>
        <w:ind w:left="6202" w:hanging="360"/>
      </w:pPr>
    </w:lvl>
    <w:lvl w:ilvl="7" w:tplc="08090019">
      <w:start w:val="1"/>
      <w:numFmt w:val="lowerLetter"/>
      <w:lvlText w:val="%8."/>
      <w:lvlJc w:val="left"/>
      <w:pPr>
        <w:tabs>
          <w:tab w:val="num" w:pos="6922"/>
        </w:tabs>
        <w:ind w:left="6922" w:hanging="360"/>
      </w:pPr>
    </w:lvl>
    <w:lvl w:ilvl="8" w:tplc="0809001B">
      <w:start w:val="1"/>
      <w:numFmt w:val="lowerRoman"/>
      <w:lvlText w:val="%9."/>
      <w:lvlJc w:val="right"/>
      <w:pPr>
        <w:tabs>
          <w:tab w:val="num" w:pos="7642"/>
        </w:tabs>
        <w:ind w:left="7642" w:hanging="180"/>
      </w:pPr>
    </w:lvl>
  </w:abstractNum>
  <w:abstractNum w:abstractNumId="1">
    <w:nsid w:val="2BA76EDF"/>
    <w:multiLevelType w:val="multilevel"/>
    <w:tmpl w:val="4F7EE89E"/>
    <w:lvl w:ilvl="0">
      <w:start w:val="7"/>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
    <w:nsid w:val="4AB2436C"/>
    <w:multiLevelType w:val="multilevel"/>
    <w:tmpl w:val="9E9C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B92461"/>
    <w:multiLevelType w:val="multilevel"/>
    <w:tmpl w:val="21C612A4"/>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4">
    <w:nsid w:val="6F1A184D"/>
    <w:multiLevelType w:val="multilevel"/>
    <w:tmpl w:val="D5FA7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AB0744"/>
    <w:multiLevelType w:val="multilevel"/>
    <w:tmpl w:val="F6247958"/>
    <w:lvl w:ilvl="0">
      <w:start w:val="4"/>
      <w:numFmt w:val="decimal"/>
      <w:lvlText w:val="%1"/>
      <w:lvlJc w:val="left"/>
      <w:pPr>
        <w:tabs>
          <w:tab w:val="num" w:pos="927"/>
        </w:tabs>
        <w:ind w:left="927" w:hanging="360"/>
      </w:pPr>
    </w:lvl>
    <w:lvl w:ilvl="1">
      <w:start w:val="1"/>
      <w:numFmt w:val="decimal"/>
      <w:isLgl/>
      <w:lvlText w:val="%1.%2"/>
      <w:lvlJc w:val="left"/>
      <w:pPr>
        <w:tabs>
          <w:tab w:val="num" w:pos="1287"/>
        </w:tabs>
        <w:ind w:left="1287" w:hanging="720"/>
      </w:pPr>
    </w:lvl>
    <w:lvl w:ilvl="2">
      <w:start w:val="1"/>
      <w:numFmt w:val="decimal"/>
      <w:isLgl/>
      <w:lvlText w:val="%1.%2.%3"/>
      <w:lvlJc w:val="left"/>
      <w:pPr>
        <w:tabs>
          <w:tab w:val="num" w:pos="1287"/>
        </w:tabs>
        <w:ind w:left="1287" w:hanging="720"/>
      </w:pPr>
    </w:lvl>
    <w:lvl w:ilvl="3">
      <w:start w:val="1"/>
      <w:numFmt w:val="decimal"/>
      <w:isLgl/>
      <w:lvlText w:val="%1.%2.%3.%4"/>
      <w:lvlJc w:val="left"/>
      <w:pPr>
        <w:tabs>
          <w:tab w:val="num" w:pos="1647"/>
        </w:tabs>
        <w:ind w:left="1647" w:hanging="1080"/>
      </w:pPr>
    </w:lvl>
    <w:lvl w:ilvl="4">
      <w:start w:val="1"/>
      <w:numFmt w:val="decimal"/>
      <w:isLgl/>
      <w:lvlText w:val="%1.%2.%3.%4.%5"/>
      <w:lvlJc w:val="left"/>
      <w:pPr>
        <w:tabs>
          <w:tab w:val="num" w:pos="2007"/>
        </w:tabs>
        <w:ind w:left="2007" w:hanging="1440"/>
      </w:pPr>
    </w:lvl>
    <w:lvl w:ilvl="5">
      <w:start w:val="1"/>
      <w:numFmt w:val="decimal"/>
      <w:isLgl/>
      <w:lvlText w:val="%1.%2.%3.%4.%5.%6"/>
      <w:lvlJc w:val="left"/>
      <w:pPr>
        <w:tabs>
          <w:tab w:val="num" w:pos="2007"/>
        </w:tabs>
        <w:ind w:left="2007" w:hanging="1440"/>
      </w:pPr>
    </w:lvl>
    <w:lvl w:ilvl="6">
      <w:start w:val="1"/>
      <w:numFmt w:val="decimal"/>
      <w:isLgl/>
      <w:lvlText w:val="%1.%2.%3.%4.%5.%6.%7"/>
      <w:lvlJc w:val="left"/>
      <w:pPr>
        <w:tabs>
          <w:tab w:val="num" w:pos="2367"/>
        </w:tabs>
        <w:ind w:left="2367" w:hanging="1800"/>
      </w:pPr>
    </w:lvl>
    <w:lvl w:ilvl="7">
      <w:start w:val="1"/>
      <w:numFmt w:val="decimal"/>
      <w:isLgl/>
      <w:lvlText w:val="%1.%2.%3.%4.%5.%6.%7.%8"/>
      <w:lvlJc w:val="left"/>
      <w:pPr>
        <w:tabs>
          <w:tab w:val="num" w:pos="2727"/>
        </w:tabs>
        <w:ind w:left="2727" w:hanging="2160"/>
      </w:pPr>
    </w:lvl>
    <w:lvl w:ilvl="8">
      <w:start w:val="1"/>
      <w:numFmt w:val="decimal"/>
      <w:isLgl/>
      <w:lvlText w:val="%1.%2.%3.%4.%5.%6.%7.%8.%9"/>
      <w:lvlJc w:val="left"/>
      <w:pPr>
        <w:tabs>
          <w:tab w:val="num" w:pos="2727"/>
        </w:tabs>
        <w:ind w:left="2727" w:hanging="216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5EB"/>
    <w:rsid w:val="000705E8"/>
    <w:rsid w:val="00147B9F"/>
    <w:rsid w:val="00156B1B"/>
    <w:rsid w:val="00180DF7"/>
    <w:rsid w:val="00197F20"/>
    <w:rsid w:val="001F427F"/>
    <w:rsid w:val="001F7815"/>
    <w:rsid w:val="002074D5"/>
    <w:rsid w:val="00284437"/>
    <w:rsid w:val="002854C3"/>
    <w:rsid w:val="002E7B36"/>
    <w:rsid w:val="003071C9"/>
    <w:rsid w:val="00411E2D"/>
    <w:rsid w:val="00421C22"/>
    <w:rsid w:val="00526E4B"/>
    <w:rsid w:val="00554C46"/>
    <w:rsid w:val="0057014F"/>
    <w:rsid w:val="005E06F9"/>
    <w:rsid w:val="005E7EC7"/>
    <w:rsid w:val="006A4EDE"/>
    <w:rsid w:val="006E42A1"/>
    <w:rsid w:val="00710EA0"/>
    <w:rsid w:val="008137B2"/>
    <w:rsid w:val="00850690"/>
    <w:rsid w:val="008B7274"/>
    <w:rsid w:val="008D1022"/>
    <w:rsid w:val="00990B9F"/>
    <w:rsid w:val="009D4A94"/>
    <w:rsid w:val="009E564C"/>
    <w:rsid w:val="00A916C4"/>
    <w:rsid w:val="00AD6A88"/>
    <w:rsid w:val="00BC7EF2"/>
    <w:rsid w:val="00C01ACF"/>
    <w:rsid w:val="00C10A7B"/>
    <w:rsid w:val="00C16577"/>
    <w:rsid w:val="00C7559C"/>
    <w:rsid w:val="00D57949"/>
    <w:rsid w:val="00DD4807"/>
    <w:rsid w:val="00E5272E"/>
    <w:rsid w:val="00E80517"/>
    <w:rsid w:val="00E86E24"/>
    <w:rsid w:val="00EE05EB"/>
    <w:rsid w:val="00EE331F"/>
    <w:rsid w:val="00EF1104"/>
    <w:rsid w:val="00FE39E9"/>
    <w:rsid w:val="00FF1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5EB"/>
    <w:pPr>
      <w:spacing w:after="0" w:line="240" w:lineRule="auto"/>
    </w:pPr>
    <w:rPr>
      <w:rFonts w:ascii="Arial" w:eastAsia="Times New Roman" w:hAnsi="Arial" w:cs="Times New Roman"/>
      <w:sz w:val="24"/>
      <w:szCs w:val="24"/>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7F20"/>
    <w:rPr>
      <w:rFonts w:ascii="Tahoma" w:hAnsi="Tahoma" w:cs="Tahoma"/>
      <w:sz w:val="16"/>
      <w:szCs w:val="16"/>
    </w:rPr>
  </w:style>
  <w:style w:type="character" w:customStyle="1" w:styleId="BalloonTextChar">
    <w:name w:val="Balloon Text Char"/>
    <w:basedOn w:val="DefaultParagraphFont"/>
    <w:link w:val="BalloonText"/>
    <w:uiPriority w:val="99"/>
    <w:semiHidden/>
    <w:rsid w:val="00197F20"/>
    <w:rPr>
      <w:rFonts w:ascii="Tahoma" w:eastAsia="Times New Roman" w:hAnsi="Tahoma" w:cs="Tahoma"/>
      <w:sz w:val="16"/>
      <w:szCs w:val="16"/>
      <w:lang w:eastAsia="en-GB"/>
    </w:rPr>
  </w:style>
  <w:style w:type="paragraph" w:styleId="ListParagraph">
    <w:name w:val="List Paragraph"/>
    <w:basedOn w:val="Normal"/>
    <w:uiPriority w:val="34"/>
    <w:qFormat/>
    <w:rsid w:val="001F427F"/>
    <w:pPr>
      <w:ind w:left="720"/>
      <w:contextualSpacing/>
    </w:pPr>
  </w:style>
  <w:style w:type="character" w:styleId="Hyperlink">
    <w:name w:val="Hyperlink"/>
    <w:basedOn w:val="DefaultParagraphFont"/>
    <w:uiPriority w:val="99"/>
    <w:unhideWhenUsed/>
    <w:rsid w:val="00526E4B"/>
    <w:rPr>
      <w:color w:val="0000FF" w:themeColor="hyperlink"/>
      <w:u w:val="single"/>
    </w:rPr>
  </w:style>
  <w:style w:type="paragraph" w:styleId="z-TopofForm">
    <w:name w:val="HTML Top of Form"/>
    <w:basedOn w:val="Normal"/>
    <w:next w:val="Normal"/>
    <w:link w:val="z-TopofFormChar"/>
    <w:hidden/>
    <w:uiPriority w:val="99"/>
    <w:semiHidden/>
    <w:unhideWhenUsed/>
    <w:rsid w:val="003071C9"/>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3071C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3071C9"/>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071C9"/>
    <w:rPr>
      <w:rFonts w:ascii="Arial" w:eastAsia="Times New Roman" w:hAnsi="Arial" w:cs="Arial"/>
      <w:vanish/>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5EB"/>
    <w:pPr>
      <w:spacing w:after="0" w:line="240" w:lineRule="auto"/>
    </w:pPr>
    <w:rPr>
      <w:rFonts w:ascii="Arial" w:eastAsia="Times New Roman" w:hAnsi="Arial" w:cs="Times New Roman"/>
      <w:sz w:val="24"/>
      <w:szCs w:val="24"/>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7F20"/>
    <w:rPr>
      <w:rFonts w:ascii="Tahoma" w:hAnsi="Tahoma" w:cs="Tahoma"/>
      <w:sz w:val="16"/>
      <w:szCs w:val="16"/>
    </w:rPr>
  </w:style>
  <w:style w:type="character" w:customStyle="1" w:styleId="BalloonTextChar">
    <w:name w:val="Balloon Text Char"/>
    <w:basedOn w:val="DefaultParagraphFont"/>
    <w:link w:val="BalloonText"/>
    <w:uiPriority w:val="99"/>
    <w:semiHidden/>
    <w:rsid w:val="00197F20"/>
    <w:rPr>
      <w:rFonts w:ascii="Tahoma" w:eastAsia="Times New Roman" w:hAnsi="Tahoma" w:cs="Tahoma"/>
      <w:sz w:val="16"/>
      <w:szCs w:val="16"/>
      <w:lang w:eastAsia="en-GB"/>
    </w:rPr>
  </w:style>
  <w:style w:type="paragraph" w:styleId="ListParagraph">
    <w:name w:val="List Paragraph"/>
    <w:basedOn w:val="Normal"/>
    <w:uiPriority w:val="34"/>
    <w:qFormat/>
    <w:rsid w:val="001F427F"/>
    <w:pPr>
      <w:ind w:left="720"/>
      <w:contextualSpacing/>
    </w:pPr>
  </w:style>
  <w:style w:type="character" w:styleId="Hyperlink">
    <w:name w:val="Hyperlink"/>
    <w:basedOn w:val="DefaultParagraphFont"/>
    <w:uiPriority w:val="99"/>
    <w:unhideWhenUsed/>
    <w:rsid w:val="00526E4B"/>
    <w:rPr>
      <w:color w:val="0000FF" w:themeColor="hyperlink"/>
      <w:u w:val="single"/>
    </w:rPr>
  </w:style>
  <w:style w:type="paragraph" w:styleId="z-TopofForm">
    <w:name w:val="HTML Top of Form"/>
    <w:basedOn w:val="Normal"/>
    <w:next w:val="Normal"/>
    <w:link w:val="z-TopofFormChar"/>
    <w:hidden/>
    <w:uiPriority w:val="99"/>
    <w:semiHidden/>
    <w:unhideWhenUsed/>
    <w:rsid w:val="003071C9"/>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3071C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3071C9"/>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071C9"/>
    <w:rPr>
      <w:rFonts w:ascii="Arial" w:eastAsia="Times New Roman" w:hAnsi="Arial" w:cs="Arial"/>
      <w:vanish/>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5278">
      <w:bodyDiv w:val="1"/>
      <w:marLeft w:val="0"/>
      <w:marRight w:val="0"/>
      <w:marTop w:val="0"/>
      <w:marBottom w:val="0"/>
      <w:divBdr>
        <w:top w:val="none" w:sz="0" w:space="0" w:color="auto"/>
        <w:left w:val="none" w:sz="0" w:space="0" w:color="auto"/>
        <w:bottom w:val="none" w:sz="0" w:space="0" w:color="auto"/>
        <w:right w:val="none" w:sz="0" w:space="0" w:color="auto"/>
      </w:divBdr>
      <w:divsChild>
        <w:div w:id="56972838">
          <w:marLeft w:val="0"/>
          <w:marRight w:val="0"/>
          <w:marTop w:val="0"/>
          <w:marBottom w:val="0"/>
          <w:divBdr>
            <w:top w:val="none" w:sz="0" w:space="0" w:color="auto"/>
            <w:left w:val="none" w:sz="0" w:space="0" w:color="auto"/>
            <w:bottom w:val="none" w:sz="0" w:space="0" w:color="auto"/>
            <w:right w:val="none" w:sz="0" w:space="0" w:color="auto"/>
          </w:divBdr>
          <w:divsChild>
            <w:div w:id="574049312">
              <w:marLeft w:val="0"/>
              <w:marRight w:val="0"/>
              <w:marTop w:val="0"/>
              <w:marBottom w:val="0"/>
              <w:divBdr>
                <w:top w:val="none" w:sz="0" w:space="0" w:color="auto"/>
                <w:left w:val="none" w:sz="0" w:space="0" w:color="auto"/>
                <w:bottom w:val="none" w:sz="0" w:space="0" w:color="auto"/>
                <w:right w:val="none" w:sz="0" w:space="0" w:color="auto"/>
              </w:divBdr>
              <w:divsChild>
                <w:div w:id="1701515653">
                  <w:marLeft w:val="0"/>
                  <w:marRight w:val="0"/>
                  <w:marTop w:val="0"/>
                  <w:marBottom w:val="150"/>
                  <w:divBdr>
                    <w:top w:val="none" w:sz="0" w:space="0" w:color="auto"/>
                    <w:left w:val="none" w:sz="0" w:space="0" w:color="auto"/>
                    <w:bottom w:val="none" w:sz="0" w:space="0" w:color="auto"/>
                    <w:right w:val="none" w:sz="0" w:space="0" w:color="auto"/>
                  </w:divBdr>
                  <w:divsChild>
                    <w:div w:id="797072476">
                      <w:marLeft w:val="0"/>
                      <w:marRight w:val="0"/>
                      <w:marTop w:val="0"/>
                      <w:marBottom w:val="0"/>
                      <w:divBdr>
                        <w:top w:val="none" w:sz="0" w:space="0" w:color="auto"/>
                        <w:left w:val="none" w:sz="0" w:space="0" w:color="auto"/>
                        <w:bottom w:val="none" w:sz="0" w:space="0" w:color="auto"/>
                        <w:right w:val="none" w:sz="0" w:space="0" w:color="auto"/>
                      </w:divBdr>
                      <w:divsChild>
                        <w:div w:id="1073159620">
                          <w:marLeft w:val="0"/>
                          <w:marRight w:val="0"/>
                          <w:marTop w:val="0"/>
                          <w:marBottom w:val="0"/>
                          <w:divBdr>
                            <w:top w:val="none" w:sz="0" w:space="0" w:color="auto"/>
                            <w:left w:val="none" w:sz="0" w:space="0" w:color="auto"/>
                            <w:bottom w:val="none" w:sz="0" w:space="0" w:color="auto"/>
                            <w:right w:val="none" w:sz="0" w:space="0" w:color="auto"/>
                          </w:divBdr>
                          <w:divsChild>
                            <w:div w:id="702943838">
                              <w:marLeft w:val="0"/>
                              <w:marRight w:val="0"/>
                              <w:marTop w:val="0"/>
                              <w:marBottom w:val="0"/>
                              <w:divBdr>
                                <w:top w:val="none" w:sz="0" w:space="0" w:color="auto"/>
                                <w:left w:val="none" w:sz="0" w:space="0" w:color="auto"/>
                                <w:bottom w:val="none" w:sz="0" w:space="0" w:color="auto"/>
                                <w:right w:val="none" w:sz="0" w:space="0" w:color="auto"/>
                              </w:divBdr>
                              <w:divsChild>
                                <w:div w:id="53569601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365984661">
      <w:bodyDiv w:val="1"/>
      <w:marLeft w:val="0"/>
      <w:marRight w:val="0"/>
      <w:marTop w:val="0"/>
      <w:marBottom w:val="0"/>
      <w:divBdr>
        <w:top w:val="none" w:sz="0" w:space="0" w:color="auto"/>
        <w:left w:val="none" w:sz="0" w:space="0" w:color="auto"/>
        <w:bottom w:val="none" w:sz="0" w:space="0" w:color="auto"/>
        <w:right w:val="none" w:sz="0" w:space="0" w:color="auto"/>
      </w:divBdr>
      <w:divsChild>
        <w:div w:id="1516580197">
          <w:marLeft w:val="0"/>
          <w:marRight w:val="0"/>
          <w:marTop w:val="0"/>
          <w:marBottom w:val="0"/>
          <w:divBdr>
            <w:top w:val="none" w:sz="0" w:space="0" w:color="auto"/>
            <w:left w:val="none" w:sz="0" w:space="0" w:color="auto"/>
            <w:bottom w:val="none" w:sz="0" w:space="0" w:color="auto"/>
            <w:right w:val="none" w:sz="0" w:space="0" w:color="auto"/>
          </w:divBdr>
          <w:divsChild>
            <w:div w:id="1550728379">
              <w:marLeft w:val="0"/>
              <w:marRight w:val="0"/>
              <w:marTop w:val="0"/>
              <w:marBottom w:val="0"/>
              <w:divBdr>
                <w:top w:val="none" w:sz="0" w:space="0" w:color="auto"/>
                <w:left w:val="none" w:sz="0" w:space="0" w:color="auto"/>
                <w:bottom w:val="none" w:sz="0" w:space="0" w:color="auto"/>
                <w:right w:val="none" w:sz="0" w:space="0" w:color="auto"/>
              </w:divBdr>
              <w:divsChild>
                <w:div w:id="1002439409">
                  <w:marLeft w:val="0"/>
                  <w:marRight w:val="0"/>
                  <w:marTop w:val="0"/>
                  <w:marBottom w:val="150"/>
                  <w:divBdr>
                    <w:top w:val="none" w:sz="0" w:space="0" w:color="auto"/>
                    <w:left w:val="none" w:sz="0" w:space="0" w:color="auto"/>
                    <w:bottom w:val="none" w:sz="0" w:space="0" w:color="auto"/>
                    <w:right w:val="none" w:sz="0" w:space="0" w:color="auto"/>
                  </w:divBdr>
                  <w:divsChild>
                    <w:div w:id="53941494">
                      <w:marLeft w:val="0"/>
                      <w:marRight w:val="0"/>
                      <w:marTop w:val="0"/>
                      <w:marBottom w:val="0"/>
                      <w:divBdr>
                        <w:top w:val="none" w:sz="0" w:space="0" w:color="auto"/>
                        <w:left w:val="none" w:sz="0" w:space="0" w:color="auto"/>
                        <w:bottom w:val="none" w:sz="0" w:space="0" w:color="auto"/>
                        <w:right w:val="none" w:sz="0" w:space="0" w:color="auto"/>
                      </w:divBdr>
                      <w:divsChild>
                        <w:div w:id="605307149">
                          <w:marLeft w:val="0"/>
                          <w:marRight w:val="0"/>
                          <w:marTop w:val="0"/>
                          <w:marBottom w:val="0"/>
                          <w:divBdr>
                            <w:top w:val="none" w:sz="0" w:space="0" w:color="auto"/>
                            <w:left w:val="none" w:sz="0" w:space="0" w:color="auto"/>
                            <w:bottom w:val="none" w:sz="0" w:space="0" w:color="auto"/>
                            <w:right w:val="none" w:sz="0" w:space="0" w:color="auto"/>
                          </w:divBdr>
                          <w:divsChild>
                            <w:div w:id="1787961407">
                              <w:marLeft w:val="0"/>
                              <w:marRight w:val="0"/>
                              <w:marTop w:val="0"/>
                              <w:marBottom w:val="0"/>
                              <w:divBdr>
                                <w:top w:val="none" w:sz="0" w:space="0" w:color="auto"/>
                                <w:left w:val="none" w:sz="0" w:space="0" w:color="auto"/>
                                <w:bottom w:val="none" w:sz="0" w:space="0" w:color="auto"/>
                                <w:right w:val="none" w:sz="0" w:space="0" w:color="auto"/>
                              </w:divBdr>
                              <w:divsChild>
                                <w:div w:id="33889451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465776214">
      <w:bodyDiv w:val="1"/>
      <w:marLeft w:val="0"/>
      <w:marRight w:val="0"/>
      <w:marTop w:val="0"/>
      <w:marBottom w:val="0"/>
      <w:divBdr>
        <w:top w:val="none" w:sz="0" w:space="0" w:color="auto"/>
        <w:left w:val="none" w:sz="0" w:space="0" w:color="auto"/>
        <w:bottom w:val="none" w:sz="0" w:space="0" w:color="auto"/>
        <w:right w:val="none" w:sz="0" w:space="0" w:color="auto"/>
      </w:divBdr>
      <w:divsChild>
        <w:div w:id="673073401">
          <w:marLeft w:val="0"/>
          <w:marRight w:val="0"/>
          <w:marTop w:val="0"/>
          <w:marBottom w:val="0"/>
          <w:divBdr>
            <w:top w:val="none" w:sz="0" w:space="0" w:color="auto"/>
            <w:left w:val="none" w:sz="0" w:space="0" w:color="auto"/>
            <w:bottom w:val="none" w:sz="0" w:space="0" w:color="auto"/>
            <w:right w:val="none" w:sz="0" w:space="0" w:color="auto"/>
          </w:divBdr>
          <w:divsChild>
            <w:div w:id="877426631">
              <w:marLeft w:val="0"/>
              <w:marRight w:val="0"/>
              <w:marTop w:val="0"/>
              <w:marBottom w:val="0"/>
              <w:divBdr>
                <w:top w:val="none" w:sz="0" w:space="0" w:color="auto"/>
                <w:left w:val="none" w:sz="0" w:space="0" w:color="auto"/>
                <w:bottom w:val="none" w:sz="0" w:space="0" w:color="auto"/>
                <w:right w:val="none" w:sz="0" w:space="0" w:color="auto"/>
              </w:divBdr>
              <w:divsChild>
                <w:div w:id="2010135511">
                  <w:marLeft w:val="0"/>
                  <w:marRight w:val="0"/>
                  <w:marTop w:val="0"/>
                  <w:marBottom w:val="150"/>
                  <w:divBdr>
                    <w:top w:val="none" w:sz="0" w:space="0" w:color="auto"/>
                    <w:left w:val="none" w:sz="0" w:space="0" w:color="auto"/>
                    <w:bottom w:val="none" w:sz="0" w:space="0" w:color="auto"/>
                    <w:right w:val="none" w:sz="0" w:space="0" w:color="auto"/>
                  </w:divBdr>
                  <w:divsChild>
                    <w:div w:id="59972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054006">
      <w:bodyDiv w:val="1"/>
      <w:marLeft w:val="0"/>
      <w:marRight w:val="0"/>
      <w:marTop w:val="0"/>
      <w:marBottom w:val="0"/>
      <w:divBdr>
        <w:top w:val="none" w:sz="0" w:space="0" w:color="auto"/>
        <w:left w:val="none" w:sz="0" w:space="0" w:color="auto"/>
        <w:bottom w:val="none" w:sz="0" w:space="0" w:color="auto"/>
        <w:right w:val="none" w:sz="0" w:space="0" w:color="auto"/>
      </w:divBdr>
      <w:divsChild>
        <w:div w:id="728378349">
          <w:marLeft w:val="0"/>
          <w:marRight w:val="0"/>
          <w:marTop w:val="0"/>
          <w:marBottom w:val="0"/>
          <w:divBdr>
            <w:top w:val="none" w:sz="0" w:space="0" w:color="auto"/>
            <w:left w:val="none" w:sz="0" w:space="0" w:color="auto"/>
            <w:bottom w:val="none" w:sz="0" w:space="0" w:color="auto"/>
            <w:right w:val="none" w:sz="0" w:space="0" w:color="auto"/>
          </w:divBdr>
          <w:divsChild>
            <w:div w:id="589236866">
              <w:marLeft w:val="0"/>
              <w:marRight w:val="0"/>
              <w:marTop w:val="0"/>
              <w:marBottom w:val="0"/>
              <w:divBdr>
                <w:top w:val="none" w:sz="0" w:space="0" w:color="auto"/>
                <w:left w:val="none" w:sz="0" w:space="0" w:color="auto"/>
                <w:bottom w:val="none" w:sz="0" w:space="0" w:color="auto"/>
                <w:right w:val="none" w:sz="0" w:space="0" w:color="auto"/>
              </w:divBdr>
              <w:divsChild>
                <w:div w:id="418598425">
                  <w:marLeft w:val="0"/>
                  <w:marRight w:val="0"/>
                  <w:marTop w:val="0"/>
                  <w:marBottom w:val="150"/>
                  <w:divBdr>
                    <w:top w:val="none" w:sz="0" w:space="0" w:color="auto"/>
                    <w:left w:val="none" w:sz="0" w:space="0" w:color="auto"/>
                    <w:bottom w:val="none" w:sz="0" w:space="0" w:color="auto"/>
                    <w:right w:val="none" w:sz="0" w:space="0" w:color="auto"/>
                  </w:divBdr>
                  <w:divsChild>
                    <w:div w:id="121897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807409">
      <w:bodyDiv w:val="1"/>
      <w:marLeft w:val="0"/>
      <w:marRight w:val="0"/>
      <w:marTop w:val="0"/>
      <w:marBottom w:val="0"/>
      <w:divBdr>
        <w:top w:val="none" w:sz="0" w:space="0" w:color="auto"/>
        <w:left w:val="none" w:sz="0" w:space="0" w:color="auto"/>
        <w:bottom w:val="none" w:sz="0" w:space="0" w:color="auto"/>
        <w:right w:val="none" w:sz="0" w:space="0" w:color="auto"/>
      </w:divBdr>
      <w:divsChild>
        <w:div w:id="339814955">
          <w:marLeft w:val="0"/>
          <w:marRight w:val="0"/>
          <w:marTop w:val="0"/>
          <w:marBottom w:val="0"/>
          <w:divBdr>
            <w:top w:val="none" w:sz="0" w:space="0" w:color="auto"/>
            <w:left w:val="none" w:sz="0" w:space="0" w:color="auto"/>
            <w:bottom w:val="none" w:sz="0" w:space="0" w:color="auto"/>
            <w:right w:val="none" w:sz="0" w:space="0" w:color="auto"/>
          </w:divBdr>
          <w:divsChild>
            <w:div w:id="1846312703">
              <w:marLeft w:val="0"/>
              <w:marRight w:val="0"/>
              <w:marTop w:val="0"/>
              <w:marBottom w:val="0"/>
              <w:divBdr>
                <w:top w:val="none" w:sz="0" w:space="0" w:color="auto"/>
                <w:left w:val="none" w:sz="0" w:space="0" w:color="auto"/>
                <w:bottom w:val="none" w:sz="0" w:space="0" w:color="auto"/>
                <w:right w:val="none" w:sz="0" w:space="0" w:color="auto"/>
              </w:divBdr>
              <w:divsChild>
                <w:div w:id="1736734544">
                  <w:marLeft w:val="0"/>
                  <w:marRight w:val="0"/>
                  <w:marTop w:val="0"/>
                  <w:marBottom w:val="0"/>
                  <w:divBdr>
                    <w:top w:val="none" w:sz="0" w:space="0" w:color="auto"/>
                    <w:left w:val="none" w:sz="0" w:space="0" w:color="auto"/>
                    <w:bottom w:val="none" w:sz="0" w:space="0" w:color="auto"/>
                    <w:right w:val="none" w:sz="0" w:space="0" w:color="auto"/>
                  </w:divBdr>
                  <w:divsChild>
                    <w:div w:id="1911695570">
                      <w:marLeft w:val="0"/>
                      <w:marRight w:val="0"/>
                      <w:marTop w:val="0"/>
                      <w:marBottom w:val="0"/>
                      <w:divBdr>
                        <w:top w:val="none" w:sz="0" w:space="0" w:color="auto"/>
                        <w:left w:val="none" w:sz="0" w:space="0" w:color="auto"/>
                        <w:bottom w:val="none" w:sz="0" w:space="0" w:color="auto"/>
                        <w:right w:val="none" w:sz="0" w:space="0" w:color="auto"/>
                      </w:divBdr>
                      <w:divsChild>
                        <w:div w:id="1252154658">
                          <w:marLeft w:val="0"/>
                          <w:marRight w:val="0"/>
                          <w:marTop w:val="100"/>
                          <w:marBottom w:val="100"/>
                          <w:divBdr>
                            <w:top w:val="single" w:sz="6" w:space="0" w:color="DDDDDD"/>
                            <w:left w:val="single" w:sz="6" w:space="0" w:color="DDDDDD"/>
                            <w:bottom w:val="single" w:sz="6" w:space="0" w:color="DDDDDD"/>
                            <w:right w:val="single" w:sz="6" w:space="0" w:color="DDDDDD"/>
                          </w:divBdr>
                        </w:div>
                        <w:div w:id="289089537">
                          <w:marLeft w:val="0"/>
                          <w:marRight w:val="0"/>
                          <w:marTop w:val="100"/>
                          <w:marBottom w:val="100"/>
                          <w:divBdr>
                            <w:top w:val="single" w:sz="6" w:space="0" w:color="DDDDDD"/>
                            <w:left w:val="single" w:sz="6" w:space="0" w:color="DDDDDD"/>
                            <w:bottom w:val="single" w:sz="6" w:space="0" w:color="DDDDDD"/>
                            <w:right w:val="single" w:sz="6" w:space="0" w:color="DDDDDD"/>
                          </w:divBdr>
                        </w:div>
                        <w:div w:id="972641961">
                          <w:marLeft w:val="0"/>
                          <w:marRight w:val="0"/>
                          <w:marTop w:val="100"/>
                          <w:marBottom w:val="100"/>
                          <w:divBdr>
                            <w:top w:val="single" w:sz="6" w:space="0" w:color="DDDDDD"/>
                            <w:left w:val="single" w:sz="6" w:space="0" w:color="DDDDDD"/>
                            <w:bottom w:val="single" w:sz="6" w:space="0" w:color="DDDDDD"/>
                            <w:right w:val="single" w:sz="6" w:space="0" w:color="DDDDDD"/>
                          </w:divBdr>
                        </w:div>
                        <w:div w:id="849222940">
                          <w:marLeft w:val="0"/>
                          <w:marRight w:val="0"/>
                          <w:marTop w:val="100"/>
                          <w:marBottom w:val="100"/>
                          <w:divBdr>
                            <w:top w:val="single" w:sz="6" w:space="0" w:color="DDDDDD"/>
                            <w:left w:val="single" w:sz="6" w:space="0" w:color="DDDDDD"/>
                            <w:bottom w:val="single" w:sz="6" w:space="0" w:color="DDDDDD"/>
                            <w:right w:val="single" w:sz="6" w:space="0" w:color="DDDDDD"/>
                          </w:divBdr>
                        </w:div>
                        <w:div w:id="1122188179">
                          <w:marLeft w:val="0"/>
                          <w:marRight w:val="0"/>
                          <w:marTop w:val="100"/>
                          <w:marBottom w:val="100"/>
                          <w:divBdr>
                            <w:top w:val="single" w:sz="6" w:space="0" w:color="DDDDDD"/>
                            <w:left w:val="single" w:sz="6" w:space="0" w:color="DDDDDD"/>
                            <w:bottom w:val="single" w:sz="6" w:space="0" w:color="DDDDDD"/>
                            <w:right w:val="single" w:sz="6" w:space="0" w:color="DDDDDD"/>
                          </w:divBdr>
                        </w:div>
                        <w:div w:id="538859191">
                          <w:marLeft w:val="0"/>
                          <w:marRight w:val="0"/>
                          <w:marTop w:val="100"/>
                          <w:marBottom w:val="100"/>
                          <w:divBdr>
                            <w:top w:val="single" w:sz="6" w:space="0" w:color="DDDDDD"/>
                            <w:left w:val="single" w:sz="6" w:space="0" w:color="DDDDDD"/>
                            <w:bottom w:val="single" w:sz="6" w:space="0" w:color="DDDDDD"/>
                            <w:right w:val="single" w:sz="6" w:space="0" w:color="DDDDDD"/>
                          </w:divBdr>
                        </w:div>
                        <w:div w:id="1364211974">
                          <w:marLeft w:val="0"/>
                          <w:marRight w:val="0"/>
                          <w:marTop w:val="100"/>
                          <w:marBottom w:val="100"/>
                          <w:divBdr>
                            <w:top w:val="single" w:sz="6" w:space="0" w:color="DDDDDD"/>
                            <w:left w:val="single" w:sz="6" w:space="0" w:color="DDDDDD"/>
                            <w:bottom w:val="single" w:sz="6" w:space="0" w:color="DDDDDD"/>
                            <w:right w:val="single" w:sz="6" w:space="0" w:color="DDDDDD"/>
                          </w:divBdr>
                        </w:div>
                        <w:div w:id="781455433">
                          <w:marLeft w:val="0"/>
                          <w:marRight w:val="0"/>
                          <w:marTop w:val="100"/>
                          <w:marBottom w:val="10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257791236">
      <w:bodyDiv w:val="1"/>
      <w:marLeft w:val="0"/>
      <w:marRight w:val="0"/>
      <w:marTop w:val="0"/>
      <w:marBottom w:val="0"/>
      <w:divBdr>
        <w:top w:val="none" w:sz="0" w:space="0" w:color="auto"/>
        <w:left w:val="none" w:sz="0" w:space="0" w:color="auto"/>
        <w:bottom w:val="none" w:sz="0" w:space="0" w:color="auto"/>
        <w:right w:val="none" w:sz="0" w:space="0" w:color="auto"/>
      </w:divBdr>
      <w:divsChild>
        <w:div w:id="1416437607">
          <w:marLeft w:val="0"/>
          <w:marRight w:val="0"/>
          <w:marTop w:val="0"/>
          <w:marBottom w:val="0"/>
          <w:divBdr>
            <w:top w:val="none" w:sz="0" w:space="0" w:color="auto"/>
            <w:left w:val="none" w:sz="0" w:space="0" w:color="auto"/>
            <w:bottom w:val="none" w:sz="0" w:space="0" w:color="auto"/>
            <w:right w:val="none" w:sz="0" w:space="0" w:color="auto"/>
          </w:divBdr>
          <w:divsChild>
            <w:div w:id="1330254454">
              <w:marLeft w:val="0"/>
              <w:marRight w:val="0"/>
              <w:marTop w:val="0"/>
              <w:marBottom w:val="0"/>
              <w:divBdr>
                <w:top w:val="none" w:sz="0" w:space="0" w:color="auto"/>
                <w:left w:val="none" w:sz="0" w:space="0" w:color="auto"/>
                <w:bottom w:val="none" w:sz="0" w:space="0" w:color="auto"/>
                <w:right w:val="none" w:sz="0" w:space="0" w:color="auto"/>
              </w:divBdr>
              <w:divsChild>
                <w:div w:id="1655143051">
                  <w:marLeft w:val="0"/>
                  <w:marRight w:val="0"/>
                  <w:marTop w:val="0"/>
                  <w:marBottom w:val="150"/>
                  <w:divBdr>
                    <w:top w:val="none" w:sz="0" w:space="0" w:color="auto"/>
                    <w:left w:val="none" w:sz="0" w:space="0" w:color="auto"/>
                    <w:bottom w:val="none" w:sz="0" w:space="0" w:color="auto"/>
                    <w:right w:val="none" w:sz="0" w:space="0" w:color="auto"/>
                  </w:divBdr>
                  <w:divsChild>
                    <w:div w:id="71520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101418">
      <w:bodyDiv w:val="1"/>
      <w:marLeft w:val="0"/>
      <w:marRight w:val="0"/>
      <w:marTop w:val="0"/>
      <w:marBottom w:val="0"/>
      <w:divBdr>
        <w:top w:val="none" w:sz="0" w:space="0" w:color="auto"/>
        <w:left w:val="none" w:sz="0" w:space="0" w:color="auto"/>
        <w:bottom w:val="none" w:sz="0" w:space="0" w:color="auto"/>
        <w:right w:val="none" w:sz="0" w:space="0" w:color="auto"/>
      </w:divBdr>
      <w:divsChild>
        <w:div w:id="2130776277">
          <w:marLeft w:val="0"/>
          <w:marRight w:val="0"/>
          <w:marTop w:val="0"/>
          <w:marBottom w:val="0"/>
          <w:divBdr>
            <w:top w:val="none" w:sz="0" w:space="0" w:color="auto"/>
            <w:left w:val="none" w:sz="0" w:space="0" w:color="auto"/>
            <w:bottom w:val="none" w:sz="0" w:space="0" w:color="auto"/>
            <w:right w:val="none" w:sz="0" w:space="0" w:color="auto"/>
          </w:divBdr>
          <w:divsChild>
            <w:div w:id="1083408019">
              <w:marLeft w:val="0"/>
              <w:marRight w:val="0"/>
              <w:marTop w:val="0"/>
              <w:marBottom w:val="0"/>
              <w:divBdr>
                <w:top w:val="none" w:sz="0" w:space="0" w:color="auto"/>
                <w:left w:val="none" w:sz="0" w:space="0" w:color="auto"/>
                <w:bottom w:val="none" w:sz="0" w:space="0" w:color="auto"/>
                <w:right w:val="none" w:sz="0" w:space="0" w:color="auto"/>
              </w:divBdr>
              <w:divsChild>
                <w:div w:id="1500539820">
                  <w:marLeft w:val="0"/>
                  <w:marRight w:val="0"/>
                  <w:marTop w:val="0"/>
                  <w:marBottom w:val="150"/>
                  <w:divBdr>
                    <w:top w:val="none" w:sz="0" w:space="0" w:color="auto"/>
                    <w:left w:val="none" w:sz="0" w:space="0" w:color="auto"/>
                    <w:bottom w:val="none" w:sz="0" w:space="0" w:color="auto"/>
                    <w:right w:val="none" w:sz="0" w:space="0" w:color="auto"/>
                  </w:divBdr>
                  <w:divsChild>
                    <w:div w:id="7061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895727">
      <w:bodyDiv w:val="1"/>
      <w:marLeft w:val="0"/>
      <w:marRight w:val="0"/>
      <w:marTop w:val="0"/>
      <w:marBottom w:val="0"/>
      <w:divBdr>
        <w:top w:val="none" w:sz="0" w:space="0" w:color="auto"/>
        <w:left w:val="none" w:sz="0" w:space="0" w:color="auto"/>
        <w:bottom w:val="none" w:sz="0" w:space="0" w:color="auto"/>
        <w:right w:val="none" w:sz="0" w:space="0" w:color="auto"/>
      </w:divBdr>
      <w:divsChild>
        <w:div w:id="1131898486">
          <w:marLeft w:val="0"/>
          <w:marRight w:val="0"/>
          <w:marTop w:val="0"/>
          <w:marBottom w:val="0"/>
          <w:divBdr>
            <w:top w:val="none" w:sz="0" w:space="0" w:color="auto"/>
            <w:left w:val="none" w:sz="0" w:space="0" w:color="auto"/>
            <w:bottom w:val="none" w:sz="0" w:space="0" w:color="auto"/>
            <w:right w:val="none" w:sz="0" w:space="0" w:color="auto"/>
          </w:divBdr>
          <w:divsChild>
            <w:div w:id="2122339866">
              <w:marLeft w:val="0"/>
              <w:marRight w:val="0"/>
              <w:marTop w:val="0"/>
              <w:marBottom w:val="0"/>
              <w:divBdr>
                <w:top w:val="none" w:sz="0" w:space="0" w:color="auto"/>
                <w:left w:val="none" w:sz="0" w:space="0" w:color="auto"/>
                <w:bottom w:val="none" w:sz="0" w:space="0" w:color="auto"/>
                <w:right w:val="none" w:sz="0" w:space="0" w:color="auto"/>
              </w:divBdr>
              <w:divsChild>
                <w:div w:id="248272475">
                  <w:marLeft w:val="0"/>
                  <w:marRight w:val="0"/>
                  <w:marTop w:val="0"/>
                  <w:marBottom w:val="150"/>
                  <w:divBdr>
                    <w:top w:val="none" w:sz="0" w:space="0" w:color="auto"/>
                    <w:left w:val="none" w:sz="0" w:space="0" w:color="auto"/>
                    <w:bottom w:val="none" w:sz="0" w:space="0" w:color="auto"/>
                    <w:right w:val="none" w:sz="0" w:space="0" w:color="auto"/>
                  </w:divBdr>
                  <w:divsChild>
                    <w:div w:id="1189568335">
                      <w:marLeft w:val="0"/>
                      <w:marRight w:val="0"/>
                      <w:marTop w:val="0"/>
                      <w:marBottom w:val="0"/>
                      <w:divBdr>
                        <w:top w:val="none" w:sz="0" w:space="0" w:color="auto"/>
                        <w:left w:val="none" w:sz="0" w:space="0" w:color="auto"/>
                        <w:bottom w:val="none" w:sz="0" w:space="0" w:color="auto"/>
                        <w:right w:val="none" w:sz="0" w:space="0" w:color="auto"/>
                      </w:divBdr>
                      <w:divsChild>
                        <w:div w:id="679936960">
                          <w:marLeft w:val="0"/>
                          <w:marRight w:val="0"/>
                          <w:marTop w:val="0"/>
                          <w:marBottom w:val="0"/>
                          <w:divBdr>
                            <w:top w:val="none" w:sz="0" w:space="0" w:color="auto"/>
                            <w:left w:val="none" w:sz="0" w:space="0" w:color="auto"/>
                            <w:bottom w:val="none" w:sz="0" w:space="0" w:color="auto"/>
                            <w:right w:val="none" w:sz="0" w:space="0" w:color="auto"/>
                          </w:divBdr>
                          <w:divsChild>
                            <w:div w:id="1154567658">
                              <w:marLeft w:val="0"/>
                              <w:marRight w:val="0"/>
                              <w:marTop w:val="0"/>
                              <w:marBottom w:val="0"/>
                              <w:divBdr>
                                <w:top w:val="none" w:sz="0" w:space="0" w:color="auto"/>
                                <w:left w:val="none" w:sz="0" w:space="0" w:color="auto"/>
                                <w:bottom w:val="none" w:sz="0" w:space="0" w:color="auto"/>
                                <w:right w:val="none" w:sz="0" w:space="0" w:color="auto"/>
                              </w:divBdr>
                              <w:divsChild>
                                <w:div w:id="70471341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2106340798">
      <w:bodyDiv w:val="1"/>
      <w:marLeft w:val="0"/>
      <w:marRight w:val="0"/>
      <w:marTop w:val="0"/>
      <w:marBottom w:val="0"/>
      <w:divBdr>
        <w:top w:val="none" w:sz="0" w:space="0" w:color="auto"/>
        <w:left w:val="none" w:sz="0" w:space="0" w:color="auto"/>
        <w:bottom w:val="none" w:sz="0" w:space="0" w:color="auto"/>
        <w:right w:val="none" w:sz="0" w:space="0" w:color="auto"/>
      </w:divBdr>
      <w:divsChild>
        <w:div w:id="2128772698">
          <w:marLeft w:val="0"/>
          <w:marRight w:val="0"/>
          <w:marTop w:val="0"/>
          <w:marBottom w:val="0"/>
          <w:divBdr>
            <w:top w:val="none" w:sz="0" w:space="0" w:color="auto"/>
            <w:left w:val="none" w:sz="0" w:space="0" w:color="auto"/>
            <w:bottom w:val="none" w:sz="0" w:space="0" w:color="auto"/>
            <w:right w:val="none" w:sz="0" w:space="0" w:color="auto"/>
          </w:divBdr>
          <w:divsChild>
            <w:div w:id="1161772847">
              <w:marLeft w:val="0"/>
              <w:marRight w:val="0"/>
              <w:marTop w:val="0"/>
              <w:marBottom w:val="0"/>
              <w:divBdr>
                <w:top w:val="none" w:sz="0" w:space="0" w:color="auto"/>
                <w:left w:val="none" w:sz="0" w:space="0" w:color="auto"/>
                <w:bottom w:val="none" w:sz="0" w:space="0" w:color="auto"/>
                <w:right w:val="none" w:sz="0" w:space="0" w:color="auto"/>
              </w:divBdr>
              <w:divsChild>
                <w:div w:id="675810517">
                  <w:marLeft w:val="0"/>
                  <w:marRight w:val="0"/>
                  <w:marTop w:val="0"/>
                  <w:marBottom w:val="150"/>
                  <w:divBdr>
                    <w:top w:val="none" w:sz="0" w:space="0" w:color="auto"/>
                    <w:left w:val="none" w:sz="0" w:space="0" w:color="auto"/>
                    <w:bottom w:val="none" w:sz="0" w:space="0" w:color="auto"/>
                    <w:right w:val="none" w:sz="0" w:space="0" w:color="auto"/>
                  </w:divBdr>
                  <w:divsChild>
                    <w:div w:id="120006253">
                      <w:marLeft w:val="0"/>
                      <w:marRight w:val="0"/>
                      <w:marTop w:val="0"/>
                      <w:marBottom w:val="0"/>
                      <w:divBdr>
                        <w:top w:val="none" w:sz="0" w:space="0" w:color="auto"/>
                        <w:left w:val="none" w:sz="0" w:space="0" w:color="auto"/>
                        <w:bottom w:val="none" w:sz="0" w:space="0" w:color="auto"/>
                        <w:right w:val="none" w:sz="0" w:space="0" w:color="auto"/>
                      </w:divBdr>
                      <w:divsChild>
                        <w:div w:id="2034110637">
                          <w:marLeft w:val="0"/>
                          <w:marRight w:val="0"/>
                          <w:marTop w:val="0"/>
                          <w:marBottom w:val="0"/>
                          <w:divBdr>
                            <w:top w:val="none" w:sz="0" w:space="0" w:color="auto"/>
                            <w:left w:val="none" w:sz="0" w:space="0" w:color="auto"/>
                            <w:bottom w:val="none" w:sz="0" w:space="0" w:color="auto"/>
                            <w:right w:val="none" w:sz="0" w:space="0" w:color="auto"/>
                          </w:divBdr>
                          <w:divsChild>
                            <w:div w:id="19876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901850">
      <w:bodyDiv w:val="1"/>
      <w:marLeft w:val="0"/>
      <w:marRight w:val="0"/>
      <w:marTop w:val="0"/>
      <w:marBottom w:val="0"/>
      <w:divBdr>
        <w:top w:val="none" w:sz="0" w:space="0" w:color="auto"/>
        <w:left w:val="none" w:sz="0" w:space="0" w:color="auto"/>
        <w:bottom w:val="none" w:sz="0" w:space="0" w:color="auto"/>
        <w:right w:val="none" w:sz="0" w:space="0" w:color="auto"/>
      </w:divBdr>
    </w:div>
    <w:div w:id="2129810915">
      <w:bodyDiv w:val="1"/>
      <w:marLeft w:val="0"/>
      <w:marRight w:val="0"/>
      <w:marTop w:val="0"/>
      <w:marBottom w:val="0"/>
      <w:divBdr>
        <w:top w:val="none" w:sz="0" w:space="0" w:color="auto"/>
        <w:left w:val="none" w:sz="0" w:space="0" w:color="auto"/>
        <w:bottom w:val="none" w:sz="0" w:space="0" w:color="auto"/>
        <w:right w:val="none" w:sz="0" w:space="0" w:color="auto"/>
      </w:divBdr>
      <w:divsChild>
        <w:div w:id="1563101061">
          <w:marLeft w:val="0"/>
          <w:marRight w:val="0"/>
          <w:marTop w:val="0"/>
          <w:marBottom w:val="0"/>
          <w:divBdr>
            <w:top w:val="none" w:sz="0" w:space="0" w:color="auto"/>
            <w:left w:val="none" w:sz="0" w:space="0" w:color="auto"/>
            <w:bottom w:val="none" w:sz="0" w:space="0" w:color="auto"/>
            <w:right w:val="none" w:sz="0" w:space="0" w:color="auto"/>
          </w:divBdr>
          <w:divsChild>
            <w:div w:id="1222247467">
              <w:marLeft w:val="0"/>
              <w:marRight w:val="0"/>
              <w:marTop w:val="0"/>
              <w:marBottom w:val="0"/>
              <w:divBdr>
                <w:top w:val="none" w:sz="0" w:space="0" w:color="auto"/>
                <w:left w:val="none" w:sz="0" w:space="0" w:color="auto"/>
                <w:bottom w:val="none" w:sz="0" w:space="0" w:color="auto"/>
                <w:right w:val="none" w:sz="0" w:space="0" w:color="auto"/>
              </w:divBdr>
              <w:divsChild>
                <w:div w:id="668678563">
                  <w:marLeft w:val="0"/>
                  <w:marRight w:val="0"/>
                  <w:marTop w:val="0"/>
                  <w:marBottom w:val="150"/>
                  <w:divBdr>
                    <w:top w:val="none" w:sz="0" w:space="0" w:color="auto"/>
                    <w:left w:val="none" w:sz="0" w:space="0" w:color="auto"/>
                    <w:bottom w:val="none" w:sz="0" w:space="0" w:color="auto"/>
                    <w:right w:val="none" w:sz="0" w:space="0" w:color="auto"/>
                  </w:divBdr>
                  <w:divsChild>
                    <w:div w:id="194781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control" Target="activeX/activeX16.xml"/><Relationship Id="rId3" Type="http://schemas.openxmlformats.org/officeDocument/2006/relationships/styles" Target="styles.xml"/><Relationship Id="rId21" Type="http://schemas.openxmlformats.org/officeDocument/2006/relationships/control" Target="activeX/activeX7.xml"/><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control" Target="activeX/activeX20.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3.xml"/><Relationship Id="rId38" Type="http://schemas.openxmlformats.org/officeDocument/2006/relationships/image" Target="media/image17.wmf"/><Relationship Id="rId46" Type="http://schemas.openxmlformats.org/officeDocument/2006/relationships/image" Target="media/image21.w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control" Target="activeX/activeX11.xml"/><Relationship Id="rId41" Type="http://schemas.openxmlformats.org/officeDocument/2006/relationships/control" Target="activeX/activeX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2.xml"/><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control" Target="activeX/activeX15.xml"/><Relationship Id="rId40" Type="http://schemas.openxmlformats.org/officeDocument/2006/relationships/image" Target="media/image18.wmf"/><Relationship Id="rId45" Type="http://schemas.openxmlformats.org/officeDocument/2006/relationships/control" Target="activeX/activeX19.xml"/><Relationship Id="rId5" Type="http://schemas.openxmlformats.org/officeDocument/2006/relationships/settings" Target="setting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control" Target="activeX/activeX6.xml"/><Relationship Id="rId31" Type="http://schemas.openxmlformats.org/officeDocument/2006/relationships/control" Target="activeX/activeX12.xml"/><Relationship Id="rId44" Type="http://schemas.openxmlformats.org/officeDocument/2006/relationships/image" Target="media/image20.wmf"/><Relationship Id="rId4" Type="http://schemas.microsoft.com/office/2007/relationships/stylesWithEffects" Target="stylesWithEffect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control" Target="activeX/activeX10.xml"/><Relationship Id="rId30" Type="http://schemas.openxmlformats.org/officeDocument/2006/relationships/image" Target="media/image13.wmf"/><Relationship Id="rId35" Type="http://schemas.openxmlformats.org/officeDocument/2006/relationships/control" Target="activeX/activeX14.xml"/><Relationship Id="rId43" Type="http://schemas.openxmlformats.org/officeDocument/2006/relationships/control" Target="activeX/activeX18.xml"/><Relationship Id="rId48" Type="http://schemas.openxmlformats.org/officeDocument/2006/relationships/fontTable" Target="fontTable.xml"/><Relationship Id="rId8"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0-5CC6-11CF-8D67-00AA00BDCE1D}" ax:persistence="persistStream" r:id="rId1"/>
</file>

<file path=word/activeX/activeX11.xml><?xml version="1.0" encoding="utf-8"?>
<ax:ocx xmlns:ax="http://schemas.microsoft.com/office/2006/activeX" xmlns:r="http://schemas.openxmlformats.org/officeDocument/2006/relationships" ax:classid="{5512D110-5CC6-11CF-8D67-00AA00BDCE1D}" ax:persistence="persistStream" r:id="rId1"/>
</file>

<file path=word/activeX/activeX12.xml><?xml version="1.0" encoding="utf-8"?>
<ax:ocx xmlns:ax="http://schemas.microsoft.com/office/2006/activeX" xmlns:r="http://schemas.openxmlformats.org/officeDocument/2006/relationships" ax:classid="{5512D110-5CC6-11CF-8D67-00AA00BDCE1D}" ax:persistence="persistStream" r:id="rId1"/>
</file>

<file path=word/activeX/activeX13.xml><?xml version="1.0" encoding="utf-8"?>
<ax:ocx xmlns:ax="http://schemas.microsoft.com/office/2006/activeX" xmlns:r="http://schemas.openxmlformats.org/officeDocument/2006/relationships" ax:classid="{5512D110-5CC6-11CF-8D67-00AA00BDCE1D}" ax:persistence="persistStream" r:id="rId1"/>
</file>

<file path=word/activeX/activeX14.xml><?xml version="1.0" encoding="utf-8"?>
<ax:ocx xmlns:ax="http://schemas.microsoft.com/office/2006/activeX" xmlns:r="http://schemas.openxmlformats.org/officeDocument/2006/relationships" ax:classid="{5512D110-5CC6-11CF-8D67-00AA00BDCE1D}" ax:persistence="persistStream" r:id="rId1"/>
</file>

<file path=word/activeX/activeX15.xml><?xml version="1.0" encoding="utf-8"?>
<ax:ocx xmlns:ax="http://schemas.microsoft.com/office/2006/activeX" xmlns:r="http://schemas.openxmlformats.org/officeDocument/2006/relationships" ax:classid="{5512D110-5CC6-11CF-8D67-00AA00BDCE1D}" ax:persistence="persistStream" r:id="rId1"/>
</file>

<file path=word/activeX/activeX16.xml><?xml version="1.0" encoding="utf-8"?>
<ax:ocx xmlns:ax="http://schemas.microsoft.com/office/2006/activeX" xmlns:r="http://schemas.openxmlformats.org/officeDocument/2006/relationships" ax:classid="{5512D110-5CC6-11CF-8D67-00AA00BDCE1D}" ax:persistence="persistStream" r:id="rId1"/>
</file>

<file path=word/activeX/activeX17.xml><?xml version="1.0" encoding="utf-8"?>
<ax:ocx xmlns:ax="http://schemas.microsoft.com/office/2006/activeX" xmlns:r="http://schemas.openxmlformats.org/officeDocument/2006/relationships" ax:classid="{5512D110-5CC6-11CF-8D67-00AA00BDCE1D}" ax:persistence="persistStream" r:id="rId1"/>
</file>

<file path=word/activeX/activeX18.xml><?xml version="1.0" encoding="utf-8"?>
<ax:ocx xmlns:ax="http://schemas.microsoft.com/office/2006/activeX" xmlns:r="http://schemas.openxmlformats.org/officeDocument/2006/relationships" ax:classid="{5512D110-5CC6-11CF-8D67-00AA00BDCE1D}" ax:persistence="persistStream" r:id="rId1"/>
</file>

<file path=word/activeX/activeX19.xml><?xml version="1.0" encoding="utf-8"?>
<ax:ocx xmlns:ax="http://schemas.microsoft.com/office/2006/activeX" xmlns:r="http://schemas.openxmlformats.org/officeDocument/2006/relationships" ax:classid="{5512D110-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activeX/activeX20.xml><?xml version="1.0" encoding="utf-8"?>
<ax:ocx xmlns:ax="http://schemas.microsoft.com/office/2006/activeX" xmlns:r="http://schemas.openxmlformats.org/officeDocument/2006/relationships" ax:classid="{5512D110-5CC6-11CF-8D67-00AA00BDCE1D}" ax:persistence="persistStream" r:id="rId1"/>
</file>

<file path=word/activeX/activeX3.xml><?xml version="1.0" encoding="utf-8"?>
<ax:ocx xmlns:ax="http://schemas.microsoft.com/office/2006/activeX" xmlns:r="http://schemas.openxmlformats.org/officeDocument/2006/relationships" ax:classid="{5512D110-5CC6-11CF-8D67-00AA00BDCE1D}" ax:persistence="persistStream" r:id="rId1"/>
</file>

<file path=word/activeX/activeX4.xml><?xml version="1.0" encoding="utf-8"?>
<ax:ocx xmlns:ax="http://schemas.microsoft.com/office/2006/activeX" xmlns:r="http://schemas.openxmlformats.org/officeDocument/2006/relationships" ax:classid="{5512D110-5CC6-11CF-8D67-00AA00BDCE1D}" ax:persistence="persistStream" r:id="rId1"/>
</file>

<file path=word/activeX/activeX5.xml><?xml version="1.0" encoding="utf-8"?>
<ax:ocx xmlns:ax="http://schemas.microsoft.com/office/2006/activeX" xmlns:r="http://schemas.openxmlformats.org/officeDocument/2006/relationships" ax:classid="{5512D110-5CC6-11CF-8D67-00AA00BDCE1D}" ax:persistence="persistStream" r:id="rId1"/>
</file>

<file path=word/activeX/activeX6.xml><?xml version="1.0" encoding="utf-8"?>
<ax:ocx xmlns:ax="http://schemas.microsoft.com/office/2006/activeX" xmlns:r="http://schemas.openxmlformats.org/officeDocument/2006/relationships" ax:classid="{5512D110-5CC6-11CF-8D67-00AA00BDCE1D}" ax:persistence="persistStream" r:id="rId1"/>
</file>

<file path=word/activeX/activeX7.xml><?xml version="1.0" encoding="utf-8"?>
<ax:ocx xmlns:ax="http://schemas.microsoft.com/office/2006/activeX" xmlns:r="http://schemas.openxmlformats.org/officeDocument/2006/relationships" ax:classid="{5512D110-5CC6-11CF-8D67-00AA00BDCE1D}" ax:persistence="persistStream" r:id="rId1"/>
</file>

<file path=word/activeX/activeX8.xml><?xml version="1.0" encoding="utf-8"?>
<ax:ocx xmlns:ax="http://schemas.microsoft.com/office/2006/activeX" xmlns:r="http://schemas.openxmlformats.org/officeDocument/2006/relationships" ax:classid="{5512D110-5CC6-11CF-8D67-00AA00BDCE1D}" ax:persistence="persistStream" r:id="rId1"/>
</file>

<file path=word/activeX/activeX9.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9F5FD-A913-42FF-9313-088E6AE1F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870</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5818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BAGE, John (C6616)</dc:creator>
  <cp:lastModifiedBy>PORTER, Michael (C9223)</cp:lastModifiedBy>
  <cp:revision>3</cp:revision>
  <cp:lastPrinted>2014-09-16T11:29:00Z</cp:lastPrinted>
  <dcterms:created xsi:type="dcterms:W3CDTF">2017-03-13T15:02:00Z</dcterms:created>
  <dcterms:modified xsi:type="dcterms:W3CDTF">2017-03-13T15:20:00Z</dcterms:modified>
</cp:coreProperties>
</file>