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EE3" w:rsidRDefault="008B0EE3" w:rsidP="00D15B5A">
      <w:pPr>
        <w:pStyle w:val="Heading3"/>
        <w:tabs>
          <w:tab w:val="left" w:pos="0"/>
        </w:tabs>
        <w:ind w:right="-1"/>
        <w:rPr>
          <w:rFonts w:ascii="Tahoma" w:hAnsi="Tahoma" w:cs="Tahoma"/>
        </w:rPr>
      </w:pPr>
      <w:r>
        <w:rPr>
          <w:rFonts w:ascii="Tahoma" w:hAnsi="Tahoma" w:cs="Tahoma"/>
        </w:rPr>
        <w:t>Report of the Chief Constable to the Chair and Members</w:t>
      </w:r>
      <w:r w:rsidR="00D15B5A">
        <w:rPr>
          <w:rFonts w:ascii="Tahoma" w:hAnsi="Tahoma" w:cs="Tahoma"/>
        </w:rPr>
        <w:t xml:space="preserve"> of the Audit Committee</w:t>
      </w:r>
    </w:p>
    <w:p w:rsidR="008B0EE3" w:rsidRDefault="009B774F" w:rsidP="008B0EE3">
      <w:pPr>
        <w:pStyle w:val="Heading3"/>
        <w:tabs>
          <w:tab w:val="left" w:pos="993"/>
        </w:tabs>
        <w:ind w:right="880"/>
        <w:rPr>
          <w:rFonts w:ascii="Tahoma" w:hAnsi="Tahoma" w:cs="Tahoma"/>
        </w:rPr>
      </w:pPr>
      <w:r>
        <w:rPr>
          <w:rFonts w:ascii="Tahoma" w:hAnsi="Tahoma" w:cs="Tahoma"/>
        </w:rPr>
        <w:t>23</w:t>
      </w:r>
      <w:r w:rsidRPr="009B774F">
        <w:rPr>
          <w:rFonts w:ascii="Tahoma" w:hAnsi="Tahoma" w:cs="Tahoma"/>
          <w:vertAlign w:val="superscript"/>
        </w:rPr>
        <w:t>rd</w:t>
      </w:r>
      <w:r>
        <w:rPr>
          <w:rFonts w:ascii="Tahoma" w:hAnsi="Tahoma" w:cs="Tahoma"/>
        </w:rPr>
        <w:t xml:space="preserve"> March 2017</w:t>
      </w:r>
    </w:p>
    <w:p w:rsidR="008B0EE3" w:rsidRDefault="008B0EE3" w:rsidP="008B0EE3">
      <w:pPr>
        <w:ind w:right="880"/>
        <w:rPr>
          <w:rFonts w:ascii="Tahoma" w:hAnsi="Tahoma" w:cs="Tahoma"/>
          <w:sz w:val="24"/>
        </w:rPr>
      </w:pPr>
    </w:p>
    <w:p w:rsidR="008B0EE3" w:rsidRDefault="008B0EE3" w:rsidP="00D15B5A">
      <w:pPr>
        <w:ind w:right="-1"/>
        <w:rPr>
          <w:rFonts w:ascii="Tahoma" w:hAnsi="Tahoma" w:cs="Tahoma"/>
          <w:b/>
          <w:sz w:val="24"/>
        </w:rPr>
      </w:pPr>
      <w:r>
        <w:rPr>
          <w:rFonts w:ascii="Tahoma" w:hAnsi="Tahoma" w:cs="Tahoma"/>
          <w:b/>
          <w:sz w:val="24"/>
        </w:rPr>
        <w:t xml:space="preserve">Executive </w:t>
      </w:r>
      <w:r w:rsidR="00D15B5A">
        <w:rPr>
          <w:rFonts w:ascii="Tahoma" w:hAnsi="Tahoma" w:cs="Tahoma"/>
          <w:b/>
          <w:sz w:val="24"/>
        </w:rPr>
        <w:t xml:space="preserve">&amp; Presenting Officer: </w:t>
      </w:r>
      <w:r w:rsidR="00840BF2">
        <w:rPr>
          <w:rFonts w:ascii="Tahoma" w:hAnsi="Tahoma" w:cs="Tahoma"/>
          <w:b/>
          <w:sz w:val="24"/>
        </w:rPr>
        <w:t xml:space="preserve">Mr </w:t>
      </w:r>
      <w:r w:rsidR="009B774F">
        <w:rPr>
          <w:rFonts w:ascii="Tahoma" w:hAnsi="Tahoma" w:cs="Tahoma"/>
          <w:b/>
          <w:sz w:val="24"/>
        </w:rPr>
        <w:t>Simon Nickless</w:t>
      </w:r>
      <w:r w:rsidR="00B50AEE">
        <w:rPr>
          <w:rFonts w:ascii="Tahoma" w:hAnsi="Tahoma" w:cs="Tahoma"/>
          <w:b/>
          <w:sz w:val="24"/>
        </w:rPr>
        <w:t>, Deputy</w:t>
      </w:r>
      <w:r w:rsidR="00840BF2">
        <w:rPr>
          <w:rFonts w:ascii="Tahoma" w:hAnsi="Tahoma" w:cs="Tahoma"/>
          <w:b/>
          <w:sz w:val="24"/>
        </w:rPr>
        <w:t xml:space="preserve"> Chief Constable </w:t>
      </w:r>
    </w:p>
    <w:p w:rsidR="00D15B5A" w:rsidRDefault="00D15B5A" w:rsidP="00D15B5A">
      <w:pPr>
        <w:ind w:right="880"/>
        <w:rPr>
          <w:rFonts w:ascii="Tahoma" w:hAnsi="Tahoma" w:cs="Tahoma"/>
          <w:b/>
          <w:sz w:val="24"/>
        </w:rPr>
      </w:pPr>
    </w:p>
    <w:p w:rsidR="008B0EE3" w:rsidRPr="00C17241" w:rsidRDefault="008B0EE3" w:rsidP="008B0EE3">
      <w:pPr>
        <w:ind w:right="880"/>
        <w:rPr>
          <w:rFonts w:ascii="Tahoma" w:hAnsi="Tahoma" w:cs="Tahoma"/>
          <w:b/>
          <w:sz w:val="24"/>
        </w:rPr>
      </w:pPr>
      <w:r w:rsidRPr="00C17241">
        <w:rPr>
          <w:rFonts w:ascii="Tahoma" w:hAnsi="Tahoma" w:cs="Tahoma"/>
          <w:b/>
          <w:sz w:val="24"/>
        </w:rPr>
        <w:t>Status:</w:t>
      </w:r>
      <w:r>
        <w:rPr>
          <w:rFonts w:ascii="Tahoma" w:hAnsi="Tahoma" w:cs="Tahoma"/>
          <w:b/>
          <w:sz w:val="24"/>
        </w:rPr>
        <w:t xml:space="preserve"> For Decision</w:t>
      </w:r>
    </w:p>
    <w:p w:rsidR="008B0EE3" w:rsidRDefault="008B0EE3" w:rsidP="008B0EE3">
      <w:pPr>
        <w:ind w:right="880"/>
        <w:rPr>
          <w:rFonts w:ascii="Tahoma" w:hAnsi="Tahoma" w:cs="Tahoma"/>
          <w:sz w:val="24"/>
        </w:rPr>
      </w:pPr>
    </w:p>
    <w:p w:rsidR="008B0EE3" w:rsidRPr="000131B1" w:rsidRDefault="009B774F" w:rsidP="008B0EE3">
      <w:pPr>
        <w:rPr>
          <w:rFonts w:ascii="Tahoma" w:hAnsi="Tahoma" w:cs="Tahoma"/>
          <w:b/>
          <w:sz w:val="28"/>
          <w:szCs w:val="28"/>
        </w:rPr>
      </w:pPr>
      <w:r>
        <w:rPr>
          <w:rFonts w:ascii="Tahoma" w:hAnsi="Tahoma" w:cs="Tahoma"/>
          <w:b/>
          <w:sz w:val="28"/>
          <w:szCs w:val="28"/>
        </w:rPr>
        <w:t>Annual Equality Report</w:t>
      </w:r>
    </w:p>
    <w:p w:rsidR="008B0EE3" w:rsidRDefault="008B0EE3" w:rsidP="008B0EE3">
      <w:pPr>
        <w:ind w:right="880"/>
        <w:rPr>
          <w:rFonts w:ascii="Tahoma" w:hAnsi="Tahoma" w:cs="Tahoma"/>
        </w:rPr>
      </w:pPr>
    </w:p>
    <w:p w:rsidR="00D15B5A" w:rsidRDefault="00D15B5A" w:rsidP="008B0EE3">
      <w:pPr>
        <w:ind w:right="880"/>
        <w:rPr>
          <w:rFonts w:ascii="Tahoma" w:hAnsi="Tahoma" w:cs="Tahoma"/>
        </w:rPr>
      </w:pPr>
    </w:p>
    <w:p w:rsidR="008B0EE3" w:rsidRDefault="008B0EE3" w:rsidP="008B0EE3">
      <w:pPr>
        <w:pStyle w:val="BodyText"/>
        <w:tabs>
          <w:tab w:val="left" w:pos="709"/>
        </w:tabs>
        <w:rPr>
          <w:rFonts w:ascii="Tahoma" w:hAnsi="Tahoma" w:cs="Tahoma"/>
        </w:rPr>
      </w:pPr>
      <w:r w:rsidRPr="00D15B5A">
        <w:rPr>
          <w:rFonts w:ascii="Tahoma" w:hAnsi="Tahoma" w:cs="Tahoma"/>
          <w:b/>
        </w:rPr>
        <w:t>1</w:t>
      </w:r>
      <w:r w:rsidR="00D15B5A">
        <w:rPr>
          <w:rFonts w:ascii="Tahoma" w:hAnsi="Tahoma" w:cs="Tahoma"/>
        </w:rPr>
        <w:t>.</w:t>
      </w:r>
      <w:r>
        <w:rPr>
          <w:rFonts w:ascii="Tahoma" w:hAnsi="Tahoma" w:cs="Tahoma"/>
        </w:rPr>
        <w:tab/>
      </w:r>
      <w:r>
        <w:rPr>
          <w:rFonts w:ascii="Tahoma" w:hAnsi="Tahoma" w:cs="Tahoma"/>
          <w:b/>
          <w:bCs/>
        </w:rPr>
        <w:t>Purpose</w:t>
      </w:r>
      <w:r>
        <w:rPr>
          <w:rFonts w:ascii="Tahoma" w:hAnsi="Tahoma" w:cs="Tahoma"/>
        </w:rPr>
        <w:br/>
      </w:r>
    </w:p>
    <w:p w:rsidR="009B774F" w:rsidRPr="00507C0D" w:rsidRDefault="009B774F" w:rsidP="009B774F">
      <w:pPr>
        <w:pStyle w:val="ListParagraph"/>
        <w:numPr>
          <w:ilvl w:val="1"/>
          <w:numId w:val="3"/>
        </w:numPr>
        <w:jc w:val="both"/>
        <w:rPr>
          <w:rFonts w:ascii="Tahoma" w:eastAsia="Times New Roman" w:hAnsi="Tahoma" w:cs="Tahoma"/>
        </w:rPr>
      </w:pPr>
      <w:bookmarkStart w:id="0" w:name="_GoBack"/>
      <w:bookmarkEnd w:id="0"/>
      <w:r w:rsidRPr="00507C0D">
        <w:rPr>
          <w:rFonts w:ascii="Tahoma" w:eastAsia="Times New Roman" w:hAnsi="Tahoma" w:cs="Tahoma"/>
        </w:rPr>
        <w:t xml:space="preserve">This report is to update Members on the organisation’s continued commitment to promoting fairness and equality across and outside the organisation. </w:t>
      </w:r>
    </w:p>
    <w:p w:rsidR="005A0578" w:rsidRDefault="005A0578" w:rsidP="009B774F">
      <w:pPr>
        <w:pStyle w:val="BodyText"/>
        <w:tabs>
          <w:tab w:val="left" w:pos="709"/>
        </w:tabs>
        <w:jc w:val="both"/>
        <w:rPr>
          <w:rFonts w:ascii="Tahoma" w:hAnsi="Tahoma" w:cs="Tahoma"/>
        </w:rPr>
      </w:pPr>
    </w:p>
    <w:p w:rsidR="00D15B5A" w:rsidRDefault="00D15B5A" w:rsidP="005A0578">
      <w:pPr>
        <w:pStyle w:val="BodyText"/>
        <w:tabs>
          <w:tab w:val="left" w:pos="709"/>
        </w:tabs>
        <w:ind w:left="705" w:hanging="705"/>
        <w:jc w:val="both"/>
        <w:rPr>
          <w:rFonts w:ascii="Tahoma" w:hAnsi="Tahoma" w:cs="Tahoma"/>
        </w:rPr>
      </w:pPr>
    </w:p>
    <w:p w:rsidR="005A0578" w:rsidRDefault="008B0EE3" w:rsidP="005A0578">
      <w:pPr>
        <w:pStyle w:val="BodyText"/>
        <w:tabs>
          <w:tab w:val="left" w:pos="709"/>
        </w:tabs>
        <w:ind w:left="705" w:hanging="705"/>
        <w:jc w:val="both"/>
        <w:rPr>
          <w:rFonts w:ascii="Tahoma" w:hAnsi="Tahoma" w:cs="Tahoma"/>
          <w:b/>
          <w:bCs/>
        </w:rPr>
      </w:pPr>
      <w:r w:rsidRPr="00D15B5A">
        <w:rPr>
          <w:rFonts w:ascii="Tahoma" w:hAnsi="Tahoma" w:cs="Tahoma"/>
          <w:b/>
        </w:rPr>
        <w:t>2</w:t>
      </w:r>
      <w:r w:rsidR="00D15B5A">
        <w:rPr>
          <w:rFonts w:ascii="Tahoma" w:hAnsi="Tahoma" w:cs="Tahoma"/>
        </w:rPr>
        <w:t>.</w:t>
      </w:r>
      <w:r>
        <w:rPr>
          <w:rFonts w:ascii="Tahoma" w:hAnsi="Tahoma" w:cs="Tahoma"/>
        </w:rPr>
        <w:tab/>
      </w:r>
      <w:r>
        <w:rPr>
          <w:rFonts w:ascii="Tahoma" w:hAnsi="Tahoma" w:cs="Tahoma"/>
          <w:b/>
          <w:bCs/>
        </w:rPr>
        <w:t>Recommendations</w:t>
      </w:r>
      <w:r>
        <w:rPr>
          <w:rFonts w:ascii="Tahoma" w:hAnsi="Tahoma" w:cs="Tahoma"/>
          <w:b/>
          <w:bCs/>
        </w:rPr>
        <w:br/>
      </w:r>
    </w:p>
    <w:p w:rsidR="008B0EE3" w:rsidRPr="00874FE2" w:rsidRDefault="009B774F" w:rsidP="008B0EE3">
      <w:pPr>
        <w:pStyle w:val="ListParagraph"/>
        <w:numPr>
          <w:ilvl w:val="1"/>
          <w:numId w:val="4"/>
        </w:numPr>
        <w:rPr>
          <w:rFonts w:ascii="Tahoma" w:hAnsi="Tahoma" w:cs="Tahoma"/>
        </w:rPr>
      </w:pPr>
      <w:r w:rsidRPr="00874FE2">
        <w:rPr>
          <w:rFonts w:ascii="Tahoma" w:eastAsia="Times New Roman" w:hAnsi="Tahoma" w:cs="Tahoma"/>
        </w:rPr>
        <w:t xml:space="preserve">That Members note the </w:t>
      </w:r>
      <w:r w:rsidR="00874FE2" w:rsidRPr="00874FE2">
        <w:rPr>
          <w:rFonts w:ascii="Tahoma" w:eastAsia="Times New Roman" w:hAnsi="Tahoma" w:cs="Tahoma"/>
        </w:rPr>
        <w:t xml:space="preserve">attached Annual Equality Report. </w:t>
      </w:r>
    </w:p>
    <w:p w:rsidR="00874FE2" w:rsidRPr="00874FE2" w:rsidRDefault="00874FE2" w:rsidP="00874FE2">
      <w:pPr>
        <w:pStyle w:val="ListParagraph"/>
        <w:rPr>
          <w:rFonts w:ascii="Tahoma" w:hAnsi="Tahoma" w:cs="Tahoma"/>
        </w:rPr>
      </w:pPr>
    </w:p>
    <w:p w:rsidR="00D15B5A" w:rsidRDefault="00D15B5A" w:rsidP="008B0EE3">
      <w:pPr>
        <w:pStyle w:val="BodyText"/>
        <w:rPr>
          <w:rFonts w:ascii="Tahoma" w:hAnsi="Tahoma" w:cs="Tahoma"/>
        </w:rPr>
      </w:pPr>
    </w:p>
    <w:p w:rsidR="008B0EE3" w:rsidRDefault="008B0EE3" w:rsidP="009B774F">
      <w:pPr>
        <w:pStyle w:val="BodyText"/>
        <w:numPr>
          <w:ilvl w:val="0"/>
          <w:numId w:val="1"/>
        </w:numPr>
        <w:ind w:hanging="720"/>
        <w:rPr>
          <w:rFonts w:ascii="Tahoma" w:hAnsi="Tahoma" w:cs="Tahoma"/>
          <w:b/>
          <w:bCs/>
        </w:rPr>
      </w:pPr>
      <w:r>
        <w:rPr>
          <w:rFonts w:ascii="Tahoma" w:hAnsi="Tahoma" w:cs="Tahoma"/>
          <w:b/>
          <w:bCs/>
        </w:rPr>
        <w:t>Reasons</w:t>
      </w:r>
    </w:p>
    <w:p w:rsidR="008B0EE3" w:rsidRDefault="008B0EE3" w:rsidP="00E731BA">
      <w:pPr>
        <w:pStyle w:val="Header"/>
        <w:jc w:val="both"/>
        <w:rPr>
          <w:rFonts w:ascii="Tahoma" w:hAnsi="Tahoma" w:cs="Tahoma"/>
          <w:b/>
          <w:bCs/>
          <w:sz w:val="24"/>
        </w:rPr>
      </w:pPr>
    </w:p>
    <w:p w:rsidR="00022078" w:rsidRDefault="00BC280A" w:rsidP="00BC280A">
      <w:pPr>
        <w:pStyle w:val="Header"/>
        <w:tabs>
          <w:tab w:val="clear" w:pos="4153"/>
          <w:tab w:val="clear" w:pos="8306"/>
        </w:tabs>
        <w:ind w:left="709" w:hanging="709"/>
        <w:jc w:val="both"/>
        <w:rPr>
          <w:rFonts w:ascii="Tahoma" w:hAnsi="Tahoma" w:cs="Tahoma"/>
          <w:bCs/>
          <w:sz w:val="24"/>
        </w:rPr>
      </w:pPr>
      <w:r>
        <w:rPr>
          <w:rFonts w:ascii="Tahoma" w:hAnsi="Tahoma" w:cs="Tahoma"/>
          <w:bCs/>
          <w:sz w:val="24"/>
        </w:rPr>
        <w:t>3.1</w:t>
      </w:r>
      <w:r>
        <w:rPr>
          <w:rFonts w:ascii="Tahoma" w:hAnsi="Tahoma" w:cs="Tahoma"/>
          <w:bCs/>
          <w:sz w:val="24"/>
        </w:rPr>
        <w:tab/>
      </w:r>
      <w:r w:rsidRPr="00BC280A">
        <w:rPr>
          <w:rFonts w:ascii="Tahoma" w:hAnsi="Tahoma" w:cs="Tahoma"/>
          <w:bCs/>
          <w:sz w:val="24"/>
        </w:rPr>
        <w:t>The agreed Terms of Reference for the Joint Independent Audit Committee include the provision for “overseeing the effectiveness of the framework in place for ensuring compliance with statutory requirements (and in particular those in respect of health and safety and equalities and diversity)”.</w:t>
      </w:r>
    </w:p>
    <w:p w:rsidR="00BC280A" w:rsidRDefault="00BC280A" w:rsidP="00BC280A">
      <w:pPr>
        <w:pStyle w:val="Header"/>
        <w:tabs>
          <w:tab w:val="clear" w:pos="4153"/>
          <w:tab w:val="clear" w:pos="8306"/>
        </w:tabs>
        <w:ind w:left="709" w:hanging="709"/>
        <w:jc w:val="both"/>
        <w:rPr>
          <w:rFonts w:ascii="Tahoma" w:hAnsi="Tahoma" w:cs="Tahoma"/>
          <w:bCs/>
          <w:sz w:val="24"/>
        </w:rPr>
      </w:pPr>
    </w:p>
    <w:p w:rsidR="000F290E" w:rsidRDefault="00BC280A" w:rsidP="00BC280A">
      <w:pPr>
        <w:pStyle w:val="Header"/>
        <w:ind w:left="709" w:hanging="709"/>
        <w:jc w:val="both"/>
        <w:rPr>
          <w:rFonts w:ascii="Tahoma" w:hAnsi="Tahoma" w:cs="Tahoma"/>
          <w:bCs/>
          <w:sz w:val="24"/>
        </w:rPr>
      </w:pPr>
      <w:r>
        <w:rPr>
          <w:rFonts w:ascii="Tahoma" w:hAnsi="Tahoma" w:cs="Tahoma"/>
          <w:bCs/>
          <w:sz w:val="24"/>
        </w:rPr>
        <w:t>3.2</w:t>
      </w:r>
      <w:r>
        <w:rPr>
          <w:rFonts w:ascii="Tahoma" w:hAnsi="Tahoma" w:cs="Tahoma"/>
          <w:bCs/>
          <w:sz w:val="24"/>
        </w:rPr>
        <w:tab/>
      </w:r>
      <w:r w:rsidRPr="00BC280A">
        <w:rPr>
          <w:rFonts w:ascii="Tahoma" w:hAnsi="Tahoma" w:cs="Tahoma"/>
          <w:bCs/>
          <w:sz w:val="24"/>
        </w:rPr>
        <w:t>In order to comply with equality reg</w:t>
      </w:r>
      <w:r>
        <w:rPr>
          <w:rFonts w:ascii="Tahoma" w:hAnsi="Tahoma" w:cs="Tahoma"/>
          <w:bCs/>
          <w:sz w:val="24"/>
        </w:rPr>
        <w:t>ulations, Cleveland Police will p</w:t>
      </w:r>
      <w:r w:rsidRPr="00BC280A">
        <w:rPr>
          <w:rFonts w:ascii="Tahoma" w:hAnsi="Tahoma" w:cs="Tahoma"/>
          <w:bCs/>
          <w:sz w:val="24"/>
        </w:rPr>
        <w:t>ublish an Annual Equality Report.</w:t>
      </w:r>
      <w:r>
        <w:rPr>
          <w:rFonts w:ascii="Tahoma" w:hAnsi="Tahoma" w:cs="Tahoma"/>
          <w:bCs/>
          <w:sz w:val="24"/>
        </w:rPr>
        <w:t xml:space="preserve"> The Everyone Matters Team have now produced the report and it seemed sensible to share it with the Committee now, rather than wait till the scheduled time on the Audit Committee work programme.</w:t>
      </w:r>
    </w:p>
    <w:p w:rsidR="00BC280A" w:rsidRDefault="00BC280A" w:rsidP="00BC280A">
      <w:pPr>
        <w:pStyle w:val="Header"/>
        <w:ind w:left="709" w:hanging="709"/>
        <w:jc w:val="both"/>
        <w:rPr>
          <w:rFonts w:ascii="Tahoma" w:hAnsi="Tahoma" w:cs="Tahoma"/>
          <w:bCs/>
          <w:sz w:val="24"/>
        </w:rPr>
      </w:pPr>
    </w:p>
    <w:p w:rsidR="00874FE2" w:rsidRDefault="00874FE2" w:rsidP="00BC280A">
      <w:pPr>
        <w:pStyle w:val="Header"/>
        <w:ind w:left="709" w:hanging="709"/>
        <w:jc w:val="both"/>
        <w:rPr>
          <w:rFonts w:ascii="Tahoma" w:hAnsi="Tahoma" w:cs="Tahoma"/>
          <w:bCs/>
          <w:sz w:val="24"/>
        </w:rPr>
      </w:pPr>
    </w:p>
    <w:p w:rsidR="00BC280A" w:rsidRDefault="00BC280A" w:rsidP="00BC280A">
      <w:pPr>
        <w:pStyle w:val="BodyText"/>
        <w:rPr>
          <w:rFonts w:ascii="Tahoma" w:hAnsi="Tahoma" w:cs="Tahoma"/>
          <w:b/>
          <w:bCs/>
        </w:rPr>
      </w:pPr>
      <w:r w:rsidRPr="002E0B01">
        <w:rPr>
          <w:rFonts w:ascii="Tahoma" w:hAnsi="Tahoma" w:cs="Tahoma"/>
          <w:b/>
        </w:rPr>
        <w:t>4.</w:t>
      </w:r>
      <w:r>
        <w:rPr>
          <w:rFonts w:ascii="Tahoma" w:hAnsi="Tahoma" w:cs="Tahoma"/>
        </w:rPr>
        <w:tab/>
      </w:r>
      <w:r w:rsidRPr="0011313D">
        <w:rPr>
          <w:rFonts w:ascii="Tahoma" w:hAnsi="Tahoma" w:cs="Tahoma"/>
          <w:b/>
        </w:rPr>
        <w:t>Implications</w:t>
      </w:r>
    </w:p>
    <w:p w:rsidR="00BC280A" w:rsidRDefault="00BC280A" w:rsidP="00BC280A">
      <w:pPr>
        <w:pStyle w:val="BodyText"/>
        <w:rPr>
          <w:rFonts w:ascii="Tahoma" w:hAnsi="Tahoma" w:cs="Tahoma"/>
          <w:b/>
          <w:bCs/>
        </w:rPr>
      </w:pPr>
    </w:p>
    <w:p w:rsidR="00BC280A" w:rsidRPr="0011313D" w:rsidRDefault="00BC280A" w:rsidP="00BC280A">
      <w:pPr>
        <w:pStyle w:val="BodyText"/>
        <w:jc w:val="both"/>
        <w:rPr>
          <w:rFonts w:ascii="Tahoma" w:hAnsi="Tahoma" w:cs="Tahoma"/>
          <w:bCs/>
        </w:rPr>
      </w:pPr>
      <w:r w:rsidRPr="0011313D">
        <w:rPr>
          <w:rFonts w:ascii="Tahoma" w:hAnsi="Tahoma" w:cs="Tahoma"/>
          <w:bCs/>
        </w:rPr>
        <w:t>4.1</w:t>
      </w:r>
      <w:r w:rsidRPr="0011313D">
        <w:rPr>
          <w:rFonts w:ascii="Tahoma" w:hAnsi="Tahoma" w:cs="Tahoma"/>
          <w:bCs/>
        </w:rPr>
        <w:tab/>
      </w:r>
      <w:r w:rsidRPr="0011313D">
        <w:rPr>
          <w:rFonts w:ascii="Tahoma" w:hAnsi="Tahoma" w:cs="Tahoma"/>
          <w:bCs/>
          <w:u w:val="single"/>
        </w:rPr>
        <w:t>Finance</w:t>
      </w:r>
    </w:p>
    <w:p w:rsidR="00BC280A" w:rsidRDefault="00BC280A" w:rsidP="00BC280A">
      <w:pPr>
        <w:pStyle w:val="BodyText"/>
        <w:ind w:left="720" w:hanging="720"/>
        <w:jc w:val="both"/>
        <w:rPr>
          <w:rFonts w:ascii="Tahoma" w:hAnsi="Tahoma" w:cs="Tahoma"/>
          <w:bCs/>
        </w:rPr>
      </w:pPr>
      <w:r w:rsidRPr="0011313D">
        <w:rPr>
          <w:rFonts w:ascii="Tahoma" w:hAnsi="Tahoma" w:cs="Tahoma"/>
          <w:bCs/>
        </w:rPr>
        <w:tab/>
        <w:t xml:space="preserve">There are no </w:t>
      </w:r>
      <w:r>
        <w:rPr>
          <w:rFonts w:ascii="Tahoma" w:hAnsi="Tahoma" w:cs="Tahoma"/>
          <w:bCs/>
        </w:rPr>
        <w:t xml:space="preserve">financial </w:t>
      </w:r>
      <w:r w:rsidRPr="0011313D">
        <w:rPr>
          <w:rFonts w:ascii="Tahoma" w:hAnsi="Tahoma" w:cs="Tahoma"/>
          <w:bCs/>
        </w:rPr>
        <w:t xml:space="preserve">implications </w:t>
      </w:r>
      <w:r>
        <w:rPr>
          <w:rFonts w:ascii="Tahoma" w:hAnsi="Tahoma" w:cs="Tahoma"/>
          <w:bCs/>
        </w:rPr>
        <w:t>arsing from the content of this</w:t>
      </w:r>
      <w:r w:rsidRPr="0011313D">
        <w:rPr>
          <w:rFonts w:ascii="Tahoma" w:hAnsi="Tahoma" w:cs="Tahoma"/>
          <w:bCs/>
        </w:rPr>
        <w:t xml:space="preserve"> report. </w:t>
      </w:r>
    </w:p>
    <w:p w:rsidR="00BC280A" w:rsidRPr="0011313D" w:rsidRDefault="00BC280A" w:rsidP="00BC280A">
      <w:pPr>
        <w:pStyle w:val="BodyText"/>
        <w:rPr>
          <w:rFonts w:ascii="Tahoma" w:hAnsi="Tahoma" w:cs="Tahoma"/>
          <w:b/>
          <w:bCs/>
        </w:rPr>
      </w:pPr>
    </w:p>
    <w:p w:rsidR="00BC280A" w:rsidRPr="0011313D" w:rsidRDefault="00BC280A" w:rsidP="00BC280A">
      <w:pPr>
        <w:pStyle w:val="BodyText"/>
        <w:rPr>
          <w:rFonts w:ascii="Tahoma" w:hAnsi="Tahoma" w:cs="Tahoma"/>
          <w:bCs/>
        </w:rPr>
      </w:pPr>
      <w:r>
        <w:rPr>
          <w:rFonts w:ascii="Tahoma" w:hAnsi="Tahoma" w:cs="Tahoma"/>
          <w:bCs/>
        </w:rPr>
        <w:t>4.2</w:t>
      </w:r>
      <w:r w:rsidRPr="0011313D">
        <w:rPr>
          <w:rFonts w:ascii="Tahoma" w:hAnsi="Tahoma" w:cs="Tahoma"/>
          <w:bCs/>
        </w:rPr>
        <w:tab/>
      </w:r>
      <w:r w:rsidRPr="0011313D">
        <w:rPr>
          <w:rFonts w:ascii="Tahoma" w:hAnsi="Tahoma" w:cs="Tahoma"/>
          <w:bCs/>
          <w:u w:val="single"/>
        </w:rPr>
        <w:t>Diversity and Equal Opportunities</w:t>
      </w:r>
    </w:p>
    <w:p w:rsidR="00BC280A" w:rsidRPr="0011313D" w:rsidRDefault="00BC280A" w:rsidP="00BC280A">
      <w:pPr>
        <w:pStyle w:val="BodyText"/>
        <w:ind w:left="709" w:hanging="709"/>
        <w:rPr>
          <w:rFonts w:ascii="Tahoma" w:hAnsi="Tahoma" w:cs="Tahoma"/>
          <w:bCs/>
        </w:rPr>
      </w:pPr>
      <w:r w:rsidRPr="0011313D">
        <w:rPr>
          <w:rFonts w:ascii="Tahoma" w:hAnsi="Tahoma" w:cs="Tahoma"/>
          <w:bCs/>
        </w:rPr>
        <w:tab/>
        <w:t xml:space="preserve">There are no diversity or equal opportunity implications </w:t>
      </w:r>
      <w:r>
        <w:rPr>
          <w:rFonts w:ascii="Tahoma" w:hAnsi="Tahoma" w:cs="Tahoma"/>
          <w:bCs/>
        </w:rPr>
        <w:t>arising from the content of thi</w:t>
      </w:r>
      <w:r w:rsidRPr="0011313D">
        <w:rPr>
          <w:rFonts w:ascii="Tahoma" w:hAnsi="Tahoma" w:cs="Tahoma"/>
          <w:bCs/>
        </w:rPr>
        <w:t>s report.</w:t>
      </w:r>
    </w:p>
    <w:p w:rsidR="00BC280A" w:rsidRDefault="00BC280A" w:rsidP="00BC280A">
      <w:pPr>
        <w:pStyle w:val="Header"/>
        <w:ind w:left="709" w:hanging="709"/>
        <w:jc w:val="both"/>
        <w:rPr>
          <w:rFonts w:ascii="Tahoma" w:hAnsi="Tahoma" w:cs="Tahoma"/>
          <w:bCs/>
          <w:sz w:val="24"/>
        </w:rPr>
      </w:pPr>
    </w:p>
    <w:p w:rsidR="00874FE2" w:rsidRPr="004157E9" w:rsidRDefault="00874FE2" w:rsidP="00874FE2">
      <w:pPr>
        <w:numPr>
          <w:ilvl w:val="1"/>
          <w:numId w:val="2"/>
        </w:numPr>
        <w:jc w:val="both"/>
        <w:rPr>
          <w:rFonts w:ascii="Tahoma" w:hAnsi="Tahoma" w:cs="Tahoma"/>
          <w:sz w:val="24"/>
          <w:szCs w:val="24"/>
          <w:u w:val="single"/>
        </w:rPr>
      </w:pPr>
      <w:r w:rsidRPr="004157E9">
        <w:rPr>
          <w:rFonts w:ascii="Tahoma" w:hAnsi="Tahoma" w:cs="Tahoma"/>
          <w:sz w:val="24"/>
          <w:szCs w:val="24"/>
          <w:u w:val="single"/>
        </w:rPr>
        <w:t>Human Rights Act</w:t>
      </w:r>
    </w:p>
    <w:p w:rsidR="00874FE2" w:rsidRDefault="00874FE2" w:rsidP="00874FE2">
      <w:pPr>
        <w:pStyle w:val="BodyText"/>
        <w:ind w:firstLine="720"/>
        <w:rPr>
          <w:rFonts w:cs="Tahoma"/>
          <w:szCs w:val="24"/>
        </w:rPr>
      </w:pPr>
      <w:r w:rsidRPr="004157E9">
        <w:rPr>
          <w:rFonts w:ascii="Tahoma" w:hAnsi="Tahoma" w:cs="Tahoma"/>
          <w:szCs w:val="24"/>
        </w:rPr>
        <w:t xml:space="preserve">There are no Human Rights Act implications arising from </w:t>
      </w:r>
      <w:r>
        <w:rPr>
          <w:rFonts w:ascii="Tahoma" w:hAnsi="Tahoma" w:cs="Tahoma"/>
          <w:szCs w:val="24"/>
        </w:rPr>
        <w:t xml:space="preserve">the content of </w:t>
      </w:r>
      <w:r w:rsidRPr="004157E9">
        <w:rPr>
          <w:rFonts w:ascii="Tahoma" w:hAnsi="Tahoma" w:cs="Tahoma"/>
          <w:szCs w:val="24"/>
        </w:rPr>
        <w:t>this report</w:t>
      </w:r>
      <w:r>
        <w:rPr>
          <w:rFonts w:ascii="Tahoma" w:hAnsi="Tahoma" w:cs="Tahoma"/>
          <w:szCs w:val="24"/>
        </w:rPr>
        <w:t>.</w:t>
      </w:r>
    </w:p>
    <w:p w:rsidR="00BC280A" w:rsidRPr="00BC280A" w:rsidRDefault="00BC280A" w:rsidP="00BC280A">
      <w:pPr>
        <w:pStyle w:val="Header"/>
        <w:ind w:left="709" w:hanging="709"/>
        <w:jc w:val="both"/>
        <w:rPr>
          <w:rFonts w:ascii="Tahoma" w:hAnsi="Tahoma" w:cs="Tahoma"/>
          <w:bCs/>
          <w:sz w:val="24"/>
        </w:rPr>
        <w:sectPr w:rsidR="00BC280A" w:rsidRPr="00BC280A" w:rsidSect="003B247A">
          <w:headerReference w:type="default" r:id="rId8"/>
          <w:pgSz w:w="11906" w:h="16838"/>
          <w:pgMar w:top="1134" w:right="1134" w:bottom="1134" w:left="1134" w:header="709" w:footer="709" w:gutter="0"/>
          <w:cols w:space="708"/>
          <w:docGrid w:linePitch="360"/>
        </w:sectPr>
      </w:pPr>
    </w:p>
    <w:p w:rsidR="002E0B01" w:rsidRPr="0011313D" w:rsidRDefault="00FB1B0E" w:rsidP="002E0B01">
      <w:pPr>
        <w:pStyle w:val="BodyText"/>
        <w:ind w:left="720" w:hanging="720"/>
        <w:jc w:val="both"/>
        <w:rPr>
          <w:rFonts w:ascii="Tahoma" w:hAnsi="Tahoma" w:cs="Tahoma"/>
          <w:bCs/>
          <w:u w:val="single"/>
        </w:rPr>
      </w:pPr>
      <w:r>
        <w:rPr>
          <w:rFonts w:ascii="Tahoma" w:hAnsi="Tahoma" w:cs="Tahoma"/>
          <w:bCs/>
        </w:rPr>
        <w:lastRenderedPageBreak/>
        <w:t>4.4</w:t>
      </w:r>
      <w:r>
        <w:rPr>
          <w:rFonts w:ascii="Tahoma" w:hAnsi="Tahoma" w:cs="Tahoma"/>
          <w:bCs/>
        </w:rPr>
        <w:tab/>
      </w:r>
      <w:r w:rsidR="002E0B01" w:rsidRPr="0011313D">
        <w:rPr>
          <w:rFonts w:ascii="Tahoma" w:hAnsi="Tahoma" w:cs="Tahoma"/>
          <w:bCs/>
          <w:u w:val="single"/>
        </w:rPr>
        <w:t>Sustainability</w:t>
      </w:r>
    </w:p>
    <w:p w:rsidR="002E0B01" w:rsidRDefault="00FB1B0E" w:rsidP="002E0B01">
      <w:pPr>
        <w:pStyle w:val="BodyText"/>
        <w:ind w:left="720"/>
        <w:rPr>
          <w:rFonts w:ascii="Tahoma" w:hAnsi="Tahoma" w:cs="Tahoma"/>
          <w:bCs/>
        </w:rPr>
      </w:pPr>
      <w:r>
        <w:rPr>
          <w:rFonts w:ascii="Tahoma" w:hAnsi="Tahoma" w:cs="Tahoma"/>
          <w:bCs/>
        </w:rPr>
        <w:t>There are no sustainability implications arising from this report.</w:t>
      </w:r>
    </w:p>
    <w:p w:rsidR="00FB1B0E" w:rsidRPr="0011313D" w:rsidRDefault="00FB1B0E" w:rsidP="002E0B01">
      <w:pPr>
        <w:pStyle w:val="BodyText"/>
        <w:ind w:left="720"/>
        <w:rPr>
          <w:rFonts w:ascii="Tahoma" w:hAnsi="Tahoma" w:cs="Tahoma"/>
          <w:bCs/>
        </w:rPr>
      </w:pPr>
    </w:p>
    <w:p w:rsidR="008B0EE3" w:rsidRDefault="00FB1B0E" w:rsidP="008B0EE3">
      <w:pPr>
        <w:pStyle w:val="BodyText"/>
        <w:ind w:left="720" w:hanging="720"/>
        <w:jc w:val="both"/>
        <w:rPr>
          <w:rFonts w:ascii="Tahoma" w:hAnsi="Tahoma" w:cs="Tahoma"/>
          <w:bCs/>
        </w:rPr>
      </w:pPr>
      <w:r>
        <w:rPr>
          <w:rFonts w:ascii="Tahoma" w:hAnsi="Tahoma" w:cs="Tahoma"/>
          <w:bCs/>
        </w:rPr>
        <w:t>4</w:t>
      </w:r>
      <w:r w:rsidRPr="00A905B9">
        <w:rPr>
          <w:rFonts w:ascii="Tahoma" w:hAnsi="Tahoma" w:cs="Tahoma"/>
          <w:bCs/>
        </w:rPr>
        <w:t>.</w:t>
      </w:r>
      <w:r>
        <w:rPr>
          <w:rFonts w:ascii="Tahoma" w:hAnsi="Tahoma" w:cs="Tahoma"/>
          <w:bCs/>
        </w:rPr>
        <w:t>5</w:t>
      </w:r>
      <w:r>
        <w:rPr>
          <w:rFonts w:ascii="Tahoma" w:hAnsi="Tahoma" w:cs="Tahoma"/>
          <w:bCs/>
        </w:rPr>
        <w:tab/>
      </w:r>
      <w:r w:rsidR="008B0EE3" w:rsidRPr="0011313D">
        <w:rPr>
          <w:rFonts w:ascii="Tahoma" w:hAnsi="Tahoma" w:cs="Tahoma"/>
          <w:bCs/>
          <w:u w:val="single"/>
        </w:rPr>
        <w:t>Risk</w:t>
      </w:r>
    </w:p>
    <w:p w:rsidR="008B0EE3" w:rsidRPr="006F7ACB" w:rsidRDefault="002764A5" w:rsidP="001C0311">
      <w:pPr>
        <w:pStyle w:val="BodyText"/>
        <w:ind w:left="709"/>
        <w:jc w:val="both"/>
        <w:rPr>
          <w:rFonts w:ascii="Tahoma" w:hAnsi="Tahoma" w:cs="Tahoma"/>
          <w:bCs/>
        </w:rPr>
      </w:pPr>
      <w:r>
        <w:rPr>
          <w:rFonts w:ascii="Tahoma" w:hAnsi="Tahoma" w:cs="Tahoma"/>
          <w:bCs/>
        </w:rPr>
        <w:t>There are no risk implications arising from the content of this report.</w:t>
      </w:r>
    </w:p>
    <w:p w:rsidR="008B0EE3" w:rsidRDefault="008B0EE3" w:rsidP="008B0EE3">
      <w:pPr>
        <w:pStyle w:val="BodyText"/>
        <w:keepNext/>
        <w:keepLines/>
        <w:rPr>
          <w:rFonts w:ascii="Tahoma" w:hAnsi="Tahoma" w:cs="Tahoma"/>
          <w:b/>
          <w:bCs/>
        </w:rPr>
      </w:pPr>
    </w:p>
    <w:p w:rsidR="001C0311" w:rsidRDefault="001C0311" w:rsidP="008B0EE3">
      <w:pPr>
        <w:pStyle w:val="BodyText"/>
        <w:keepNext/>
        <w:keepLines/>
        <w:rPr>
          <w:rFonts w:ascii="Tahoma" w:hAnsi="Tahoma" w:cs="Tahoma"/>
          <w:b/>
          <w:bCs/>
        </w:rPr>
      </w:pPr>
    </w:p>
    <w:p w:rsidR="008B0EE3" w:rsidRDefault="008B0EE3" w:rsidP="008B0EE3">
      <w:pPr>
        <w:pStyle w:val="BodyText"/>
        <w:keepNext/>
        <w:keepLines/>
        <w:rPr>
          <w:rFonts w:ascii="Tahoma" w:hAnsi="Tahoma" w:cs="Tahoma"/>
          <w:b/>
          <w:bCs/>
        </w:rPr>
      </w:pPr>
      <w:r>
        <w:rPr>
          <w:rFonts w:ascii="Tahoma" w:hAnsi="Tahoma" w:cs="Tahoma"/>
          <w:b/>
          <w:bCs/>
        </w:rPr>
        <w:t>5</w:t>
      </w:r>
      <w:r w:rsidR="00D277D7">
        <w:rPr>
          <w:rFonts w:ascii="Tahoma" w:hAnsi="Tahoma" w:cs="Tahoma"/>
          <w:b/>
          <w:bCs/>
        </w:rPr>
        <w:t>.</w:t>
      </w:r>
      <w:r>
        <w:rPr>
          <w:rFonts w:ascii="Tahoma" w:hAnsi="Tahoma" w:cs="Tahoma"/>
          <w:b/>
          <w:bCs/>
        </w:rPr>
        <w:tab/>
        <w:t>Conclusions</w:t>
      </w:r>
    </w:p>
    <w:p w:rsidR="008B0EE3" w:rsidRDefault="008B0EE3" w:rsidP="008B0EE3">
      <w:pPr>
        <w:pStyle w:val="BodyText"/>
        <w:keepNext/>
        <w:keepLines/>
        <w:rPr>
          <w:rFonts w:ascii="Tahoma" w:hAnsi="Tahoma" w:cs="Tahoma"/>
          <w:b/>
          <w:bCs/>
        </w:rPr>
      </w:pPr>
    </w:p>
    <w:p w:rsidR="00D3578E" w:rsidRPr="003E16A8" w:rsidRDefault="008B0EE3" w:rsidP="008B0EE3">
      <w:pPr>
        <w:pStyle w:val="BodyText"/>
        <w:keepNext/>
        <w:keepLines/>
        <w:ind w:left="720" w:hanging="720"/>
        <w:jc w:val="both"/>
        <w:rPr>
          <w:rFonts w:ascii="Tahoma" w:hAnsi="Tahoma" w:cs="Tahoma"/>
          <w:bCs/>
        </w:rPr>
      </w:pPr>
      <w:proofErr w:type="gramStart"/>
      <w:r>
        <w:rPr>
          <w:rFonts w:ascii="Tahoma" w:hAnsi="Tahoma" w:cs="Tahoma"/>
          <w:bCs/>
        </w:rPr>
        <w:t>5</w:t>
      </w:r>
      <w:r w:rsidR="00BC280A">
        <w:rPr>
          <w:rFonts w:ascii="Tahoma" w:hAnsi="Tahoma" w:cs="Tahoma"/>
          <w:bCs/>
        </w:rPr>
        <w:t>.1</w:t>
      </w:r>
      <w:r w:rsidR="00BC280A">
        <w:rPr>
          <w:rFonts w:ascii="Tahoma" w:hAnsi="Tahoma" w:cs="Tahoma"/>
          <w:bCs/>
        </w:rPr>
        <w:tab/>
      </w:r>
      <w:r w:rsidR="00874FE2">
        <w:rPr>
          <w:rFonts w:ascii="Tahoma" w:hAnsi="Tahoma" w:cs="Tahoma"/>
        </w:rPr>
        <w:t>The Everyone</w:t>
      </w:r>
      <w:proofErr w:type="gramEnd"/>
      <w:r w:rsidR="00874FE2">
        <w:rPr>
          <w:rFonts w:ascii="Tahoma" w:hAnsi="Tahoma" w:cs="Tahoma"/>
        </w:rPr>
        <w:t xml:space="preserve"> Matters</w:t>
      </w:r>
      <w:r w:rsidR="009B774F" w:rsidRPr="00507C0D">
        <w:rPr>
          <w:rFonts w:ascii="Tahoma" w:hAnsi="Tahoma" w:cs="Tahoma"/>
        </w:rPr>
        <w:t xml:space="preserve"> Strategy</w:t>
      </w:r>
      <w:r w:rsidR="00BC280A">
        <w:rPr>
          <w:rFonts w:ascii="Tahoma" w:hAnsi="Tahoma" w:cs="Tahoma"/>
        </w:rPr>
        <w:t xml:space="preserve"> and detailed delivery plans</w:t>
      </w:r>
      <w:r w:rsidR="009B774F" w:rsidRPr="00507C0D">
        <w:rPr>
          <w:rFonts w:ascii="Tahoma" w:hAnsi="Tahoma" w:cs="Tahoma"/>
        </w:rPr>
        <w:t xml:space="preserve"> provide a road map to deliver our equality objectives and to make a lasting difference to our communities and staff.</w:t>
      </w:r>
    </w:p>
    <w:p w:rsidR="00C16F26" w:rsidRDefault="00C16F26" w:rsidP="00D3578E">
      <w:pPr>
        <w:pStyle w:val="BodyText"/>
        <w:rPr>
          <w:rFonts w:ascii="Tahoma" w:hAnsi="Tahoma" w:cs="Tahoma"/>
        </w:rPr>
      </w:pPr>
    </w:p>
    <w:p w:rsidR="003B247A" w:rsidRDefault="003B247A" w:rsidP="003B247A">
      <w:pPr>
        <w:pStyle w:val="BodyText"/>
        <w:rPr>
          <w:rFonts w:ascii="Tahoma" w:hAnsi="Tahoma" w:cs="Tahoma"/>
        </w:rPr>
      </w:pPr>
    </w:p>
    <w:p w:rsidR="002764A5" w:rsidRDefault="002764A5" w:rsidP="003B247A">
      <w:pPr>
        <w:pStyle w:val="BodyText"/>
        <w:rPr>
          <w:rFonts w:ascii="Tahoma" w:hAnsi="Tahoma" w:cs="Tahoma"/>
        </w:rPr>
      </w:pPr>
    </w:p>
    <w:p w:rsidR="002764A5" w:rsidRDefault="002764A5" w:rsidP="003B247A">
      <w:pPr>
        <w:pStyle w:val="BodyText"/>
        <w:rPr>
          <w:rFonts w:ascii="Tahoma" w:hAnsi="Tahoma" w:cs="Tahoma"/>
        </w:rPr>
      </w:pPr>
    </w:p>
    <w:p w:rsidR="00C16F26" w:rsidRPr="00B33510" w:rsidRDefault="009B774F" w:rsidP="003B247A">
      <w:pPr>
        <w:pStyle w:val="BodyText"/>
        <w:rPr>
          <w:rFonts w:ascii="Tahoma" w:hAnsi="Tahoma" w:cs="Tahoma"/>
        </w:rPr>
      </w:pPr>
      <w:r>
        <w:rPr>
          <w:rFonts w:ascii="Tahoma" w:hAnsi="Tahoma" w:cs="Tahoma"/>
        </w:rPr>
        <w:t>Iain Spittal</w:t>
      </w:r>
    </w:p>
    <w:p w:rsidR="000C4F69" w:rsidRPr="00164ED3" w:rsidRDefault="00B33510" w:rsidP="00D277D7">
      <w:pPr>
        <w:rPr>
          <w:sz w:val="24"/>
          <w:szCs w:val="24"/>
        </w:rPr>
      </w:pPr>
      <w:r w:rsidRPr="00B33510">
        <w:rPr>
          <w:rFonts w:ascii="Tahoma" w:hAnsi="Tahoma" w:cs="Tahoma"/>
          <w:sz w:val="24"/>
        </w:rPr>
        <w:t>Chief Constable</w:t>
      </w:r>
    </w:p>
    <w:sectPr w:rsidR="000C4F69" w:rsidRPr="00164ED3" w:rsidSect="003B247A">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80A" w:rsidRDefault="00BC280A">
      <w:r>
        <w:separator/>
      </w:r>
    </w:p>
  </w:endnote>
  <w:endnote w:type="continuationSeparator" w:id="0">
    <w:p w:rsidR="00BC280A" w:rsidRDefault="00BC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80A" w:rsidRDefault="00BC280A">
      <w:r>
        <w:separator/>
      </w:r>
    </w:p>
  </w:footnote>
  <w:footnote w:type="continuationSeparator" w:id="0">
    <w:p w:rsidR="00BC280A" w:rsidRDefault="00BC2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80A" w:rsidRPr="00B50AEE" w:rsidRDefault="00BC280A" w:rsidP="00B50AEE">
    <w:pPr>
      <w:pStyle w:val="Header"/>
      <w:jc w:val="right"/>
    </w:pPr>
    <w:r>
      <w:rPr>
        <w:noProof/>
        <w:lang w:eastAsia="en-GB"/>
      </w:rPr>
      <w:drawing>
        <wp:inline distT="0" distB="0" distL="0" distR="0" wp14:anchorId="2376F7BB" wp14:editId="260A947B">
          <wp:extent cx="2105025" cy="885825"/>
          <wp:effectExtent l="0" t="0" r="9525" b="9525"/>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 logo - landscape no p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8858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80A" w:rsidRDefault="00BC280A" w:rsidP="00D15B5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12D37"/>
    <w:multiLevelType w:val="multilevel"/>
    <w:tmpl w:val="9A1E016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3C1D5A99"/>
    <w:multiLevelType w:val="multilevel"/>
    <w:tmpl w:val="BF8C0B9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149441A"/>
    <w:multiLevelType w:val="multilevel"/>
    <w:tmpl w:val="CA802BC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4721264"/>
    <w:multiLevelType w:val="hybridMultilevel"/>
    <w:tmpl w:val="503EE794"/>
    <w:lvl w:ilvl="0" w:tplc="A528798C">
      <w:start w:val="3"/>
      <w:numFmt w:val="decimal"/>
      <w:lvlText w:val="%1."/>
      <w:lvlJc w:val="left"/>
      <w:pPr>
        <w:tabs>
          <w:tab w:val="num" w:pos="720"/>
        </w:tabs>
        <w:ind w:left="720" w:hanging="360"/>
      </w:pPr>
      <w:rPr>
        <w:rFonts w:hint="default"/>
      </w:rPr>
    </w:lvl>
    <w:lvl w:ilvl="1" w:tplc="4AEEDE98">
      <w:numFmt w:val="none"/>
      <w:lvlText w:val=""/>
      <w:lvlJc w:val="left"/>
      <w:pPr>
        <w:tabs>
          <w:tab w:val="num" w:pos="360"/>
        </w:tabs>
      </w:pPr>
    </w:lvl>
    <w:lvl w:ilvl="2" w:tplc="25885A04">
      <w:numFmt w:val="none"/>
      <w:lvlText w:val=""/>
      <w:lvlJc w:val="left"/>
      <w:pPr>
        <w:tabs>
          <w:tab w:val="num" w:pos="360"/>
        </w:tabs>
      </w:pPr>
    </w:lvl>
    <w:lvl w:ilvl="3" w:tplc="A72A9C2E">
      <w:numFmt w:val="none"/>
      <w:lvlText w:val=""/>
      <w:lvlJc w:val="left"/>
      <w:pPr>
        <w:tabs>
          <w:tab w:val="num" w:pos="360"/>
        </w:tabs>
      </w:pPr>
    </w:lvl>
    <w:lvl w:ilvl="4" w:tplc="02B8C3B4">
      <w:numFmt w:val="none"/>
      <w:lvlText w:val=""/>
      <w:lvlJc w:val="left"/>
      <w:pPr>
        <w:tabs>
          <w:tab w:val="num" w:pos="360"/>
        </w:tabs>
      </w:pPr>
    </w:lvl>
    <w:lvl w:ilvl="5" w:tplc="81283DFE">
      <w:numFmt w:val="none"/>
      <w:lvlText w:val=""/>
      <w:lvlJc w:val="left"/>
      <w:pPr>
        <w:tabs>
          <w:tab w:val="num" w:pos="360"/>
        </w:tabs>
      </w:pPr>
    </w:lvl>
    <w:lvl w:ilvl="6" w:tplc="B6E4C616">
      <w:numFmt w:val="none"/>
      <w:lvlText w:val=""/>
      <w:lvlJc w:val="left"/>
      <w:pPr>
        <w:tabs>
          <w:tab w:val="num" w:pos="360"/>
        </w:tabs>
      </w:pPr>
    </w:lvl>
    <w:lvl w:ilvl="7" w:tplc="E33C2074">
      <w:numFmt w:val="none"/>
      <w:lvlText w:val=""/>
      <w:lvlJc w:val="left"/>
      <w:pPr>
        <w:tabs>
          <w:tab w:val="num" w:pos="360"/>
        </w:tabs>
      </w:pPr>
    </w:lvl>
    <w:lvl w:ilvl="8" w:tplc="4B601202">
      <w:numFmt w:val="none"/>
      <w:lvlText w:val=""/>
      <w:lvlJc w:val="left"/>
      <w:pPr>
        <w:tabs>
          <w:tab w:val="num" w:pos="360"/>
        </w:tabs>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26"/>
    <w:rsid w:val="00007262"/>
    <w:rsid w:val="0001156D"/>
    <w:rsid w:val="00012DEB"/>
    <w:rsid w:val="000131B1"/>
    <w:rsid w:val="00017446"/>
    <w:rsid w:val="00022078"/>
    <w:rsid w:val="000322C9"/>
    <w:rsid w:val="00037798"/>
    <w:rsid w:val="00054E71"/>
    <w:rsid w:val="00054FDA"/>
    <w:rsid w:val="000559AB"/>
    <w:rsid w:val="00065F9F"/>
    <w:rsid w:val="0006678E"/>
    <w:rsid w:val="00071E4C"/>
    <w:rsid w:val="0007651C"/>
    <w:rsid w:val="0007653F"/>
    <w:rsid w:val="00077AD7"/>
    <w:rsid w:val="0008482A"/>
    <w:rsid w:val="00086B3B"/>
    <w:rsid w:val="000910E3"/>
    <w:rsid w:val="00094E5D"/>
    <w:rsid w:val="000A361B"/>
    <w:rsid w:val="000B1DCD"/>
    <w:rsid w:val="000B6972"/>
    <w:rsid w:val="000B7E20"/>
    <w:rsid w:val="000C4F69"/>
    <w:rsid w:val="000C7BE0"/>
    <w:rsid w:val="000D304D"/>
    <w:rsid w:val="000D736A"/>
    <w:rsid w:val="000F0130"/>
    <w:rsid w:val="000F290E"/>
    <w:rsid w:val="000F542D"/>
    <w:rsid w:val="00110416"/>
    <w:rsid w:val="001123AB"/>
    <w:rsid w:val="001144E1"/>
    <w:rsid w:val="00115341"/>
    <w:rsid w:val="0011579D"/>
    <w:rsid w:val="00131553"/>
    <w:rsid w:val="00135743"/>
    <w:rsid w:val="00164714"/>
    <w:rsid w:val="00164ED3"/>
    <w:rsid w:val="0016516D"/>
    <w:rsid w:val="00165D5D"/>
    <w:rsid w:val="001865A0"/>
    <w:rsid w:val="00190BB6"/>
    <w:rsid w:val="00192B2E"/>
    <w:rsid w:val="00195F4E"/>
    <w:rsid w:val="001B194A"/>
    <w:rsid w:val="001B2203"/>
    <w:rsid w:val="001B7C7E"/>
    <w:rsid w:val="001C0311"/>
    <w:rsid w:val="001D2353"/>
    <w:rsid w:val="001E0548"/>
    <w:rsid w:val="001E26F4"/>
    <w:rsid w:val="001F5CCA"/>
    <w:rsid w:val="002012BE"/>
    <w:rsid w:val="0020483B"/>
    <w:rsid w:val="002067EE"/>
    <w:rsid w:val="002077FC"/>
    <w:rsid w:val="00211535"/>
    <w:rsid w:val="00221754"/>
    <w:rsid w:val="002246EB"/>
    <w:rsid w:val="00225933"/>
    <w:rsid w:val="002270FE"/>
    <w:rsid w:val="00231F12"/>
    <w:rsid w:val="00232640"/>
    <w:rsid w:val="002375CB"/>
    <w:rsid w:val="00246F8B"/>
    <w:rsid w:val="002478F3"/>
    <w:rsid w:val="002764A5"/>
    <w:rsid w:val="0027750A"/>
    <w:rsid w:val="00280858"/>
    <w:rsid w:val="00281A5E"/>
    <w:rsid w:val="00297EB0"/>
    <w:rsid w:val="002A5E6E"/>
    <w:rsid w:val="002B0AE5"/>
    <w:rsid w:val="002B3501"/>
    <w:rsid w:val="002C1BD7"/>
    <w:rsid w:val="002C77C9"/>
    <w:rsid w:val="002E0B01"/>
    <w:rsid w:val="002E1B96"/>
    <w:rsid w:val="002F26C6"/>
    <w:rsid w:val="002F7EC1"/>
    <w:rsid w:val="003214F2"/>
    <w:rsid w:val="00322704"/>
    <w:rsid w:val="00323463"/>
    <w:rsid w:val="003241AE"/>
    <w:rsid w:val="00330E78"/>
    <w:rsid w:val="00331AEC"/>
    <w:rsid w:val="00333D29"/>
    <w:rsid w:val="00344D1D"/>
    <w:rsid w:val="00345070"/>
    <w:rsid w:val="003506E9"/>
    <w:rsid w:val="00351115"/>
    <w:rsid w:val="003547CD"/>
    <w:rsid w:val="0036141B"/>
    <w:rsid w:val="00361E6D"/>
    <w:rsid w:val="003651A1"/>
    <w:rsid w:val="00393D88"/>
    <w:rsid w:val="003A1DB0"/>
    <w:rsid w:val="003A4CB0"/>
    <w:rsid w:val="003A5386"/>
    <w:rsid w:val="003A711F"/>
    <w:rsid w:val="003B0B57"/>
    <w:rsid w:val="003B247A"/>
    <w:rsid w:val="003D1C16"/>
    <w:rsid w:val="003D4DBA"/>
    <w:rsid w:val="003E16A8"/>
    <w:rsid w:val="003E34AA"/>
    <w:rsid w:val="003E3500"/>
    <w:rsid w:val="003E519C"/>
    <w:rsid w:val="003E761E"/>
    <w:rsid w:val="0040383B"/>
    <w:rsid w:val="00405AA8"/>
    <w:rsid w:val="00412DC9"/>
    <w:rsid w:val="0041697B"/>
    <w:rsid w:val="004210FF"/>
    <w:rsid w:val="00444909"/>
    <w:rsid w:val="00455184"/>
    <w:rsid w:val="0045609D"/>
    <w:rsid w:val="0046025F"/>
    <w:rsid w:val="00461823"/>
    <w:rsid w:val="00463657"/>
    <w:rsid w:val="00464400"/>
    <w:rsid w:val="0047345E"/>
    <w:rsid w:val="0047547C"/>
    <w:rsid w:val="00481168"/>
    <w:rsid w:val="00481F80"/>
    <w:rsid w:val="00492663"/>
    <w:rsid w:val="004A2369"/>
    <w:rsid w:val="004A6AE8"/>
    <w:rsid w:val="004B2F29"/>
    <w:rsid w:val="004D2DD5"/>
    <w:rsid w:val="004D33C2"/>
    <w:rsid w:val="004E4014"/>
    <w:rsid w:val="004F2F5B"/>
    <w:rsid w:val="004F4118"/>
    <w:rsid w:val="00501E86"/>
    <w:rsid w:val="005025EE"/>
    <w:rsid w:val="00516DF7"/>
    <w:rsid w:val="005255B9"/>
    <w:rsid w:val="00531AF8"/>
    <w:rsid w:val="005368DA"/>
    <w:rsid w:val="00537C1F"/>
    <w:rsid w:val="00537F74"/>
    <w:rsid w:val="00542822"/>
    <w:rsid w:val="00544A00"/>
    <w:rsid w:val="0055312F"/>
    <w:rsid w:val="0055527B"/>
    <w:rsid w:val="0056318E"/>
    <w:rsid w:val="00573E43"/>
    <w:rsid w:val="005A0578"/>
    <w:rsid w:val="005A5D77"/>
    <w:rsid w:val="005A6015"/>
    <w:rsid w:val="005B6F15"/>
    <w:rsid w:val="005C585F"/>
    <w:rsid w:val="005C78BB"/>
    <w:rsid w:val="005D0844"/>
    <w:rsid w:val="005D2C32"/>
    <w:rsid w:val="005D7DF2"/>
    <w:rsid w:val="005E497D"/>
    <w:rsid w:val="006001A8"/>
    <w:rsid w:val="00624273"/>
    <w:rsid w:val="0063272E"/>
    <w:rsid w:val="00634ECB"/>
    <w:rsid w:val="0063621F"/>
    <w:rsid w:val="00637398"/>
    <w:rsid w:val="00641BC7"/>
    <w:rsid w:val="00653BE9"/>
    <w:rsid w:val="006543AE"/>
    <w:rsid w:val="00667592"/>
    <w:rsid w:val="0068543C"/>
    <w:rsid w:val="00695AFF"/>
    <w:rsid w:val="00695E65"/>
    <w:rsid w:val="00696C69"/>
    <w:rsid w:val="006A0A03"/>
    <w:rsid w:val="006A1DD7"/>
    <w:rsid w:val="006A27D8"/>
    <w:rsid w:val="006C2665"/>
    <w:rsid w:val="006C2727"/>
    <w:rsid w:val="006D42B3"/>
    <w:rsid w:val="006E05BD"/>
    <w:rsid w:val="006E098E"/>
    <w:rsid w:val="006F4734"/>
    <w:rsid w:val="006F7ACB"/>
    <w:rsid w:val="00707A6D"/>
    <w:rsid w:val="00723267"/>
    <w:rsid w:val="00730CEB"/>
    <w:rsid w:val="007318B3"/>
    <w:rsid w:val="0073562E"/>
    <w:rsid w:val="0074417A"/>
    <w:rsid w:val="0074784B"/>
    <w:rsid w:val="007567AB"/>
    <w:rsid w:val="00760E60"/>
    <w:rsid w:val="0076413C"/>
    <w:rsid w:val="007724D2"/>
    <w:rsid w:val="00776CF6"/>
    <w:rsid w:val="00781215"/>
    <w:rsid w:val="00781E1D"/>
    <w:rsid w:val="0078278D"/>
    <w:rsid w:val="00786DDD"/>
    <w:rsid w:val="007939B3"/>
    <w:rsid w:val="007A036B"/>
    <w:rsid w:val="007A082E"/>
    <w:rsid w:val="007B78CA"/>
    <w:rsid w:val="007D26E4"/>
    <w:rsid w:val="00801A13"/>
    <w:rsid w:val="00801CE3"/>
    <w:rsid w:val="008034D2"/>
    <w:rsid w:val="00803BE8"/>
    <w:rsid w:val="00806689"/>
    <w:rsid w:val="00807DAB"/>
    <w:rsid w:val="00811109"/>
    <w:rsid w:val="0081236B"/>
    <w:rsid w:val="008165A0"/>
    <w:rsid w:val="00831331"/>
    <w:rsid w:val="00833C0B"/>
    <w:rsid w:val="00840BF2"/>
    <w:rsid w:val="00874CBF"/>
    <w:rsid w:val="00874FE2"/>
    <w:rsid w:val="00880D81"/>
    <w:rsid w:val="0088315F"/>
    <w:rsid w:val="008A0E53"/>
    <w:rsid w:val="008A348A"/>
    <w:rsid w:val="008B0EE3"/>
    <w:rsid w:val="008C131B"/>
    <w:rsid w:val="008C1522"/>
    <w:rsid w:val="008C4BB2"/>
    <w:rsid w:val="008E2AFE"/>
    <w:rsid w:val="008E6A43"/>
    <w:rsid w:val="008F2C10"/>
    <w:rsid w:val="008F79D5"/>
    <w:rsid w:val="00905095"/>
    <w:rsid w:val="009102EA"/>
    <w:rsid w:val="00912D30"/>
    <w:rsid w:val="00920688"/>
    <w:rsid w:val="0092160C"/>
    <w:rsid w:val="009228BA"/>
    <w:rsid w:val="0093556A"/>
    <w:rsid w:val="009356A2"/>
    <w:rsid w:val="009525D8"/>
    <w:rsid w:val="00966373"/>
    <w:rsid w:val="00967B3D"/>
    <w:rsid w:val="00972A04"/>
    <w:rsid w:val="00974671"/>
    <w:rsid w:val="00975B11"/>
    <w:rsid w:val="009807FB"/>
    <w:rsid w:val="00983264"/>
    <w:rsid w:val="00996AE5"/>
    <w:rsid w:val="009A3A1A"/>
    <w:rsid w:val="009A6828"/>
    <w:rsid w:val="009B0561"/>
    <w:rsid w:val="009B774F"/>
    <w:rsid w:val="009D3E1B"/>
    <w:rsid w:val="009D42FC"/>
    <w:rsid w:val="009D6359"/>
    <w:rsid w:val="009E609B"/>
    <w:rsid w:val="009F2442"/>
    <w:rsid w:val="009F2996"/>
    <w:rsid w:val="00A02B93"/>
    <w:rsid w:val="00A03AC4"/>
    <w:rsid w:val="00A075F9"/>
    <w:rsid w:val="00A112D7"/>
    <w:rsid w:val="00A1353D"/>
    <w:rsid w:val="00A175EE"/>
    <w:rsid w:val="00A35D1F"/>
    <w:rsid w:val="00A50A27"/>
    <w:rsid w:val="00A50D87"/>
    <w:rsid w:val="00A5103C"/>
    <w:rsid w:val="00A52909"/>
    <w:rsid w:val="00A61B04"/>
    <w:rsid w:val="00A64704"/>
    <w:rsid w:val="00A702F1"/>
    <w:rsid w:val="00A82D88"/>
    <w:rsid w:val="00A8634C"/>
    <w:rsid w:val="00A86583"/>
    <w:rsid w:val="00A905B9"/>
    <w:rsid w:val="00A9091D"/>
    <w:rsid w:val="00AB0EDC"/>
    <w:rsid w:val="00AF576F"/>
    <w:rsid w:val="00B111EE"/>
    <w:rsid w:val="00B162C4"/>
    <w:rsid w:val="00B26E83"/>
    <w:rsid w:val="00B33510"/>
    <w:rsid w:val="00B35997"/>
    <w:rsid w:val="00B3636F"/>
    <w:rsid w:val="00B47409"/>
    <w:rsid w:val="00B50AEE"/>
    <w:rsid w:val="00B51954"/>
    <w:rsid w:val="00B52819"/>
    <w:rsid w:val="00B711F3"/>
    <w:rsid w:val="00B74940"/>
    <w:rsid w:val="00B944E5"/>
    <w:rsid w:val="00BA2F66"/>
    <w:rsid w:val="00BA602F"/>
    <w:rsid w:val="00BA6C4D"/>
    <w:rsid w:val="00BB0FC5"/>
    <w:rsid w:val="00BC280A"/>
    <w:rsid w:val="00BC3E97"/>
    <w:rsid w:val="00BC5F5D"/>
    <w:rsid w:val="00BD329E"/>
    <w:rsid w:val="00BE5DE2"/>
    <w:rsid w:val="00BF6182"/>
    <w:rsid w:val="00C16F26"/>
    <w:rsid w:val="00C17241"/>
    <w:rsid w:val="00C175DD"/>
    <w:rsid w:val="00C207DE"/>
    <w:rsid w:val="00C22CF0"/>
    <w:rsid w:val="00C2658E"/>
    <w:rsid w:val="00C4716C"/>
    <w:rsid w:val="00C55CA9"/>
    <w:rsid w:val="00C60906"/>
    <w:rsid w:val="00C6198A"/>
    <w:rsid w:val="00C6327F"/>
    <w:rsid w:val="00C76347"/>
    <w:rsid w:val="00C817C2"/>
    <w:rsid w:val="00CA71E7"/>
    <w:rsid w:val="00CA75C9"/>
    <w:rsid w:val="00CB2F92"/>
    <w:rsid w:val="00CD0DED"/>
    <w:rsid w:val="00CF2EA8"/>
    <w:rsid w:val="00CF2EAC"/>
    <w:rsid w:val="00D00404"/>
    <w:rsid w:val="00D078F6"/>
    <w:rsid w:val="00D15B5A"/>
    <w:rsid w:val="00D22450"/>
    <w:rsid w:val="00D277D7"/>
    <w:rsid w:val="00D3578E"/>
    <w:rsid w:val="00D37746"/>
    <w:rsid w:val="00D4227F"/>
    <w:rsid w:val="00D47306"/>
    <w:rsid w:val="00D60D4E"/>
    <w:rsid w:val="00D61E43"/>
    <w:rsid w:val="00D73FCA"/>
    <w:rsid w:val="00D86D2C"/>
    <w:rsid w:val="00D92577"/>
    <w:rsid w:val="00D9262F"/>
    <w:rsid w:val="00DB404F"/>
    <w:rsid w:val="00DC3937"/>
    <w:rsid w:val="00DD1652"/>
    <w:rsid w:val="00DD4451"/>
    <w:rsid w:val="00DD7630"/>
    <w:rsid w:val="00DE692A"/>
    <w:rsid w:val="00E02429"/>
    <w:rsid w:val="00E056F6"/>
    <w:rsid w:val="00E057A6"/>
    <w:rsid w:val="00E07FFB"/>
    <w:rsid w:val="00E237EE"/>
    <w:rsid w:val="00E257A7"/>
    <w:rsid w:val="00E30DA8"/>
    <w:rsid w:val="00E31FAF"/>
    <w:rsid w:val="00E323EA"/>
    <w:rsid w:val="00E3772D"/>
    <w:rsid w:val="00E429E2"/>
    <w:rsid w:val="00E4517B"/>
    <w:rsid w:val="00E50825"/>
    <w:rsid w:val="00E50C5B"/>
    <w:rsid w:val="00E52A85"/>
    <w:rsid w:val="00E55D51"/>
    <w:rsid w:val="00E701E5"/>
    <w:rsid w:val="00E731BA"/>
    <w:rsid w:val="00E746C8"/>
    <w:rsid w:val="00E80355"/>
    <w:rsid w:val="00EA2EE8"/>
    <w:rsid w:val="00EA3985"/>
    <w:rsid w:val="00EA4EF7"/>
    <w:rsid w:val="00EA7283"/>
    <w:rsid w:val="00EB768F"/>
    <w:rsid w:val="00EC3FB2"/>
    <w:rsid w:val="00EC6AE6"/>
    <w:rsid w:val="00EE508B"/>
    <w:rsid w:val="00EE5C80"/>
    <w:rsid w:val="00EF3BBA"/>
    <w:rsid w:val="00F02A25"/>
    <w:rsid w:val="00F0393E"/>
    <w:rsid w:val="00F1015B"/>
    <w:rsid w:val="00F12B0A"/>
    <w:rsid w:val="00F3740E"/>
    <w:rsid w:val="00F411A5"/>
    <w:rsid w:val="00F4243D"/>
    <w:rsid w:val="00F51122"/>
    <w:rsid w:val="00F56A9C"/>
    <w:rsid w:val="00F63096"/>
    <w:rsid w:val="00F70E4B"/>
    <w:rsid w:val="00F81D73"/>
    <w:rsid w:val="00F85849"/>
    <w:rsid w:val="00F943E2"/>
    <w:rsid w:val="00FA2E28"/>
    <w:rsid w:val="00FA322C"/>
    <w:rsid w:val="00FB1B0E"/>
    <w:rsid w:val="00FB7BFF"/>
    <w:rsid w:val="00FC241F"/>
    <w:rsid w:val="00FC30F6"/>
    <w:rsid w:val="00FC317C"/>
    <w:rsid w:val="00FC4E95"/>
    <w:rsid w:val="00FD1619"/>
    <w:rsid w:val="00FE2B6A"/>
    <w:rsid w:val="00FF29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table" w:styleId="TableGrid">
    <w:name w:val="Table Grid"/>
    <w:basedOn w:val="TableNormal"/>
    <w:rsid w:val="001D2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501E86"/>
    <w:pPr>
      <w:keepLines/>
      <w:spacing w:before="60" w:after="60"/>
    </w:pPr>
    <w:rPr>
      <w:rFonts w:ascii="Arial" w:hAnsi="Arial"/>
      <w:sz w:val="24"/>
      <w:szCs w:val="24"/>
      <w:lang w:eastAsia="en-GB"/>
    </w:rPr>
  </w:style>
  <w:style w:type="paragraph" w:styleId="BodyTextIndent">
    <w:name w:val="Body Text Indent"/>
    <w:basedOn w:val="Normal"/>
    <w:rsid w:val="003E519C"/>
    <w:pPr>
      <w:spacing w:after="120"/>
      <w:ind w:left="283"/>
    </w:pPr>
    <w:rPr>
      <w:rFonts w:ascii="Tahoma" w:hAnsi="Tahoma"/>
      <w:sz w:val="24"/>
      <w:szCs w:val="24"/>
    </w:rPr>
  </w:style>
  <w:style w:type="character" w:styleId="Hyperlink">
    <w:name w:val="Hyperlink"/>
    <w:basedOn w:val="DefaultParagraphFont"/>
    <w:rsid w:val="003E519C"/>
    <w:rPr>
      <w:color w:val="0000FF"/>
      <w:u w:val="single"/>
    </w:rPr>
  </w:style>
  <w:style w:type="paragraph" w:styleId="BalloonText">
    <w:name w:val="Balloon Text"/>
    <w:basedOn w:val="Normal"/>
    <w:semiHidden/>
    <w:rsid w:val="00A075F9"/>
    <w:rPr>
      <w:rFonts w:ascii="Tahoma" w:hAnsi="Tahoma" w:cs="Tahoma"/>
      <w:sz w:val="16"/>
      <w:szCs w:val="16"/>
    </w:rPr>
  </w:style>
  <w:style w:type="paragraph" w:customStyle="1" w:styleId="CharCharCharChar">
    <w:name w:val="Char Char Char Char"/>
    <w:basedOn w:val="Normal"/>
    <w:rsid w:val="00786DDD"/>
    <w:pPr>
      <w:spacing w:after="160" w:line="240" w:lineRule="exact"/>
    </w:pPr>
    <w:rPr>
      <w:rFonts w:ascii="Verdana" w:hAnsi="Verdana" w:cs="Verdana"/>
      <w:lang w:val="en-US"/>
    </w:rPr>
  </w:style>
  <w:style w:type="paragraph" w:styleId="DocumentMap">
    <w:name w:val="Document Map"/>
    <w:basedOn w:val="Normal"/>
    <w:semiHidden/>
    <w:rsid w:val="000B7E20"/>
    <w:pPr>
      <w:shd w:val="clear" w:color="auto" w:fill="000080"/>
    </w:pPr>
    <w:rPr>
      <w:rFonts w:ascii="Tahoma" w:hAnsi="Tahoma" w:cs="Tahoma"/>
    </w:rPr>
  </w:style>
  <w:style w:type="paragraph" w:customStyle="1" w:styleId="Char">
    <w:name w:val=" Char"/>
    <w:basedOn w:val="Normal"/>
    <w:link w:val="DefaultParagraphFont"/>
    <w:rsid w:val="00D9262F"/>
    <w:pPr>
      <w:spacing w:after="160" w:line="240" w:lineRule="exact"/>
    </w:pPr>
    <w:rPr>
      <w:rFonts w:ascii="Verdana" w:hAnsi="Verdana"/>
      <w:lang w:val="en-US"/>
    </w:rPr>
  </w:style>
  <w:style w:type="paragraph" w:styleId="ListParagraph">
    <w:name w:val="List Paragraph"/>
    <w:basedOn w:val="Normal"/>
    <w:uiPriority w:val="34"/>
    <w:qFormat/>
    <w:rsid w:val="009B774F"/>
    <w:pPr>
      <w:ind w:left="720"/>
      <w:contextualSpacing/>
    </w:pPr>
    <w:rPr>
      <w:rFonts w:eastAsia="Calibri"/>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table" w:styleId="TableGrid">
    <w:name w:val="Table Grid"/>
    <w:basedOn w:val="TableNormal"/>
    <w:rsid w:val="001D2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501E86"/>
    <w:pPr>
      <w:keepLines/>
      <w:spacing w:before="60" w:after="60"/>
    </w:pPr>
    <w:rPr>
      <w:rFonts w:ascii="Arial" w:hAnsi="Arial"/>
      <w:sz w:val="24"/>
      <w:szCs w:val="24"/>
      <w:lang w:eastAsia="en-GB"/>
    </w:rPr>
  </w:style>
  <w:style w:type="paragraph" w:styleId="BodyTextIndent">
    <w:name w:val="Body Text Indent"/>
    <w:basedOn w:val="Normal"/>
    <w:rsid w:val="003E519C"/>
    <w:pPr>
      <w:spacing w:after="120"/>
      <w:ind w:left="283"/>
    </w:pPr>
    <w:rPr>
      <w:rFonts w:ascii="Tahoma" w:hAnsi="Tahoma"/>
      <w:sz w:val="24"/>
      <w:szCs w:val="24"/>
    </w:rPr>
  </w:style>
  <w:style w:type="character" w:styleId="Hyperlink">
    <w:name w:val="Hyperlink"/>
    <w:basedOn w:val="DefaultParagraphFont"/>
    <w:rsid w:val="003E519C"/>
    <w:rPr>
      <w:color w:val="0000FF"/>
      <w:u w:val="single"/>
    </w:rPr>
  </w:style>
  <w:style w:type="paragraph" w:styleId="BalloonText">
    <w:name w:val="Balloon Text"/>
    <w:basedOn w:val="Normal"/>
    <w:semiHidden/>
    <w:rsid w:val="00A075F9"/>
    <w:rPr>
      <w:rFonts w:ascii="Tahoma" w:hAnsi="Tahoma" w:cs="Tahoma"/>
      <w:sz w:val="16"/>
      <w:szCs w:val="16"/>
    </w:rPr>
  </w:style>
  <w:style w:type="paragraph" w:customStyle="1" w:styleId="CharCharCharChar">
    <w:name w:val="Char Char Char Char"/>
    <w:basedOn w:val="Normal"/>
    <w:rsid w:val="00786DDD"/>
    <w:pPr>
      <w:spacing w:after="160" w:line="240" w:lineRule="exact"/>
    </w:pPr>
    <w:rPr>
      <w:rFonts w:ascii="Verdana" w:hAnsi="Verdana" w:cs="Verdana"/>
      <w:lang w:val="en-US"/>
    </w:rPr>
  </w:style>
  <w:style w:type="paragraph" w:styleId="DocumentMap">
    <w:name w:val="Document Map"/>
    <w:basedOn w:val="Normal"/>
    <w:semiHidden/>
    <w:rsid w:val="000B7E20"/>
    <w:pPr>
      <w:shd w:val="clear" w:color="auto" w:fill="000080"/>
    </w:pPr>
    <w:rPr>
      <w:rFonts w:ascii="Tahoma" w:hAnsi="Tahoma" w:cs="Tahoma"/>
    </w:rPr>
  </w:style>
  <w:style w:type="paragraph" w:customStyle="1" w:styleId="Char">
    <w:name w:val=" Char"/>
    <w:basedOn w:val="Normal"/>
    <w:link w:val="DefaultParagraphFont"/>
    <w:rsid w:val="00D9262F"/>
    <w:pPr>
      <w:spacing w:after="160" w:line="240" w:lineRule="exact"/>
    </w:pPr>
    <w:rPr>
      <w:rFonts w:ascii="Verdana" w:hAnsi="Verdana"/>
      <w:lang w:val="en-US"/>
    </w:rPr>
  </w:style>
  <w:style w:type="paragraph" w:styleId="ListParagraph">
    <w:name w:val="List Paragraph"/>
    <w:basedOn w:val="Normal"/>
    <w:uiPriority w:val="34"/>
    <w:qFormat/>
    <w:rsid w:val="009B774F"/>
    <w:pPr>
      <w:ind w:left="720"/>
      <w:contextualSpacing/>
    </w:pPr>
    <w:rPr>
      <w:rFonts w:eastAsia="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PA report layout - June 2003</Template>
  <TotalTime>11</TotalTime>
  <Pages>2</Pages>
  <Words>277</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ROWNTREE, Kate (C8111)</cp:lastModifiedBy>
  <cp:revision>4</cp:revision>
  <cp:lastPrinted>2012-06-01T11:34:00Z</cp:lastPrinted>
  <dcterms:created xsi:type="dcterms:W3CDTF">2017-03-08T15:16:00Z</dcterms:created>
  <dcterms:modified xsi:type="dcterms:W3CDTF">2017-03-08T15:32:00Z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c80e343f-9742-4955-b321-5909230b9897</vt:lpwstr>
  </property>
  <property fmtid="{D5CDD505-2E9C-101B-9397-08002B2CF9AE}" pid="3" name="Classification">
    <vt:lpwstr>OFFICIAL</vt:lpwstr>
  </property>
</Properties>
</file>