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E05EB" w:rsidRDefault="000705E8" w:rsidP="00E45929">
      <w:pPr>
        <w:jc w:val="both"/>
      </w:pPr>
      <w:r>
        <w:rPr>
          <w:noProof/>
        </w:rPr>
        <mc:AlternateContent>
          <mc:Choice Requires="wps">
            <w:drawing>
              <wp:anchor distT="0" distB="0" distL="114300" distR="114300" simplePos="0" relativeHeight="251660288" behindDoc="0" locked="0" layoutInCell="1" allowOverlap="1" wp14:anchorId="678A7061" wp14:editId="4506279C">
                <wp:simplePos x="0" y="0"/>
                <wp:positionH relativeFrom="column">
                  <wp:posOffset>5372100</wp:posOffset>
                </wp:positionH>
                <wp:positionV relativeFrom="paragraph">
                  <wp:posOffset>-457835</wp:posOffset>
                </wp:positionV>
                <wp:extent cx="847725" cy="3714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71475"/>
                        </a:xfrm>
                        <a:prstGeom prst="rect">
                          <a:avLst/>
                        </a:prstGeom>
                        <a:solidFill>
                          <a:srgbClr val="FFFFFF"/>
                        </a:solidFill>
                        <a:ln w="9525">
                          <a:solidFill>
                            <a:schemeClr val="bg1"/>
                          </a:solidFill>
                          <a:miter lim="800000"/>
                          <a:headEnd/>
                          <a:tailEnd/>
                        </a:ln>
                      </wps:spPr>
                      <wps:txbx>
                        <w:txbxContent>
                          <w:p w:rsidR="00454A61" w:rsidRPr="000705E8" w:rsidRDefault="00454A61">
                            <w:pPr>
                              <w:rPr>
                                <w:rFonts w:ascii="Tahoma" w:hAnsi="Tahoma" w:cs="Tahoma"/>
                                <w:sz w:val="28"/>
                              </w:rPr>
                            </w:pPr>
                            <w:r>
                              <w:rPr>
                                <w:rFonts w:ascii="Tahoma" w:hAnsi="Tahoma" w:cs="Tahoma"/>
                                <w:sz w:val="2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8A7061" id="_x0000_t202" coordsize="21600,21600" o:spt="202" path="m,l,21600r21600,l21600,xe">
                <v:stroke joinstyle="miter"/>
                <v:path gradientshapeok="t" o:connecttype="rect"/>
              </v:shapetype>
              <v:shape id="Text Box 2" o:spid="_x0000_s1026" type="#_x0000_t202" style="position:absolute;left:0;text-align:left;margin-left:423pt;margin-top:-36.05pt;width:66.7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" strokecolor="white [3212]">
                <v:textbox>
                  <w:txbxContent>
                    <w:p w:rsidR="00454A61" w:rsidRPr="000705E8" w:rsidRDefault="00454A61">
                      <w:pPr>
                        <w:rPr>
                          <w:rFonts w:ascii="Tahoma" w:hAnsi="Tahoma" w:cs="Tahoma"/>
                          <w:sz w:val="28"/>
                        </w:rPr>
                      </w:pPr>
                      <w:r>
                        <w:rPr>
                          <w:rFonts w:ascii="Tahoma" w:hAnsi="Tahoma" w:cs="Tahoma"/>
                          <w:sz w:val="28"/>
                        </w:rPr>
                        <w:t xml:space="preserve"> </w:t>
                      </w:r>
                    </w:p>
                  </w:txbxContent>
                </v:textbox>
              </v:shape>
            </w:pict>
          </mc:Fallback>
        </mc:AlternateContent>
      </w:r>
    </w:p>
    <w:p w:rsidR="00EE05EB" w:rsidRDefault="00E45929" w:rsidP="00E45929">
      <w:pPr>
        <w:widowControl w:val="0"/>
        <w:jc w:val="both"/>
        <w:rPr>
          <w:rFonts w:ascii="Tahoma" w:hAnsi="Tahoma" w:cs="Tahoma"/>
          <w:b/>
          <w:bCs/>
        </w:rPr>
      </w:pPr>
      <w:r>
        <w:rPr>
          <w:noProof/>
        </w:rPr>
        <w:drawing>
          <wp:inline distT="0" distB="0" distL="0" distR="0" wp14:anchorId="4993FACD" wp14:editId="0B655B45">
            <wp:extent cx="2019680" cy="16287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1333" cy="1646237"/>
                    </a:xfrm>
                    <a:prstGeom prst="rect">
                      <a:avLst/>
                    </a:prstGeom>
                    <a:noFill/>
                  </pic:spPr>
                </pic:pic>
              </a:graphicData>
            </a:graphic>
          </wp:inline>
        </w:drawing>
      </w:r>
    </w:p>
    <w:p w:rsidR="00EE05EB" w:rsidRDefault="00EE05EB" w:rsidP="00E45929">
      <w:pPr>
        <w:widowControl w:val="0"/>
        <w:jc w:val="both"/>
        <w:rPr>
          <w:rFonts w:ascii="Tahoma" w:hAnsi="Tahoma" w:cs="Tahoma"/>
          <w:b/>
          <w:bCs/>
          <w:sz w:val="20"/>
          <w:szCs w:val="20"/>
        </w:rPr>
      </w:pPr>
    </w:p>
    <w:p w:rsidR="00EE05EB" w:rsidRDefault="00EE05EB" w:rsidP="00E45929">
      <w:pPr>
        <w:widowControl w:val="0"/>
        <w:jc w:val="both"/>
        <w:rPr>
          <w:rFonts w:ascii="Tahoma" w:hAnsi="Tahoma" w:cs="Tahoma"/>
          <w:b/>
          <w:sz w:val="20"/>
          <w:szCs w:val="20"/>
        </w:rPr>
      </w:pPr>
      <w:r>
        <w:rPr>
          <w:rFonts w:ascii="Tahoma" w:hAnsi="Tahoma" w:cs="Tahoma"/>
          <w:b/>
          <w:bCs/>
          <w:sz w:val="20"/>
          <w:szCs w:val="20"/>
        </w:rPr>
        <w:t xml:space="preserve">                                                                                                                 </w:t>
      </w:r>
      <w:r>
        <w:rPr>
          <w:rFonts w:ascii="Tahoma" w:hAnsi="Tahoma" w:cs="Tahoma"/>
          <w:b/>
          <w:sz w:val="20"/>
          <w:szCs w:val="20"/>
        </w:rPr>
        <w:t xml:space="preserve"> </w:t>
      </w:r>
    </w:p>
    <w:p w:rsidR="000705E8" w:rsidRDefault="000705E8" w:rsidP="00E45929">
      <w:pPr>
        <w:widowControl w:val="0"/>
        <w:jc w:val="both"/>
        <w:rPr>
          <w:rFonts w:ascii="Tahoma" w:hAnsi="Tahoma" w:cs="Tahoma"/>
          <w:b/>
          <w:sz w:val="20"/>
          <w:szCs w:val="20"/>
        </w:rPr>
      </w:pPr>
    </w:p>
    <w:p w:rsidR="000705E8" w:rsidRDefault="000705E8" w:rsidP="00E45929">
      <w:pPr>
        <w:widowControl w:val="0"/>
        <w:jc w:val="both"/>
        <w:rPr>
          <w:rFonts w:ascii="Tahoma" w:hAnsi="Tahoma" w:cs="Tahoma"/>
          <w:b/>
          <w:sz w:val="20"/>
          <w:szCs w:val="20"/>
        </w:rPr>
      </w:pPr>
    </w:p>
    <w:p w:rsidR="00EE05EB" w:rsidRPr="00AD6A88" w:rsidRDefault="00EE05EB" w:rsidP="00E45929">
      <w:pPr>
        <w:widowControl w:val="0"/>
        <w:tabs>
          <w:tab w:val="left" w:pos="900"/>
          <w:tab w:val="left" w:pos="3794"/>
          <w:tab w:val="left" w:pos="6569"/>
        </w:tabs>
        <w:jc w:val="both"/>
        <w:rPr>
          <w:rFonts w:ascii="Tahoma" w:hAnsi="Tahoma" w:cs="Tahoma"/>
          <w:b/>
          <w:sz w:val="20"/>
          <w:szCs w:val="20"/>
        </w:rPr>
      </w:pPr>
      <w:r>
        <w:rPr>
          <w:rFonts w:ascii="Tahoma" w:hAnsi="Tahoma" w:cs="Tahoma"/>
          <w:b/>
          <w:sz w:val="20"/>
          <w:szCs w:val="20"/>
        </w:rPr>
        <w:t xml:space="preserve"> </w:t>
      </w:r>
    </w:p>
    <w:p w:rsidR="00EE05EB" w:rsidRDefault="00EE05EB" w:rsidP="00E45929">
      <w:pPr>
        <w:jc w:val="both"/>
        <w:outlineLvl w:val="0"/>
        <w:rPr>
          <w:rFonts w:ascii="Tahoma" w:hAnsi="Tahoma" w:cs="Tahoma"/>
          <w:b/>
        </w:rPr>
      </w:pPr>
      <w:r>
        <w:rPr>
          <w:rFonts w:ascii="Tahoma" w:hAnsi="Tahoma" w:cs="Tahoma"/>
          <w:b/>
        </w:rPr>
        <w:t xml:space="preserve">Report of the PCC </w:t>
      </w:r>
      <w:r w:rsidR="00554C46">
        <w:rPr>
          <w:rFonts w:ascii="Tahoma" w:hAnsi="Tahoma" w:cs="Tahoma"/>
          <w:b/>
        </w:rPr>
        <w:t xml:space="preserve">CFO </w:t>
      </w:r>
      <w:r>
        <w:rPr>
          <w:rFonts w:ascii="Tahoma" w:hAnsi="Tahoma" w:cs="Tahoma"/>
          <w:b/>
        </w:rPr>
        <w:t xml:space="preserve">to the Chair and Members of the Joint Audit Committee </w:t>
      </w:r>
    </w:p>
    <w:p w:rsidR="00EE05EB" w:rsidRPr="00E45929" w:rsidRDefault="000D43C9" w:rsidP="00E45929">
      <w:pPr>
        <w:jc w:val="both"/>
        <w:rPr>
          <w:rFonts w:ascii="Tahoma" w:hAnsi="Tahoma" w:cs="Tahoma"/>
          <w:b/>
        </w:rPr>
      </w:pPr>
      <w:r>
        <w:rPr>
          <w:rFonts w:ascii="Tahoma" w:hAnsi="Tahoma" w:cs="Tahoma"/>
          <w:b/>
        </w:rPr>
        <w:t>29</w:t>
      </w:r>
      <w:r w:rsidRPr="000D43C9">
        <w:rPr>
          <w:rFonts w:ascii="Tahoma" w:hAnsi="Tahoma" w:cs="Tahoma"/>
          <w:b/>
          <w:vertAlign w:val="superscript"/>
        </w:rPr>
        <w:t>th</w:t>
      </w:r>
      <w:r>
        <w:rPr>
          <w:rFonts w:ascii="Tahoma" w:hAnsi="Tahoma" w:cs="Tahoma"/>
          <w:b/>
        </w:rPr>
        <w:t xml:space="preserve"> </w:t>
      </w:r>
      <w:r w:rsidR="00FD0EEA">
        <w:rPr>
          <w:rFonts w:ascii="Tahoma" w:hAnsi="Tahoma" w:cs="Tahoma"/>
          <w:b/>
        </w:rPr>
        <w:t>September</w:t>
      </w:r>
      <w:r w:rsidR="009D4A94" w:rsidRPr="00E45929">
        <w:rPr>
          <w:rFonts w:ascii="Tahoma" w:hAnsi="Tahoma" w:cs="Tahoma"/>
          <w:b/>
        </w:rPr>
        <w:t xml:space="preserve"> 20</w:t>
      </w:r>
      <w:r w:rsidR="00DF101B" w:rsidRPr="00E45929">
        <w:rPr>
          <w:rFonts w:ascii="Tahoma" w:hAnsi="Tahoma" w:cs="Tahoma"/>
          <w:b/>
        </w:rPr>
        <w:t>2</w:t>
      </w:r>
      <w:r w:rsidR="00AA1FC8">
        <w:rPr>
          <w:rFonts w:ascii="Tahoma" w:hAnsi="Tahoma" w:cs="Tahoma"/>
          <w:b/>
        </w:rPr>
        <w:t>2</w:t>
      </w:r>
    </w:p>
    <w:p w:rsidR="00EE05EB" w:rsidRDefault="00EE05EB" w:rsidP="00E45929">
      <w:pPr>
        <w:jc w:val="both"/>
        <w:rPr>
          <w:rFonts w:ascii="Tahoma" w:hAnsi="Tahoma" w:cs="Tahoma"/>
        </w:rPr>
      </w:pPr>
    </w:p>
    <w:p w:rsidR="00EE05EB" w:rsidRDefault="00EE05EB" w:rsidP="00E45929">
      <w:pPr>
        <w:jc w:val="both"/>
        <w:rPr>
          <w:rFonts w:ascii="Tahoma" w:hAnsi="Tahoma" w:cs="Tahoma"/>
          <w:b/>
        </w:rPr>
      </w:pPr>
      <w:r>
        <w:rPr>
          <w:rFonts w:ascii="Tahoma" w:hAnsi="Tahoma" w:cs="Tahoma"/>
          <w:b/>
        </w:rPr>
        <w:t>Presenting Officer: Mr Michae</w:t>
      </w:r>
      <w:r w:rsidR="000705E8">
        <w:rPr>
          <w:rFonts w:ascii="Tahoma" w:hAnsi="Tahoma" w:cs="Tahoma"/>
          <w:b/>
        </w:rPr>
        <w:t>l Porter, Chief Finance Officer</w:t>
      </w:r>
    </w:p>
    <w:p w:rsidR="00EE05EB" w:rsidRDefault="00EE05EB" w:rsidP="00E45929">
      <w:pPr>
        <w:jc w:val="both"/>
        <w:rPr>
          <w:rFonts w:ascii="Tahoma" w:hAnsi="Tahoma" w:cs="Tahoma"/>
          <w:b/>
        </w:rPr>
      </w:pPr>
    </w:p>
    <w:p w:rsidR="00EE05EB" w:rsidRDefault="00EE05EB" w:rsidP="00E45929">
      <w:pPr>
        <w:jc w:val="both"/>
        <w:outlineLvl w:val="0"/>
        <w:rPr>
          <w:rFonts w:ascii="Tahoma" w:hAnsi="Tahoma" w:cs="Tahoma"/>
          <w:b/>
        </w:rPr>
      </w:pPr>
      <w:r>
        <w:rPr>
          <w:rFonts w:ascii="Tahoma" w:hAnsi="Tahoma" w:cs="Tahoma"/>
          <w:b/>
        </w:rPr>
        <w:t>Status: For information</w:t>
      </w:r>
    </w:p>
    <w:p w:rsidR="00EE05EB" w:rsidRDefault="00EE05EB" w:rsidP="00E45929">
      <w:pPr>
        <w:jc w:val="both"/>
        <w:rPr>
          <w:rFonts w:ascii="Tahoma" w:hAnsi="Tahoma" w:cs="Tahoma"/>
          <w:b/>
          <w:bCs/>
        </w:rPr>
      </w:pPr>
    </w:p>
    <w:p w:rsidR="00EE05EB" w:rsidRDefault="00EE05EB" w:rsidP="00E45929">
      <w:pPr>
        <w:jc w:val="both"/>
        <w:outlineLvl w:val="0"/>
        <w:rPr>
          <w:rFonts w:ascii="Tahoma" w:hAnsi="Tahoma" w:cs="Tahoma"/>
          <w:b/>
          <w:sz w:val="28"/>
          <w:szCs w:val="28"/>
        </w:rPr>
      </w:pPr>
      <w:r>
        <w:rPr>
          <w:rFonts w:ascii="Tahoma" w:hAnsi="Tahoma" w:cs="Tahoma"/>
          <w:b/>
          <w:sz w:val="28"/>
          <w:szCs w:val="28"/>
        </w:rPr>
        <w:t>Strategic Risk Register</w:t>
      </w:r>
    </w:p>
    <w:p w:rsidR="00EE05EB" w:rsidRDefault="00EE05EB" w:rsidP="00E45929">
      <w:pPr>
        <w:jc w:val="both"/>
        <w:rPr>
          <w:rFonts w:ascii="Tahoma" w:hAnsi="Tahoma" w:cs="Tahoma"/>
          <w:b/>
          <w:bCs/>
        </w:rPr>
      </w:pPr>
    </w:p>
    <w:p w:rsidR="00EE05EB" w:rsidRDefault="00EE05EB" w:rsidP="00E45929">
      <w:pPr>
        <w:jc w:val="both"/>
        <w:rPr>
          <w:rFonts w:ascii="Tahoma" w:hAnsi="Tahoma" w:cs="Tahoma"/>
          <w:b/>
          <w:bCs/>
        </w:rPr>
      </w:pPr>
    </w:p>
    <w:p w:rsidR="00EE05EB" w:rsidRDefault="00EE05EB" w:rsidP="00E45929">
      <w:pPr>
        <w:tabs>
          <w:tab w:val="left" w:pos="709"/>
        </w:tabs>
        <w:jc w:val="both"/>
        <w:outlineLvl w:val="0"/>
        <w:rPr>
          <w:rFonts w:ascii="Tahoma" w:hAnsi="Tahoma" w:cs="Tahoma"/>
          <w:b/>
        </w:rPr>
      </w:pPr>
      <w:r>
        <w:rPr>
          <w:rFonts w:ascii="Tahoma" w:hAnsi="Tahoma" w:cs="Tahoma"/>
          <w:b/>
        </w:rPr>
        <w:t>1.</w:t>
      </w:r>
      <w:r>
        <w:rPr>
          <w:rFonts w:ascii="Tahoma" w:hAnsi="Tahoma" w:cs="Tahoma"/>
          <w:b/>
        </w:rPr>
        <w:tab/>
        <w:t xml:space="preserve">Purpose </w:t>
      </w:r>
    </w:p>
    <w:p w:rsidR="00EE05EB" w:rsidRDefault="00EE05EB" w:rsidP="00E45929">
      <w:pPr>
        <w:tabs>
          <w:tab w:val="left" w:pos="567"/>
        </w:tabs>
        <w:jc w:val="both"/>
        <w:rPr>
          <w:rFonts w:ascii="Tahoma" w:hAnsi="Tahoma" w:cs="Tahoma"/>
        </w:rPr>
      </w:pPr>
    </w:p>
    <w:p w:rsidR="00EE05EB" w:rsidRDefault="00EE05EB" w:rsidP="00E45929">
      <w:pPr>
        <w:tabs>
          <w:tab w:val="left" w:pos="709"/>
        </w:tabs>
        <w:ind w:left="709" w:hanging="709"/>
        <w:jc w:val="both"/>
        <w:rPr>
          <w:rFonts w:ascii="Tahoma" w:hAnsi="Tahoma" w:cs="Tahoma"/>
          <w:iCs/>
        </w:rPr>
      </w:pPr>
      <w:r>
        <w:rPr>
          <w:rFonts w:ascii="Tahoma" w:hAnsi="Tahoma" w:cs="Tahoma"/>
        </w:rPr>
        <w:t>1.1</w:t>
      </w:r>
      <w:r>
        <w:rPr>
          <w:rFonts w:ascii="Tahoma" w:hAnsi="Tahoma" w:cs="Tahoma"/>
        </w:rPr>
        <w:tab/>
      </w:r>
      <w:r>
        <w:rPr>
          <w:rFonts w:ascii="Tahoma" w:hAnsi="Tahoma" w:cs="Tahoma"/>
          <w:iCs/>
        </w:rPr>
        <w:t>To provide Members with an update on the progress of the PCC’s</w:t>
      </w:r>
      <w:r>
        <w:rPr>
          <w:rFonts w:ascii="Tahoma" w:hAnsi="Tahoma" w:cs="Tahoma"/>
        </w:rPr>
        <w:t xml:space="preserve"> risk register</w:t>
      </w:r>
      <w:r>
        <w:rPr>
          <w:rFonts w:ascii="Tahoma" w:hAnsi="Tahoma" w:cs="Tahoma"/>
          <w:iCs/>
        </w:rPr>
        <w:t>.</w:t>
      </w:r>
    </w:p>
    <w:p w:rsidR="00EE05EB" w:rsidRDefault="00EE05EB" w:rsidP="00E45929">
      <w:pPr>
        <w:jc w:val="both"/>
        <w:rPr>
          <w:rFonts w:ascii="Tahoma" w:hAnsi="Tahoma" w:cs="Tahoma"/>
        </w:rPr>
      </w:pPr>
    </w:p>
    <w:p w:rsidR="00EE05EB" w:rsidRDefault="00EE05EB" w:rsidP="00E45929">
      <w:pPr>
        <w:jc w:val="both"/>
        <w:outlineLvl w:val="0"/>
        <w:rPr>
          <w:rFonts w:ascii="Tahoma" w:hAnsi="Tahoma" w:cs="Tahoma"/>
          <w:b/>
        </w:rPr>
      </w:pPr>
      <w:r>
        <w:rPr>
          <w:rFonts w:ascii="Tahoma" w:hAnsi="Tahoma" w:cs="Tahoma"/>
          <w:b/>
        </w:rPr>
        <w:t>2.</w:t>
      </w:r>
      <w:r>
        <w:rPr>
          <w:rFonts w:ascii="Tahoma" w:hAnsi="Tahoma" w:cs="Tahoma"/>
          <w:b/>
        </w:rPr>
        <w:tab/>
        <w:t>Recommendations</w:t>
      </w:r>
    </w:p>
    <w:p w:rsidR="00EE05EB" w:rsidRDefault="00EE05EB" w:rsidP="00E45929">
      <w:pPr>
        <w:jc w:val="both"/>
        <w:rPr>
          <w:rFonts w:ascii="Tahoma" w:hAnsi="Tahoma" w:cs="Tahoma"/>
        </w:rPr>
      </w:pPr>
    </w:p>
    <w:p w:rsidR="00EE05EB" w:rsidRDefault="00EE05EB" w:rsidP="00E45929">
      <w:pPr>
        <w:jc w:val="both"/>
        <w:rPr>
          <w:rFonts w:ascii="Tahoma" w:hAnsi="Tahoma" w:cs="Tahoma"/>
        </w:rPr>
      </w:pPr>
      <w:r>
        <w:rPr>
          <w:rFonts w:ascii="Tahoma" w:hAnsi="Tahoma" w:cs="Tahoma"/>
        </w:rPr>
        <w:t>2.1</w:t>
      </w:r>
      <w:r>
        <w:rPr>
          <w:rFonts w:ascii="Tahoma" w:hAnsi="Tahoma" w:cs="Tahoma"/>
        </w:rPr>
        <w:tab/>
        <w:t>That Members note the content of the report.</w:t>
      </w:r>
    </w:p>
    <w:p w:rsidR="00EE05EB" w:rsidRDefault="00EE05EB" w:rsidP="00E45929">
      <w:pPr>
        <w:jc w:val="both"/>
        <w:outlineLvl w:val="0"/>
        <w:rPr>
          <w:rFonts w:ascii="Tahoma" w:hAnsi="Tahoma" w:cs="Tahoma"/>
        </w:rPr>
      </w:pPr>
    </w:p>
    <w:p w:rsidR="00EE05EB" w:rsidRDefault="00EE05EB" w:rsidP="00E45929">
      <w:pPr>
        <w:jc w:val="both"/>
        <w:outlineLvl w:val="0"/>
        <w:rPr>
          <w:rFonts w:ascii="Tahoma" w:hAnsi="Tahoma" w:cs="Tahoma"/>
          <w:b/>
        </w:rPr>
      </w:pPr>
      <w:r>
        <w:rPr>
          <w:rFonts w:ascii="Tahoma" w:hAnsi="Tahoma" w:cs="Tahoma"/>
          <w:b/>
        </w:rPr>
        <w:t>3.</w:t>
      </w:r>
      <w:r>
        <w:rPr>
          <w:rFonts w:ascii="Tahoma" w:hAnsi="Tahoma" w:cs="Tahoma"/>
          <w:b/>
        </w:rPr>
        <w:tab/>
        <w:t>Background</w:t>
      </w:r>
    </w:p>
    <w:p w:rsidR="00EE05EB" w:rsidRDefault="00EE05EB" w:rsidP="00E45929">
      <w:pPr>
        <w:tabs>
          <w:tab w:val="left" w:pos="1843"/>
        </w:tabs>
        <w:jc w:val="both"/>
        <w:rPr>
          <w:rFonts w:ascii="Tahoma" w:hAnsi="Tahoma" w:cs="Tahoma"/>
        </w:rPr>
      </w:pPr>
    </w:p>
    <w:p w:rsidR="0057014F" w:rsidRDefault="00EE05EB" w:rsidP="00E45929">
      <w:pPr>
        <w:tabs>
          <w:tab w:val="left" w:pos="709"/>
        </w:tabs>
        <w:ind w:left="709" w:hanging="851"/>
        <w:jc w:val="both"/>
        <w:rPr>
          <w:rFonts w:ascii="Tahoma" w:hAnsi="Tahoma" w:cs="Tahoma"/>
        </w:rPr>
      </w:pPr>
      <w:r>
        <w:rPr>
          <w:rFonts w:ascii="Tahoma" w:hAnsi="Tahoma" w:cs="Tahoma"/>
        </w:rPr>
        <w:t xml:space="preserve"> 3.1</w:t>
      </w:r>
      <w:r>
        <w:rPr>
          <w:rFonts w:ascii="Tahoma" w:hAnsi="Tahoma" w:cs="Tahoma"/>
        </w:rPr>
        <w:tab/>
        <w:t xml:space="preserve">The PCC </w:t>
      </w:r>
      <w:r w:rsidR="00D20857">
        <w:rPr>
          <w:rFonts w:ascii="Tahoma" w:hAnsi="Tahoma" w:cs="Tahoma"/>
        </w:rPr>
        <w:t>continues to take</w:t>
      </w:r>
      <w:r>
        <w:rPr>
          <w:rFonts w:ascii="Tahoma" w:hAnsi="Tahoma" w:cs="Tahoma"/>
        </w:rPr>
        <w:t xml:space="preserve"> an integrated approach to embedding its risk register within the OPCC. The </w:t>
      </w:r>
      <w:r w:rsidR="00D20857">
        <w:rPr>
          <w:rFonts w:ascii="Tahoma" w:hAnsi="Tahoma" w:cs="Tahoma"/>
        </w:rPr>
        <w:t>Risk R</w:t>
      </w:r>
      <w:r>
        <w:rPr>
          <w:rFonts w:ascii="Tahoma" w:hAnsi="Tahoma" w:cs="Tahoma"/>
        </w:rPr>
        <w:t xml:space="preserve">egister </w:t>
      </w:r>
      <w:r w:rsidR="005E7EC7">
        <w:rPr>
          <w:rFonts w:ascii="Tahoma" w:hAnsi="Tahoma" w:cs="Tahoma"/>
        </w:rPr>
        <w:t>is managed on the</w:t>
      </w:r>
      <w:r w:rsidR="0057014F">
        <w:rPr>
          <w:rFonts w:ascii="Tahoma" w:hAnsi="Tahoma" w:cs="Tahoma"/>
        </w:rPr>
        <w:t xml:space="preserve"> </w:t>
      </w:r>
      <w:r w:rsidR="00D20857">
        <w:rPr>
          <w:rFonts w:ascii="Tahoma" w:hAnsi="Tahoma" w:cs="Tahoma"/>
        </w:rPr>
        <w:t>‘</w:t>
      </w:r>
      <w:bookmarkStart w:id="0" w:name="_Hlk101859304"/>
      <w:r w:rsidR="00710EA0">
        <w:rPr>
          <w:rFonts w:ascii="Tahoma" w:hAnsi="Tahoma" w:cs="Tahoma"/>
        </w:rPr>
        <w:t>Insight4GRC</w:t>
      </w:r>
      <w:r w:rsidR="00D20857">
        <w:rPr>
          <w:rFonts w:ascii="Tahoma" w:hAnsi="Tahoma" w:cs="Tahoma"/>
        </w:rPr>
        <w:t>’</w:t>
      </w:r>
      <w:r w:rsidR="0057014F">
        <w:rPr>
          <w:rFonts w:ascii="Tahoma" w:hAnsi="Tahoma" w:cs="Tahoma"/>
        </w:rPr>
        <w:t xml:space="preserve"> </w:t>
      </w:r>
      <w:bookmarkEnd w:id="0"/>
      <w:r w:rsidR="0057014F">
        <w:rPr>
          <w:rFonts w:ascii="Tahoma" w:hAnsi="Tahoma" w:cs="Tahoma"/>
        </w:rPr>
        <w:t xml:space="preserve">system </w:t>
      </w:r>
      <w:proofErr w:type="gramStart"/>
      <w:r w:rsidR="0057014F">
        <w:rPr>
          <w:rFonts w:ascii="Tahoma" w:hAnsi="Tahoma" w:cs="Tahoma"/>
        </w:rPr>
        <w:t>and also</w:t>
      </w:r>
      <w:proofErr w:type="gramEnd"/>
      <w:r w:rsidR="0057014F">
        <w:rPr>
          <w:rFonts w:ascii="Tahoma" w:hAnsi="Tahoma" w:cs="Tahoma"/>
        </w:rPr>
        <w:t xml:space="preserve"> </w:t>
      </w:r>
      <w:r w:rsidR="00710EA0">
        <w:rPr>
          <w:rFonts w:ascii="Tahoma" w:hAnsi="Tahoma" w:cs="Tahoma"/>
        </w:rPr>
        <w:t xml:space="preserve">continues to be reviewed in line with </w:t>
      </w:r>
      <w:r w:rsidR="0057014F">
        <w:rPr>
          <w:rFonts w:ascii="Tahoma" w:hAnsi="Tahoma" w:cs="Tahoma"/>
        </w:rPr>
        <w:t xml:space="preserve">the </w:t>
      </w:r>
      <w:r w:rsidR="00411E2D">
        <w:rPr>
          <w:rFonts w:ascii="Tahoma" w:hAnsi="Tahoma" w:cs="Tahoma"/>
        </w:rPr>
        <w:t xml:space="preserve">OPCC’s own </w:t>
      </w:r>
      <w:r w:rsidR="0057014F">
        <w:rPr>
          <w:rFonts w:ascii="Tahoma" w:hAnsi="Tahoma" w:cs="Tahoma"/>
        </w:rPr>
        <w:t>Risk Management Policy.</w:t>
      </w:r>
    </w:p>
    <w:p w:rsidR="00EE05EB" w:rsidRDefault="00EE05EB" w:rsidP="00E45929">
      <w:pPr>
        <w:tabs>
          <w:tab w:val="left" w:pos="1843"/>
        </w:tabs>
        <w:jc w:val="both"/>
        <w:rPr>
          <w:rFonts w:ascii="Tahoma" w:hAnsi="Tahoma" w:cs="Tahoma"/>
        </w:rPr>
      </w:pPr>
    </w:p>
    <w:p w:rsidR="00AD6A88" w:rsidRDefault="00EE05EB" w:rsidP="00E45929">
      <w:pPr>
        <w:tabs>
          <w:tab w:val="left" w:pos="709"/>
        </w:tabs>
        <w:ind w:left="709" w:hanging="709"/>
        <w:jc w:val="both"/>
        <w:rPr>
          <w:rFonts w:ascii="Tahoma" w:hAnsi="Tahoma" w:cs="Tahoma"/>
        </w:rPr>
      </w:pPr>
      <w:r>
        <w:rPr>
          <w:rFonts w:ascii="Tahoma" w:hAnsi="Tahoma" w:cs="Tahoma"/>
        </w:rPr>
        <w:t>3.2</w:t>
      </w:r>
      <w:r>
        <w:rPr>
          <w:rFonts w:ascii="Tahoma" w:hAnsi="Tahoma" w:cs="Tahoma"/>
        </w:rPr>
        <w:tab/>
        <w:t>The Risk Register is reviewed and reported on a half yearly rolling basis</w:t>
      </w:r>
      <w:r w:rsidR="0057014F">
        <w:rPr>
          <w:rFonts w:ascii="Tahoma" w:hAnsi="Tahoma" w:cs="Tahoma"/>
        </w:rPr>
        <w:t>.</w:t>
      </w:r>
      <w:r w:rsidR="009D4A94">
        <w:rPr>
          <w:rFonts w:ascii="Tahoma" w:hAnsi="Tahoma" w:cs="Tahoma"/>
        </w:rPr>
        <w:t xml:space="preserve">  </w:t>
      </w:r>
      <w:r>
        <w:rPr>
          <w:rFonts w:ascii="Tahoma" w:hAnsi="Tahoma" w:cs="Tahoma"/>
        </w:rPr>
        <w:t>The objective of the review is to update risk controls, scoring, and check progress against outstanding actions and to explore new or emerging risks.</w:t>
      </w:r>
    </w:p>
    <w:p w:rsidR="00AD6A88" w:rsidRDefault="00AD6A88" w:rsidP="00E45929">
      <w:pPr>
        <w:tabs>
          <w:tab w:val="left" w:pos="709"/>
        </w:tabs>
        <w:ind w:left="709"/>
        <w:jc w:val="both"/>
        <w:rPr>
          <w:rFonts w:ascii="Tahoma" w:hAnsi="Tahoma" w:cs="Tahoma"/>
        </w:rPr>
      </w:pPr>
    </w:p>
    <w:p w:rsidR="00DF101B" w:rsidRDefault="00DF101B" w:rsidP="00E45929">
      <w:pPr>
        <w:tabs>
          <w:tab w:val="left" w:pos="709"/>
        </w:tabs>
        <w:ind w:left="709"/>
        <w:jc w:val="both"/>
        <w:rPr>
          <w:rFonts w:ascii="Tahoma" w:hAnsi="Tahoma" w:cs="Tahoma"/>
        </w:rPr>
      </w:pPr>
    </w:p>
    <w:p w:rsidR="00DF101B" w:rsidRDefault="00DF101B" w:rsidP="00E45929">
      <w:pPr>
        <w:tabs>
          <w:tab w:val="left" w:pos="709"/>
        </w:tabs>
        <w:ind w:left="709"/>
        <w:jc w:val="both"/>
        <w:rPr>
          <w:rFonts w:ascii="Tahoma" w:hAnsi="Tahoma" w:cs="Tahoma"/>
        </w:rPr>
      </w:pPr>
    </w:p>
    <w:p w:rsidR="00DF101B" w:rsidRDefault="00DF101B" w:rsidP="00E45929">
      <w:pPr>
        <w:tabs>
          <w:tab w:val="left" w:pos="709"/>
        </w:tabs>
        <w:ind w:left="709"/>
        <w:jc w:val="both"/>
        <w:rPr>
          <w:rFonts w:ascii="Tahoma" w:hAnsi="Tahoma" w:cs="Tahoma"/>
        </w:rPr>
      </w:pPr>
    </w:p>
    <w:p w:rsidR="00DF101B" w:rsidRDefault="00DF101B" w:rsidP="00E45929">
      <w:pPr>
        <w:tabs>
          <w:tab w:val="left" w:pos="709"/>
        </w:tabs>
        <w:ind w:left="709"/>
        <w:jc w:val="both"/>
        <w:rPr>
          <w:rFonts w:ascii="Tahoma" w:hAnsi="Tahoma" w:cs="Tahoma"/>
        </w:rPr>
      </w:pPr>
    </w:p>
    <w:p w:rsidR="00C7559C" w:rsidRPr="00EE5A00" w:rsidRDefault="00EE05EB" w:rsidP="00E45929">
      <w:pPr>
        <w:numPr>
          <w:ilvl w:val="0"/>
          <w:numId w:val="1"/>
        </w:numPr>
        <w:tabs>
          <w:tab w:val="left" w:pos="567"/>
          <w:tab w:val="num" w:pos="1134"/>
        </w:tabs>
        <w:ind w:hanging="2591"/>
        <w:rPr>
          <w:rFonts w:ascii="Tahoma" w:hAnsi="Tahoma" w:cs="Tahoma"/>
          <w:b/>
        </w:rPr>
      </w:pPr>
      <w:r w:rsidRPr="00EE5A00">
        <w:rPr>
          <w:rFonts w:ascii="Tahoma" w:hAnsi="Tahoma" w:cs="Tahoma"/>
          <w:b/>
        </w:rPr>
        <w:t xml:space="preserve">Progress </w:t>
      </w:r>
      <w:r w:rsidR="001F7815" w:rsidRPr="00EE5A00">
        <w:rPr>
          <w:rFonts w:ascii="Tahoma" w:hAnsi="Tahoma" w:cs="Tahoma"/>
          <w:b/>
        </w:rPr>
        <w:t xml:space="preserve">and Changes </w:t>
      </w:r>
      <w:r w:rsidR="00147B9F" w:rsidRPr="00EE5A00">
        <w:rPr>
          <w:rFonts w:ascii="Tahoma" w:hAnsi="Tahoma" w:cs="Tahoma"/>
          <w:b/>
        </w:rPr>
        <w:t>since the last update</w:t>
      </w:r>
      <w:r w:rsidR="00C7559C" w:rsidRPr="00EE5A00">
        <w:rPr>
          <w:rFonts w:ascii="Tahoma" w:hAnsi="Tahoma" w:cs="Tahoma"/>
          <w:b/>
        </w:rPr>
        <w:br/>
      </w:r>
    </w:p>
    <w:p w:rsidR="00B95467" w:rsidRPr="00EE5A00" w:rsidRDefault="00B95467" w:rsidP="00E45929">
      <w:pPr>
        <w:pStyle w:val="ListParagraph"/>
        <w:numPr>
          <w:ilvl w:val="1"/>
          <w:numId w:val="4"/>
        </w:numPr>
        <w:tabs>
          <w:tab w:val="left" w:pos="567"/>
        </w:tabs>
        <w:ind w:left="567" w:hanging="567"/>
        <w:jc w:val="both"/>
        <w:rPr>
          <w:rFonts w:ascii="Tahoma" w:hAnsi="Tahoma" w:cs="Tahoma"/>
          <w:b/>
        </w:rPr>
      </w:pPr>
      <w:r w:rsidRPr="00EE5A00">
        <w:rPr>
          <w:rFonts w:ascii="Tahoma" w:hAnsi="Tahoma" w:cs="Tahoma"/>
        </w:rPr>
        <w:t>All Risk</w:t>
      </w:r>
      <w:r w:rsidR="00E45929" w:rsidRPr="00EE5A00">
        <w:rPr>
          <w:rFonts w:ascii="Tahoma" w:hAnsi="Tahoma" w:cs="Tahoma"/>
        </w:rPr>
        <w:t xml:space="preserve"> entries</w:t>
      </w:r>
      <w:r w:rsidRPr="00EE5A00">
        <w:rPr>
          <w:rFonts w:ascii="Tahoma" w:hAnsi="Tahoma" w:cs="Tahoma"/>
        </w:rPr>
        <w:t xml:space="preserve"> have been reviewed up to this report and </w:t>
      </w:r>
      <w:r w:rsidR="00D20857">
        <w:rPr>
          <w:rFonts w:ascii="Tahoma" w:hAnsi="Tahoma" w:cs="Tahoma"/>
        </w:rPr>
        <w:t xml:space="preserve">the associated </w:t>
      </w:r>
      <w:r w:rsidRPr="00EE5A00">
        <w:rPr>
          <w:rFonts w:ascii="Tahoma" w:hAnsi="Tahoma" w:cs="Tahoma"/>
        </w:rPr>
        <w:t>updates are provided in the attached Risk Register.</w:t>
      </w:r>
    </w:p>
    <w:p w:rsidR="00B95467" w:rsidRPr="005A0F84" w:rsidRDefault="00B95467" w:rsidP="00E45929">
      <w:pPr>
        <w:tabs>
          <w:tab w:val="left" w:pos="567"/>
        </w:tabs>
        <w:jc w:val="both"/>
        <w:rPr>
          <w:rFonts w:ascii="Tahoma" w:hAnsi="Tahoma" w:cs="Tahoma"/>
          <w:b/>
        </w:rPr>
      </w:pPr>
    </w:p>
    <w:p w:rsidR="00347D2F" w:rsidRPr="00EE5A00" w:rsidRDefault="00347D2F" w:rsidP="00347D2F">
      <w:pPr>
        <w:pStyle w:val="ListParagraph"/>
        <w:numPr>
          <w:ilvl w:val="1"/>
          <w:numId w:val="4"/>
        </w:numPr>
        <w:tabs>
          <w:tab w:val="left" w:pos="567"/>
        </w:tabs>
        <w:ind w:left="567" w:hanging="567"/>
        <w:jc w:val="both"/>
        <w:rPr>
          <w:rFonts w:ascii="Tahoma" w:hAnsi="Tahoma" w:cs="Tahoma"/>
          <w:b/>
        </w:rPr>
      </w:pPr>
      <w:r w:rsidRPr="00EE5A00">
        <w:rPr>
          <w:rFonts w:ascii="Tahoma" w:hAnsi="Tahoma" w:cs="Tahoma"/>
        </w:rPr>
        <w:t xml:space="preserve">Following feedback from the internal auditors, each risk area </w:t>
      </w:r>
      <w:r w:rsidR="00D20857">
        <w:rPr>
          <w:rFonts w:ascii="Tahoma" w:hAnsi="Tahoma" w:cs="Tahoma"/>
        </w:rPr>
        <w:t>continues to</w:t>
      </w:r>
      <w:r w:rsidRPr="00EE5A00">
        <w:rPr>
          <w:rFonts w:ascii="Tahoma" w:hAnsi="Tahoma" w:cs="Tahoma"/>
        </w:rPr>
        <w:t xml:space="preserve"> include additional narrative on assurance records</w:t>
      </w:r>
      <w:r w:rsidR="00D20857">
        <w:rPr>
          <w:rFonts w:ascii="Tahoma" w:hAnsi="Tahoma" w:cs="Tahoma"/>
        </w:rPr>
        <w:t>;</w:t>
      </w:r>
      <w:r w:rsidRPr="00EE5A00">
        <w:rPr>
          <w:rFonts w:ascii="Tahoma" w:hAnsi="Tahoma" w:cs="Tahoma"/>
        </w:rPr>
        <w:t xml:space="preserve"> </w:t>
      </w:r>
      <w:r>
        <w:rPr>
          <w:rFonts w:ascii="Tahoma" w:hAnsi="Tahoma" w:cs="Tahoma"/>
        </w:rPr>
        <w:t>and demonstrable evidence of these assurances taking place</w:t>
      </w:r>
      <w:r w:rsidR="00D20857">
        <w:rPr>
          <w:rFonts w:ascii="Tahoma" w:hAnsi="Tahoma" w:cs="Tahoma"/>
        </w:rPr>
        <w:t xml:space="preserve"> are embedded within</w:t>
      </w:r>
      <w:r w:rsidR="00D20857" w:rsidRPr="00D20857">
        <w:t xml:space="preserve"> </w:t>
      </w:r>
      <w:r w:rsidR="00D20857">
        <w:t>‘</w:t>
      </w:r>
      <w:r w:rsidR="00D20857" w:rsidRPr="00D20857">
        <w:rPr>
          <w:rFonts w:ascii="Tahoma" w:hAnsi="Tahoma" w:cs="Tahoma"/>
        </w:rPr>
        <w:t>Insight4GRC’</w:t>
      </w:r>
      <w:r w:rsidR="00D20857">
        <w:rPr>
          <w:rFonts w:ascii="Tahoma" w:hAnsi="Tahoma" w:cs="Tahoma"/>
        </w:rPr>
        <w:t>.</w:t>
      </w:r>
    </w:p>
    <w:p w:rsidR="00347D2F" w:rsidRPr="00347D2F" w:rsidRDefault="00347D2F" w:rsidP="00347D2F">
      <w:pPr>
        <w:pStyle w:val="ListParagraph"/>
        <w:tabs>
          <w:tab w:val="left" w:pos="567"/>
        </w:tabs>
        <w:ind w:left="567"/>
        <w:jc w:val="both"/>
        <w:rPr>
          <w:rFonts w:ascii="Tahoma" w:hAnsi="Tahoma" w:cs="Tahoma"/>
          <w:b/>
        </w:rPr>
      </w:pPr>
    </w:p>
    <w:p w:rsidR="00C82C1D" w:rsidRPr="00C82C1D" w:rsidRDefault="000D43C9" w:rsidP="00E45929">
      <w:pPr>
        <w:pStyle w:val="ListParagraph"/>
        <w:numPr>
          <w:ilvl w:val="1"/>
          <w:numId w:val="4"/>
        </w:numPr>
        <w:tabs>
          <w:tab w:val="left" w:pos="567"/>
        </w:tabs>
        <w:ind w:left="567" w:hanging="567"/>
        <w:jc w:val="both"/>
        <w:rPr>
          <w:rFonts w:ascii="Tahoma" w:hAnsi="Tahoma" w:cs="Tahoma"/>
          <w:b/>
        </w:rPr>
      </w:pPr>
      <w:r>
        <w:rPr>
          <w:rFonts w:ascii="Tahoma" w:hAnsi="Tahoma" w:cs="Tahoma"/>
        </w:rPr>
        <w:t xml:space="preserve">The Residual Risk for Risk 1478 (Financial Planning) has increased since the last update of the Risk Register seen by Members. The increase reflects that the organisation currently only has a balanced financial plan for 2 years (whereas previously it was 4 years). In addition to </w:t>
      </w:r>
      <w:r w:rsidR="00C82C1D">
        <w:rPr>
          <w:rFonts w:ascii="Tahoma" w:hAnsi="Tahoma" w:cs="Tahoma"/>
        </w:rPr>
        <w:t>these, significant levels</w:t>
      </w:r>
      <w:r>
        <w:rPr>
          <w:rFonts w:ascii="Tahoma" w:hAnsi="Tahoma" w:cs="Tahoma"/>
        </w:rPr>
        <w:t xml:space="preserve"> of both pay inflation and non-pay inflation </w:t>
      </w:r>
      <w:r w:rsidR="00C82C1D">
        <w:rPr>
          <w:rFonts w:ascii="Tahoma" w:hAnsi="Tahoma" w:cs="Tahoma"/>
        </w:rPr>
        <w:t>are likely to create additional challenges to the financial plans of the organisation.</w:t>
      </w:r>
    </w:p>
    <w:p w:rsidR="004E737E" w:rsidRPr="00AA1FC8" w:rsidRDefault="004E737E" w:rsidP="00E45929">
      <w:pPr>
        <w:tabs>
          <w:tab w:val="left" w:pos="567"/>
        </w:tabs>
        <w:jc w:val="both"/>
        <w:rPr>
          <w:rFonts w:ascii="Tahoma" w:hAnsi="Tahoma" w:cs="Tahoma"/>
          <w:b/>
          <w:highlight w:val="yellow"/>
        </w:rPr>
      </w:pPr>
    </w:p>
    <w:p w:rsidR="002F337B" w:rsidRPr="002F337B" w:rsidRDefault="000F46A0" w:rsidP="002F337B">
      <w:pPr>
        <w:pStyle w:val="ListParagraph"/>
        <w:numPr>
          <w:ilvl w:val="1"/>
          <w:numId w:val="4"/>
        </w:numPr>
        <w:tabs>
          <w:tab w:val="left" w:pos="567"/>
        </w:tabs>
        <w:ind w:left="567" w:hanging="567"/>
        <w:jc w:val="both"/>
        <w:rPr>
          <w:rFonts w:ascii="Tahoma" w:hAnsi="Tahoma" w:cs="Tahoma"/>
          <w:b/>
        </w:rPr>
      </w:pPr>
      <w:r w:rsidRPr="002F337B">
        <w:rPr>
          <w:rFonts w:ascii="Tahoma" w:hAnsi="Tahoma" w:cs="Tahoma"/>
        </w:rPr>
        <w:t>Risk</w:t>
      </w:r>
      <w:r w:rsidR="002B00CC" w:rsidRPr="002F337B">
        <w:rPr>
          <w:rFonts w:ascii="Tahoma" w:hAnsi="Tahoma" w:cs="Tahoma"/>
        </w:rPr>
        <w:t xml:space="preserve"> </w:t>
      </w:r>
      <w:r w:rsidRPr="002F337B">
        <w:rPr>
          <w:rFonts w:ascii="Tahoma" w:hAnsi="Tahoma" w:cs="Tahoma"/>
        </w:rPr>
        <w:t>1716</w:t>
      </w:r>
      <w:r w:rsidR="002F337B" w:rsidRPr="002F337B">
        <w:rPr>
          <w:rFonts w:ascii="Tahoma" w:hAnsi="Tahoma" w:cs="Tahoma"/>
        </w:rPr>
        <w:t xml:space="preserve"> remains </w:t>
      </w:r>
      <w:r w:rsidR="002F337B">
        <w:rPr>
          <w:rFonts w:ascii="Tahoma" w:hAnsi="Tahoma" w:cs="Tahoma"/>
        </w:rPr>
        <w:t xml:space="preserve">open, </w:t>
      </w:r>
      <w:r w:rsidR="002F337B" w:rsidRPr="002F337B">
        <w:rPr>
          <w:rFonts w:ascii="Tahoma" w:hAnsi="Tahoma" w:cs="Tahoma"/>
        </w:rPr>
        <w:t xml:space="preserve">as whilst the PCC has successfully appointed a </w:t>
      </w:r>
      <w:r w:rsidRPr="002F337B">
        <w:rPr>
          <w:rFonts w:ascii="Tahoma" w:hAnsi="Tahoma" w:cs="Tahoma"/>
        </w:rPr>
        <w:t>new Chief Constabl</w:t>
      </w:r>
      <w:r w:rsidR="002F337B" w:rsidRPr="002F337B">
        <w:rPr>
          <w:rFonts w:ascii="Tahoma" w:hAnsi="Tahoma" w:cs="Tahoma"/>
        </w:rPr>
        <w:t xml:space="preserve">e, further reassurance is required on the </w:t>
      </w:r>
      <w:r w:rsidR="002F337B">
        <w:rPr>
          <w:rFonts w:ascii="Tahoma" w:hAnsi="Tahoma" w:cs="Tahoma"/>
        </w:rPr>
        <w:t xml:space="preserve">stability of </w:t>
      </w:r>
      <w:r w:rsidR="00C82C1D">
        <w:rPr>
          <w:rFonts w:ascii="Tahoma" w:hAnsi="Tahoma" w:cs="Tahoma"/>
        </w:rPr>
        <w:t xml:space="preserve">the </w:t>
      </w:r>
      <w:r w:rsidR="002F337B" w:rsidRPr="002F337B">
        <w:rPr>
          <w:rFonts w:ascii="Tahoma" w:hAnsi="Tahoma" w:cs="Tahoma"/>
        </w:rPr>
        <w:t>wider Chief Officer Team</w:t>
      </w:r>
      <w:r w:rsidR="00FD0EEA">
        <w:rPr>
          <w:rFonts w:ascii="Tahoma" w:hAnsi="Tahoma" w:cs="Tahoma"/>
        </w:rPr>
        <w:t>, with recruitment processes to appoint a Deputy Chief Constable still ongoing</w:t>
      </w:r>
      <w:r w:rsidR="002F337B" w:rsidRPr="002F337B">
        <w:rPr>
          <w:rFonts w:ascii="Tahoma" w:hAnsi="Tahoma" w:cs="Tahoma"/>
        </w:rPr>
        <w:t xml:space="preserve">. </w:t>
      </w:r>
    </w:p>
    <w:p w:rsidR="002F337B" w:rsidRPr="002F337B" w:rsidRDefault="002F337B" w:rsidP="002F337B">
      <w:pPr>
        <w:pStyle w:val="ListParagraph"/>
        <w:rPr>
          <w:rFonts w:ascii="Tahoma" w:hAnsi="Tahoma" w:cs="Tahoma"/>
          <w:bCs/>
        </w:rPr>
      </w:pPr>
    </w:p>
    <w:p w:rsidR="002F337B" w:rsidRPr="002F337B" w:rsidRDefault="002F337B" w:rsidP="002F337B">
      <w:pPr>
        <w:pStyle w:val="ListParagraph"/>
        <w:numPr>
          <w:ilvl w:val="1"/>
          <w:numId w:val="4"/>
        </w:numPr>
        <w:tabs>
          <w:tab w:val="left" w:pos="567"/>
        </w:tabs>
        <w:ind w:left="567" w:hanging="567"/>
        <w:jc w:val="both"/>
        <w:rPr>
          <w:rFonts w:ascii="Tahoma" w:hAnsi="Tahoma" w:cs="Tahoma"/>
          <w:b/>
        </w:rPr>
      </w:pPr>
      <w:r w:rsidRPr="002F337B">
        <w:rPr>
          <w:rFonts w:ascii="Tahoma" w:hAnsi="Tahoma" w:cs="Tahoma"/>
          <w:bCs/>
        </w:rPr>
        <w:t xml:space="preserve">Risk references 1472, 1485 and 1486 will all be subject to </w:t>
      </w:r>
      <w:r w:rsidR="00261127" w:rsidRPr="002F337B">
        <w:rPr>
          <w:rFonts w:ascii="Tahoma" w:hAnsi="Tahoma" w:cs="Tahoma"/>
          <w:bCs/>
        </w:rPr>
        <w:t>examination</w:t>
      </w:r>
      <w:r w:rsidRPr="002F337B">
        <w:rPr>
          <w:rFonts w:ascii="Tahoma" w:hAnsi="Tahoma" w:cs="Tahoma"/>
          <w:bCs/>
        </w:rPr>
        <w:t xml:space="preserve"> </w:t>
      </w:r>
      <w:r w:rsidR="00261127">
        <w:rPr>
          <w:rFonts w:ascii="Tahoma" w:hAnsi="Tahoma" w:cs="Tahoma"/>
          <w:bCs/>
        </w:rPr>
        <w:t xml:space="preserve">by the OPCC </w:t>
      </w:r>
      <w:r w:rsidRPr="002F337B">
        <w:rPr>
          <w:rFonts w:ascii="Tahoma" w:hAnsi="Tahoma" w:cs="Tahoma"/>
          <w:bCs/>
        </w:rPr>
        <w:t>over the coming months</w:t>
      </w:r>
      <w:r w:rsidR="00261127">
        <w:rPr>
          <w:rFonts w:ascii="Tahoma" w:hAnsi="Tahoma" w:cs="Tahoma"/>
          <w:bCs/>
        </w:rPr>
        <w:t>,</w:t>
      </w:r>
      <w:r w:rsidRPr="002F337B">
        <w:rPr>
          <w:rFonts w:ascii="Tahoma" w:hAnsi="Tahoma" w:cs="Tahoma"/>
          <w:bCs/>
        </w:rPr>
        <w:t xml:space="preserve"> to ensure that the Governance structures in place are </w:t>
      </w:r>
      <w:r w:rsidR="00261127">
        <w:rPr>
          <w:rFonts w:ascii="Tahoma" w:hAnsi="Tahoma" w:cs="Tahoma"/>
          <w:bCs/>
        </w:rPr>
        <w:t xml:space="preserve">documented and that the Police and Crime Plan objectives fully drive the Chief Constable’s forward plan. </w:t>
      </w:r>
    </w:p>
    <w:p w:rsidR="002F337B" w:rsidRPr="002F337B" w:rsidRDefault="002F337B" w:rsidP="002F337B">
      <w:pPr>
        <w:pStyle w:val="ListParagraph"/>
        <w:tabs>
          <w:tab w:val="left" w:pos="567"/>
        </w:tabs>
        <w:ind w:left="360"/>
        <w:jc w:val="both"/>
        <w:rPr>
          <w:rFonts w:ascii="Tahoma" w:hAnsi="Tahoma" w:cs="Tahoma"/>
          <w:b/>
        </w:rPr>
      </w:pPr>
    </w:p>
    <w:p w:rsidR="00B95467" w:rsidRPr="0076792A" w:rsidRDefault="00261127" w:rsidP="00E45929">
      <w:pPr>
        <w:pStyle w:val="ListParagraph"/>
        <w:numPr>
          <w:ilvl w:val="1"/>
          <w:numId w:val="4"/>
        </w:numPr>
        <w:tabs>
          <w:tab w:val="left" w:pos="567"/>
        </w:tabs>
        <w:ind w:left="567" w:hanging="567"/>
        <w:jc w:val="both"/>
        <w:rPr>
          <w:rFonts w:ascii="Tahoma" w:hAnsi="Tahoma" w:cs="Tahoma"/>
          <w:b/>
        </w:rPr>
      </w:pPr>
      <w:r w:rsidRPr="0076792A">
        <w:rPr>
          <w:rFonts w:ascii="Tahoma" w:hAnsi="Tahoma" w:cs="Tahoma"/>
        </w:rPr>
        <w:t xml:space="preserve">The Model 3 complaints services has been rolled out </w:t>
      </w:r>
      <w:r w:rsidR="00C82C1D">
        <w:rPr>
          <w:rFonts w:ascii="Tahoma" w:hAnsi="Tahoma" w:cs="Tahoma"/>
        </w:rPr>
        <w:t xml:space="preserve">by </w:t>
      </w:r>
      <w:r w:rsidRPr="0076792A">
        <w:rPr>
          <w:rFonts w:ascii="Tahoma" w:hAnsi="Tahoma" w:cs="Tahoma"/>
        </w:rPr>
        <w:t>the OPCC</w:t>
      </w:r>
      <w:r w:rsidR="00C82C1D">
        <w:rPr>
          <w:rFonts w:ascii="Tahoma" w:hAnsi="Tahoma" w:cs="Tahoma"/>
        </w:rPr>
        <w:t>. Significant progress has been made to mitigate the risks set out as part of the process of taking on this new are</w:t>
      </w:r>
      <w:r w:rsidR="009C142D">
        <w:rPr>
          <w:rFonts w:ascii="Tahoma" w:hAnsi="Tahoma" w:cs="Tahoma"/>
        </w:rPr>
        <w:t xml:space="preserve">a and work is on-going to address the remaining risks too. A review of this area will be undertaken to ensure </w:t>
      </w:r>
      <w:r w:rsidRPr="0076792A">
        <w:rPr>
          <w:rFonts w:ascii="Tahoma" w:hAnsi="Tahoma" w:cs="Tahoma"/>
        </w:rPr>
        <w:t xml:space="preserve">that this team are </w:t>
      </w:r>
      <w:r w:rsidR="00B33A90" w:rsidRPr="0076792A">
        <w:rPr>
          <w:rFonts w:ascii="Tahoma" w:hAnsi="Tahoma" w:cs="Tahoma"/>
        </w:rPr>
        <w:t>embedded and</w:t>
      </w:r>
      <w:r w:rsidRPr="0076792A">
        <w:rPr>
          <w:rFonts w:ascii="Tahoma" w:hAnsi="Tahoma" w:cs="Tahoma"/>
        </w:rPr>
        <w:t xml:space="preserve"> delivering successfully as planned. </w:t>
      </w:r>
      <w:r w:rsidR="009C142D">
        <w:rPr>
          <w:rFonts w:ascii="Tahoma" w:hAnsi="Tahoma" w:cs="Tahoma"/>
        </w:rPr>
        <w:t xml:space="preserve">A </w:t>
      </w:r>
      <w:r w:rsidR="0076792A" w:rsidRPr="0076792A">
        <w:rPr>
          <w:rFonts w:ascii="Tahoma" w:hAnsi="Tahoma" w:cs="Tahoma"/>
        </w:rPr>
        <w:t>recruitment</w:t>
      </w:r>
      <w:r w:rsidR="009C142D">
        <w:rPr>
          <w:rFonts w:ascii="Tahoma" w:hAnsi="Tahoma" w:cs="Tahoma"/>
        </w:rPr>
        <w:t xml:space="preserve"> process has recently concluded to fill all roles within the team after a couple of recent leavers.</w:t>
      </w:r>
      <w:r w:rsidR="0076792A" w:rsidRPr="0076792A">
        <w:rPr>
          <w:rFonts w:ascii="Tahoma" w:hAnsi="Tahoma" w:cs="Tahoma"/>
        </w:rPr>
        <w:t xml:space="preserve"> </w:t>
      </w:r>
    </w:p>
    <w:p w:rsidR="00B95467" w:rsidRDefault="00B95467"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Default="009C142D" w:rsidP="00E45929">
      <w:pPr>
        <w:pStyle w:val="ListParagraph"/>
        <w:tabs>
          <w:tab w:val="left" w:pos="567"/>
        </w:tabs>
        <w:ind w:left="567"/>
        <w:jc w:val="both"/>
        <w:rPr>
          <w:rFonts w:ascii="Tahoma" w:hAnsi="Tahoma" w:cs="Tahoma"/>
          <w:b/>
        </w:rPr>
      </w:pPr>
    </w:p>
    <w:p w:rsidR="009C142D" w:rsidRPr="00C24FAD" w:rsidRDefault="009C142D" w:rsidP="00E45929">
      <w:pPr>
        <w:pStyle w:val="ListParagraph"/>
        <w:tabs>
          <w:tab w:val="left" w:pos="567"/>
        </w:tabs>
        <w:ind w:left="567"/>
        <w:jc w:val="both"/>
        <w:rPr>
          <w:rFonts w:ascii="Tahoma" w:hAnsi="Tahoma" w:cs="Tahoma"/>
          <w:b/>
        </w:rPr>
      </w:pPr>
    </w:p>
    <w:p w:rsidR="008D1022" w:rsidRPr="00C24FAD" w:rsidRDefault="002E7B36" w:rsidP="00E45929">
      <w:pPr>
        <w:pStyle w:val="ListParagraph"/>
        <w:numPr>
          <w:ilvl w:val="1"/>
          <w:numId w:val="4"/>
        </w:numPr>
        <w:tabs>
          <w:tab w:val="left" w:pos="567"/>
        </w:tabs>
        <w:ind w:left="567" w:hanging="567"/>
        <w:jc w:val="both"/>
        <w:rPr>
          <w:rFonts w:ascii="Tahoma" w:hAnsi="Tahoma" w:cs="Tahoma"/>
          <w:b/>
        </w:rPr>
      </w:pPr>
      <w:r w:rsidRPr="00C24FAD">
        <w:rPr>
          <w:rFonts w:ascii="Tahoma" w:hAnsi="Tahoma" w:cs="Tahoma"/>
        </w:rPr>
        <w:t>A</w:t>
      </w:r>
      <w:r w:rsidR="00DA097C" w:rsidRPr="00C24FAD">
        <w:rPr>
          <w:rFonts w:ascii="Tahoma" w:hAnsi="Tahoma" w:cs="Tahoma"/>
        </w:rPr>
        <w:t xml:space="preserve"> Heatmap</w:t>
      </w:r>
      <w:r w:rsidRPr="00C24FAD">
        <w:rPr>
          <w:rFonts w:ascii="Tahoma" w:hAnsi="Tahoma" w:cs="Tahoma"/>
        </w:rPr>
        <w:t xml:space="preserve"> overview of all current ‘open’ risks on the PCC’s Risk Register, based on </w:t>
      </w:r>
      <w:r w:rsidR="00D57949" w:rsidRPr="00C24FAD">
        <w:rPr>
          <w:rFonts w:ascii="Tahoma" w:hAnsi="Tahoma" w:cs="Tahoma"/>
        </w:rPr>
        <w:t>Inherent</w:t>
      </w:r>
      <w:r w:rsidRPr="00C24FAD">
        <w:rPr>
          <w:rFonts w:ascii="Tahoma" w:hAnsi="Tahoma" w:cs="Tahoma"/>
        </w:rPr>
        <w:t xml:space="preserve"> Risk is shown in the table below:</w:t>
      </w:r>
      <w:r w:rsidR="008D1022" w:rsidRPr="00C24FAD">
        <w:rPr>
          <w:rFonts w:ascii="Tahoma" w:hAnsi="Tahoma" w:cs="Tahoma"/>
          <w:b/>
          <w:vanish/>
        </w:rPr>
        <w:t>Inherent Risk Priority (I x L)</w:t>
      </w:r>
      <w:r w:rsidR="002D631A" w:rsidRPr="00C24FAD">
        <w:rPr>
          <w:rFonts w:ascii="Tahoma" w:hAnsi="Tahoma" w:cs="Tahoma"/>
          <w:b/>
        </w:rPr>
        <w:t xml:space="preserve"> </w:t>
      </w:r>
    </w:p>
    <w:p w:rsidR="008D1022" w:rsidRPr="008D1022" w:rsidRDefault="008D1022" w:rsidP="00E45929">
      <w:pPr>
        <w:numPr>
          <w:ilvl w:val="0"/>
          <w:numId w:val="6"/>
        </w:numPr>
        <w:tabs>
          <w:tab w:val="left" w:pos="567"/>
        </w:tabs>
        <w:jc w:val="both"/>
        <w:rPr>
          <w:rFonts w:ascii="Tahoma" w:hAnsi="Tahoma" w:cs="Tahoma"/>
          <w:b/>
          <w:vanish/>
        </w:rPr>
      </w:pPr>
      <w:r w:rsidRPr="008D1022">
        <w:rPr>
          <w:rFonts w:ascii="Tahoma" w:hAnsi="Tahoma" w:cs="Tahoma"/>
          <w:b/>
          <w:vanish/>
        </w:rPr>
        <w:t>Residual Risk Priority (I x L)</w:t>
      </w:r>
    </w:p>
    <w:p w:rsidR="00E76687" w:rsidRPr="00DA097C" w:rsidRDefault="008D1022" w:rsidP="00DA097C">
      <w:pPr>
        <w:tabs>
          <w:tab w:val="left" w:pos="567"/>
        </w:tabs>
        <w:ind w:left="720"/>
        <w:jc w:val="both"/>
        <w:rPr>
          <w:rFonts w:ascii="Tahoma" w:hAnsi="Tahoma" w:cs="Tahoma"/>
          <w:b/>
        </w:rPr>
      </w:pPr>
      <w:r w:rsidRPr="00DA097C">
        <w:rPr>
          <w:rFonts w:ascii="Tahoma" w:hAnsi="Tahoma" w:cs="Tahoma"/>
          <w:b/>
        </w:rPr>
        <w:object w:dxaOrig="1440" w:dyaOrig="1440" w14:anchorId="1F5D12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12" o:title=""/>
          </v:shape>
          <w:control r:id="rId13" w:name="HTMLHidden1" w:shapeid="_x0000_i1028"/>
        </w:object>
      </w:r>
    </w:p>
    <w:p w:rsidR="00E76687" w:rsidRDefault="00E76687" w:rsidP="00E45929">
      <w:pPr>
        <w:tabs>
          <w:tab w:val="left" w:pos="567"/>
        </w:tabs>
        <w:jc w:val="both"/>
        <w:rPr>
          <w:rFonts w:ascii="Tahoma" w:hAnsi="Tahoma" w:cs="Tahoma"/>
          <w:b/>
        </w:rPr>
      </w:pPr>
      <w:r w:rsidRPr="00E76687">
        <w:rPr>
          <w:rFonts w:ascii="Tahoma" w:hAnsi="Tahoma" w:cs="Tahoma"/>
          <w:b/>
        </w:rPr>
        <w:t>Inherent Risk Priority (I x L)</w:t>
      </w:r>
    </w:p>
    <w:p w:rsidR="00454A61" w:rsidRDefault="00454A61" w:rsidP="00E45929">
      <w:pPr>
        <w:tabs>
          <w:tab w:val="left" w:pos="567"/>
        </w:tabs>
        <w:jc w:val="both"/>
        <w:rPr>
          <w:rFonts w:ascii="Tahoma" w:hAnsi="Tahoma" w:cs="Tahoma"/>
          <w:b/>
        </w:rPr>
      </w:pPr>
    </w:p>
    <w:tbl>
      <w:tblPr>
        <w:tblW w:w="3067" w:type="pct"/>
        <w:jc w:val="center"/>
        <w:tblCellSpacing w:w="15" w:type="dxa"/>
        <w:shd w:val="clear" w:color="auto" w:fill="444444"/>
        <w:tblCellMar>
          <w:left w:w="0" w:type="dxa"/>
          <w:right w:w="0" w:type="dxa"/>
        </w:tblCellMar>
        <w:tblLook w:val="04A0" w:firstRow="1" w:lastRow="0" w:firstColumn="1" w:lastColumn="0" w:noHBand="0" w:noVBand="1"/>
      </w:tblPr>
      <w:tblGrid>
        <w:gridCol w:w="1210"/>
        <w:gridCol w:w="1186"/>
        <w:gridCol w:w="1186"/>
        <w:gridCol w:w="1186"/>
        <w:gridCol w:w="846"/>
        <w:gridCol w:w="917"/>
      </w:tblGrid>
      <w:tr w:rsidR="00454A61" w:rsidRPr="00454A61" w:rsidTr="009C142D">
        <w:trPr>
          <w:trHeight w:val="328"/>
          <w:tblCellSpacing w:w="15" w:type="dxa"/>
          <w:jc w:val="center"/>
        </w:trPr>
        <w:tc>
          <w:tcPr>
            <w:tcW w:w="784"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5 - Catastrophic</w:t>
            </w:r>
          </w:p>
        </w:tc>
        <w:tc>
          <w:tcPr>
            <w:tcW w:w="781"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(5)</w:t>
            </w:r>
          </w:p>
        </w:tc>
        <w:tc>
          <w:tcPr>
            <w:tcW w:w="784" w:type="pct"/>
            <w:tcBorders>
              <w:top w:val="single" w:sz="6" w:space="0" w:color="CCCCCC"/>
              <w:left w:val="single" w:sz="6" w:space="0" w:color="CCCCCC"/>
              <w:bottom w:val="single" w:sz="6" w:space="0" w:color="CCCCCC"/>
              <w:right w:val="single" w:sz="6" w:space="0" w:color="CCCCCC"/>
            </w:tcBorders>
            <w:shd w:val="clear" w:color="auto" w:fill="FF99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(10)</w:t>
            </w:r>
          </w:p>
        </w:tc>
        <w:tc>
          <w:tcPr>
            <w:tcW w:w="832"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(15)</w:t>
            </w:r>
          </w:p>
        </w:tc>
        <w:tc>
          <w:tcPr>
            <w:tcW w:w="793"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(20)</w:t>
            </w:r>
          </w:p>
        </w:tc>
        <w:tc>
          <w:tcPr>
            <w:tcW w:w="83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tcPr>
          <w:p w:rsidR="00454A61" w:rsidRDefault="00B33A90" w:rsidP="00454A61">
            <w:pPr>
              <w:tabs>
                <w:tab w:val="left" w:pos="567"/>
              </w:tabs>
              <w:jc w:val="both"/>
              <w:rPr>
                <w:rFonts w:ascii="Tahoma" w:hAnsi="Tahoma" w:cs="Tahoma"/>
                <w:sz w:val="18"/>
                <w:szCs w:val="18"/>
              </w:rPr>
            </w:pPr>
            <w:r>
              <w:rPr>
                <w:rFonts w:ascii="Tahoma" w:hAnsi="Tahoma" w:cs="Tahoma"/>
                <w:sz w:val="18"/>
                <w:szCs w:val="18"/>
              </w:rPr>
              <w:t>Primary (25)</w:t>
            </w:r>
          </w:p>
          <w:p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2</w:t>
            </w:r>
          </w:p>
        </w:tc>
      </w:tr>
      <w:tr w:rsidR="00454A61" w:rsidRPr="00454A61" w:rsidTr="009C142D">
        <w:trPr>
          <w:trHeight w:val="328"/>
          <w:tblCellSpacing w:w="15" w:type="dxa"/>
          <w:jc w:val="center"/>
        </w:trPr>
        <w:tc>
          <w:tcPr>
            <w:tcW w:w="784"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4 - Significant</w:t>
            </w:r>
          </w:p>
        </w:tc>
        <w:tc>
          <w:tcPr>
            <w:tcW w:w="781"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(4)</w:t>
            </w:r>
          </w:p>
        </w:tc>
        <w:tc>
          <w:tcPr>
            <w:tcW w:w="784"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(8)</w:t>
            </w:r>
          </w:p>
        </w:tc>
        <w:tc>
          <w:tcPr>
            <w:tcW w:w="832"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(12)</w:t>
            </w:r>
          </w:p>
        </w:tc>
        <w:tc>
          <w:tcPr>
            <w:tcW w:w="793"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tcPr>
          <w:p w:rsidR="00454A61" w:rsidRDefault="00B33A90" w:rsidP="00454A61">
            <w:pPr>
              <w:tabs>
                <w:tab w:val="left" w:pos="567"/>
              </w:tabs>
              <w:jc w:val="both"/>
              <w:rPr>
                <w:rFonts w:ascii="Tahoma" w:hAnsi="Tahoma" w:cs="Tahoma"/>
                <w:sz w:val="18"/>
                <w:szCs w:val="18"/>
              </w:rPr>
            </w:pPr>
            <w:r>
              <w:rPr>
                <w:rFonts w:ascii="Tahoma" w:hAnsi="Tahoma" w:cs="Tahoma"/>
                <w:sz w:val="18"/>
                <w:szCs w:val="18"/>
              </w:rPr>
              <w:t>Primary (16)</w:t>
            </w:r>
          </w:p>
          <w:p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3</w:t>
            </w:r>
          </w:p>
        </w:tc>
        <w:tc>
          <w:tcPr>
            <w:tcW w:w="83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tcPr>
          <w:p w:rsidR="00454A61" w:rsidRDefault="00B33A90" w:rsidP="00454A61">
            <w:pPr>
              <w:tabs>
                <w:tab w:val="left" w:pos="567"/>
              </w:tabs>
              <w:jc w:val="both"/>
              <w:rPr>
                <w:rFonts w:ascii="Tahoma" w:hAnsi="Tahoma" w:cs="Tahoma"/>
                <w:sz w:val="18"/>
                <w:szCs w:val="18"/>
              </w:rPr>
            </w:pPr>
            <w:r>
              <w:rPr>
                <w:rFonts w:ascii="Tahoma" w:hAnsi="Tahoma" w:cs="Tahoma"/>
                <w:sz w:val="18"/>
                <w:szCs w:val="18"/>
              </w:rPr>
              <w:t>Primary (20)</w:t>
            </w:r>
          </w:p>
          <w:p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3</w:t>
            </w:r>
          </w:p>
        </w:tc>
      </w:tr>
      <w:tr w:rsidR="00454A61" w:rsidRPr="00454A61" w:rsidTr="009C142D">
        <w:trPr>
          <w:trHeight w:val="328"/>
          <w:tblCellSpacing w:w="15" w:type="dxa"/>
          <w:jc w:val="center"/>
        </w:trPr>
        <w:tc>
          <w:tcPr>
            <w:tcW w:w="784"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3 - Moderate</w:t>
            </w:r>
          </w:p>
        </w:tc>
        <w:tc>
          <w:tcPr>
            <w:tcW w:w="781"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(3)</w:t>
            </w:r>
          </w:p>
        </w:tc>
        <w:tc>
          <w:tcPr>
            <w:tcW w:w="784"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(6)</w:t>
            </w:r>
          </w:p>
        </w:tc>
        <w:tc>
          <w:tcPr>
            <w:tcW w:w="832"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tcPr>
          <w:p w:rsidR="00454A61" w:rsidRDefault="00B33A90" w:rsidP="00454A61">
            <w:pPr>
              <w:tabs>
                <w:tab w:val="left" w:pos="567"/>
              </w:tabs>
              <w:jc w:val="both"/>
              <w:rPr>
                <w:rFonts w:ascii="Tahoma" w:hAnsi="Tahoma" w:cs="Tahoma"/>
                <w:sz w:val="18"/>
                <w:szCs w:val="18"/>
              </w:rPr>
            </w:pPr>
            <w:r>
              <w:rPr>
                <w:rFonts w:ascii="Tahoma" w:hAnsi="Tahoma" w:cs="Tahoma"/>
                <w:sz w:val="18"/>
                <w:szCs w:val="18"/>
              </w:rPr>
              <w:t>Contingency (9)</w:t>
            </w:r>
          </w:p>
          <w:p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color w:val="000000" w:themeColor="text1"/>
                <w:sz w:val="22"/>
                <w:szCs w:val="22"/>
                <w:u w:val="single"/>
              </w:rPr>
              <w:t>1</w:t>
            </w:r>
          </w:p>
        </w:tc>
        <w:tc>
          <w:tcPr>
            <w:tcW w:w="793"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(12)</w:t>
            </w:r>
          </w:p>
        </w:tc>
        <w:tc>
          <w:tcPr>
            <w:tcW w:w="83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(15)</w:t>
            </w:r>
          </w:p>
        </w:tc>
      </w:tr>
      <w:tr w:rsidR="00454A61" w:rsidRPr="00454A61" w:rsidTr="009C142D">
        <w:trPr>
          <w:trHeight w:val="328"/>
          <w:tblCellSpacing w:w="15" w:type="dxa"/>
          <w:jc w:val="center"/>
        </w:trPr>
        <w:tc>
          <w:tcPr>
            <w:tcW w:w="784"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2 - Minor</w:t>
            </w:r>
          </w:p>
        </w:tc>
        <w:tc>
          <w:tcPr>
            <w:tcW w:w="781"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(2)</w:t>
            </w:r>
          </w:p>
        </w:tc>
        <w:tc>
          <w:tcPr>
            <w:tcW w:w="784"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454A61" w:rsidRPr="00C24FAD" w:rsidRDefault="00454A61" w:rsidP="009C142D">
            <w:pPr>
              <w:tabs>
                <w:tab w:val="left" w:pos="567"/>
              </w:tabs>
              <w:rPr>
                <w:rFonts w:ascii="Tahoma" w:hAnsi="Tahoma" w:cs="Tahoma"/>
                <w:sz w:val="18"/>
                <w:szCs w:val="18"/>
              </w:rPr>
            </w:pPr>
            <w:r w:rsidRPr="00C24FAD">
              <w:rPr>
                <w:rFonts w:ascii="Tahoma" w:hAnsi="Tahoma" w:cs="Tahoma"/>
                <w:sz w:val="18"/>
                <w:szCs w:val="18"/>
              </w:rPr>
              <w:t>Low (4)</w:t>
            </w:r>
          </w:p>
        </w:tc>
        <w:tc>
          <w:tcPr>
            <w:tcW w:w="832"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(6)</w:t>
            </w:r>
          </w:p>
        </w:tc>
        <w:tc>
          <w:tcPr>
            <w:tcW w:w="793"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(8)</w:t>
            </w:r>
          </w:p>
        </w:tc>
        <w:tc>
          <w:tcPr>
            <w:tcW w:w="836"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(10)</w:t>
            </w:r>
          </w:p>
        </w:tc>
      </w:tr>
      <w:tr w:rsidR="00454A61" w:rsidRPr="00454A61" w:rsidTr="009C142D">
        <w:trPr>
          <w:trHeight w:val="328"/>
          <w:tblCellSpacing w:w="15" w:type="dxa"/>
          <w:jc w:val="center"/>
        </w:trPr>
        <w:tc>
          <w:tcPr>
            <w:tcW w:w="784"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1 - Insignificant</w:t>
            </w:r>
          </w:p>
        </w:tc>
        <w:tc>
          <w:tcPr>
            <w:tcW w:w="781"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(1)</w:t>
            </w:r>
          </w:p>
        </w:tc>
        <w:tc>
          <w:tcPr>
            <w:tcW w:w="784"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(2)</w:t>
            </w:r>
          </w:p>
        </w:tc>
        <w:tc>
          <w:tcPr>
            <w:tcW w:w="832"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(3)</w:t>
            </w:r>
          </w:p>
        </w:tc>
        <w:tc>
          <w:tcPr>
            <w:tcW w:w="793"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(4)</w:t>
            </w:r>
          </w:p>
        </w:tc>
        <w:tc>
          <w:tcPr>
            <w:tcW w:w="836"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(5)</w:t>
            </w:r>
          </w:p>
        </w:tc>
      </w:tr>
      <w:tr w:rsidR="00454A61" w:rsidRPr="00454A61" w:rsidTr="009C142D">
        <w:trPr>
          <w:trHeight w:val="328"/>
          <w:tblCellSpacing w:w="15" w:type="dxa"/>
          <w:jc w:val="center"/>
        </w:trPr>
        <w:tc>
          <w:tcPr>
            <w:tcW w:w="784" w:type="pct"/>
            <w:tcBorders>
              <w:top w:val="nil"/>
              <w:left w:val="nil"/>
              <w:bottom w:val="nil"/>
              <w:right w:val="nil"/>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 </w:t>
            </w:r>
          </w:p>
        </w:tc>
        <w:tc>
          <w:tcPr>
            <w:tcW w:w="781"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1 - Negligible</w:t>
            </w:r>
          </w:p>
        </w:tc>
        <w:tc>
          <w:tcPr>
            <w:tcW w:w="784"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2 - Rare</w:t>
            </w:r>
          </w:p>
        </w:tc>
        <w:tc>
          <w:tcPr>
            <w:tcW w:w="832"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3 - Unlikely</w:t>
            </w:r>
          </w:p>
        </w:tc>
        <w:tc>
          <w:tcPr>
            <w:tcW w:w="793"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4 - Possible</w:t>
            </w:r>
          </w:p>
        </w:tc>
        <w:tc>
          <w:tcPr>
            <w:tcW w:w="836"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5 - Probable</w:t>
            </w:r>
          </w:p>
        </w:tc>
      </w:tr>
    </w:tbl>
    <w:p w:rsidR="00454A61" w:rsidRDefault="00454A61" w:rsidP="00E45929">
      <w:pPr>
        <w:tabs>
          <w:tab w:val="left" w:pos="567"/>
        </w:tabs>
        <w:jc w:val="both"/>
        <w:rPr>
          <w:rFonts w:ascii="Tahoma" w:hAnsi="Tahoma" w:cs="Tahoma"/>
          <w:b/>
        </w:rPr>
      </w:pPr>
    </w:p>
    <w:p w:rsidR="00AE7BA5" w:rsidRPr="00AE7BA5" w:rsidRDefault="00AE7BA5" w:rsidP="00E45929">
      <w:pPr>
        <w:numPr>
          <w:ilvl w:val="0"/>
          <w:numId w:val="17"/>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t>Inherent Risk Priority (I x L)</w:t>
      </w:r>
    </w:p>
    <w:p w:rsidR="00AE7BA5" w:rsidRPr="00AE7BA5" w:rsidRDefault="00AE7BA5" w:rsidP="00E45929">
      <w:pPr>
        <w:numPr>
          <w:ilvl w:val="0"/>
          <w:numId w:val="17"/>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t>Residual Risk Priority (I x L)</w:t>
      </w:r>
    </w:p>
    <w:p w:rsidR="00AE7BA5" w:rsidRPr="00AE7BA5" w:rsidRDefault="00AE7BA5" w:rsidP="00E45929">
      <w:pPr>
        <w:numPr>
          <w:ilvl w:val="0"/>
          <w:numId w:val="17"/>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t>Target Risk Priority</w:t>
      </w:r>
    </w:p>
    <w:p w:rsidR="00261127" w:rsidRPr="00E76687" w:rsidRDefault="00261127" w:rsidP="00E45929">
      <w:pPr>
        <w:tabs>
          <w:tab w:val="left" w:pos="567"/>
        </w:tabs>
        <w:jc w:val="both"/>
        <w:rPr>
          <w:rFonts w:ascii="Tahoma" w:hAnsi="Tahoma" w:cs="Tahoma"/>
          <w:b/>
        </w:rPr>
      </w:pPr>
    </w:p>
    <w:p w:rsidR="00E76687" w:rsidRPr="00E76687" w:rsidRDefault="00E76687" w:rsidP="00E45929">
      <w:pPr>
        <w:numPr>
          <w:ilvl w:val="0"/>
          <w:numId w:val="16"/>
        </w:numPr>
        <w:tabs>
          <w:tab w:val="left" w:pos="567"/>
        </w:tabs>
        <w:jc w:val="both"/>
        <w:rPr>
          <w:rFonts w:ascii="Tahoma" w:hAnsi="Tahoma" w:cs="Tahoma"/>
          <w:b/>
          <w:vanish/>
        </w:rPr>
      </w:pPr>
      <w:r w:rsidRPr="00E76687">
        <w:rPr>
          <w:rFonts w:ascii="Tahoma" w:hAnsi="Tahoma" w:cs="Tahoma"/>
          <w:b/>
          <w:vanish/>
        </w:rPr>
        <w:t>Inherent Risk Priority (I x L)</w:t>
      </w:r>
    </w:p>
    <w:p w:rsidR="00E76687" w:rsidRPr="00E76687" w:rsidRDefault="00E76687" w:rsidP="00E45929">
      <w:pPr>
        <w:numPr>
          <w:ilvl w:val="0"/>
          <w:numId w:val="16"/>
        </w:numPr>
        <w:tabs>
          <w:tab w:val="left" w:pos="567"/>
        </w:tabs>
        <w:jc w:val="both"/>
        <w:rPr>
          <w:rFonts w:ascii="Tahoma" w:hAnsi="Tahoma" w:cs="Tahoma"/>
          <w:b/>
          <w:vanish/>
        </w:rPr>
      </w:pPr>
      <w:r w:rsidRPr="00E76687">
        <w:rPr>
          <w:rFonts w:ascii="Tahoma" w:hAnsi="Tahoma" w:cs="Tahoma"/>
          <w:b/>
          <w:vanish/>
        </w:rPr>
        <w:t>Residual Risk Priority (I x L)</w:t>
      </w:r>
    </w:p>
    <w:p w:rsidR="00E76687" w:rsidRPr="00E76687" w:rsidRDefault="00E76687" w:rsidP="00E45929">
      <w:pPr>
        <w:numPr>
          <w:ilvl w:val="0"/>
          <w:numId w:val="16"/>
        </w:numPr>
        <w:tabs>
          <w:tab w:val="left" w:pos="567"/>
        </w:tabs>
        <w:jc w:val="both"/>
        <w:rPr>
          <w:rFonts w:ascii="Tahoma" w:hAnsi="Tahoma" w:cs="Tahoma"/>
          <w:b/>
          <w:vanish/>
        </w:rPr>
      </w:pPr>
      <w:r w:rsidRPr="00E76687">
        <w:rPr>
          <w:rFonts w:ascii="Tahoma" w:hAnsi="Tahoma" w:cs="Tahoma"/>
          <w:b/>
          <w:vanish/>
        </w:rPr>
        <w:t>Target Risk Priority</w:t>
      </w:r>
    </w:p>
    <w:p w:rsidR="00C810BC" w:rsidRDefault="00D57949" w:rsidP="00E45929">
      <w:pPr>
        <w:pStyle w:val="ListParagraph"/>
        <w:numPr>
          <w:ilvl w:val="1"/>
          <w:numId w:val="4"/>
        </w:numPr>
        <w:tabs>
          <w:tab w:val="left" w:pos="567"/>
        </w:tabs>
        <w:ind w:left="567" w:hanging="567"/>
        <w:jc w:val="both"/>
        <w:rPr>
          <w:rFonts w:ascii="Tahoma" w:hAnsi="Tahoma" w:cs="Tahoma"/>
        </w:rPr>
      </w:pPr>
      <w:r w:rsidRPr="00D57949">
        <w:rPr>
          <w:rFonts w:ascii="Tahoma" w:hAnsi="Tahoma" w:cs="Tahoma"/>
        </w:rPr>
        <w:t>With the following table showing the Residual Risks</w:t>
      </w:r>
      <w:r>
        <w:rPr>
          <w:rFonts w:ascii="Tahoma" w:hAnsi="Tahoma" w:cs="Tahoma"/>
        </w:rPr>
        <w:t>:</w:t>
      </w:r>
    </w:p>
    <w:p w:rsidR="00454A61" w:rsidRDefault="00454A61" w:rsidP="00454A61">
      <w:pPr>
        <w:tabs>
          <w:tab w:val="left" w:pos="567"/>
        </w:tabs>
        <w:jc w:val="both"/>
        <w:rPr>
          <w:rFonts w:ascii="Tahoma" w:hAnsi="Tahoma" w:cs="Tahoma"/>
        </w:rPr>
      </w:pPr>
    </w:p>
    <w:tbl>
      <w:tblPr>
        <w:tblW w:w="3619" w:type="pct"/>
        <w:jc w:val="center"/>
        <w:tblCellSpacing w:w="15" w:type="dxa"/>
        <w:shd w:val="clear" w:color="auto" w:fill="444444"/>
        <w:tblCellMar>
          <w:left w:w="0" w:type="dxa"/>
          <w:right w:w="0" w:type="dxa"/>
        </w:tblCellMar>
        <w:tblLook w:val="04A0" w:firstRow="1" w:lastRow="0" w:firstColumn="1" w:lastColumn="0" w:noHBand="0" w:noVBand="1"/>
      </w:tblPr>
      <w:tblGrid>
        <w:gridCol w:w="1210"/>
        <w:gridCol w:w="1186"/>
        <w:gridCol w:w="1186"/>
        <w:gridCol w:w="1186"/>
        <w:gridCol w:w="846"/>
        <w:gridCol w:w="917"/>
      </w:tblGrid>
      <w:tr w:rsidR="00C24FAD" w:rsidRPr="00454A61" w:rsidTr="009C142D">
        <w:trPr>
          <w:trHeight w:val="241"/>
          <w:tblCellSpacing w:w="15" w:type="dxa"/>
          <w:jc w:val="center"/>
        </w:trPr>
        <w:tc>
          <w:tcPr>
            <w:tcW w:w="757"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5 - Catastrophic</w:t>
            </w:r>
          </w:p>
        </w:tc>
        <w:tc>
          <w:tcPr>
            <w:tcW w:w="761"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(5)</w:t>
            </w:r>
          </w:p>
        </w:tc>
        <w:tc>
          <w:tcPr>
            <w:tcW w:w="803"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(10)</w:t>
            </w:r>
          </w:p>
        </w:tc>
        <w:tc>
          <w:tcPr>
            <w:tcW w:w="852"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Default="00B33A90" w:rsidP="00454A61">
            <w:pPr>
              <w:tabs>
                <w:tab w:val="left" w:pos="567"/>
              </w:tabs>
              <w:jc w:val="both"/>
              <w:rPr>
                <w:rFonts w:ascii="Tahoma" w:hAnsi="Tahoma" w:cs="Tahoma"/>
                <w:sz w:val="18"/>
                <w:szCs w:val="18"/>
              </w:rPr>
            </w:pPr>
            <w:r>
              <w:rPr>
                <w:rFonts w:ascii="Tahoma" w:hAnsi="Tahoma" w:cs="Tahoma"/>
                <w:sz w:val="18"/>
                <w:szCs w:val="18"/>
              </w:rPr>
              <w:t>Primary (15)</w:t>
            </w:r>
          </w:p>
          <w:p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2</w:t>
            </w:r>
          </w:p>
        </w:tc>
        <w:tc>
          <w:tcPr>
            <w:tcW w:w="810" w:type="pct"/>
            <w:tcBorders>
              <w:top w:val="single" w:sz="6" w:space="0" w:color="CCCCCC"/>
              <w:left w:val="single" w:sz="6" w:space="0" w:color="CCCCCC"/>
              <w:bottom w:val="single" w:sz="6" w:space="0" w:color="CCCCCC"/>
              <w:right w:val="single" w:sz="6" w:space="0" w:color="CCCCCC"/>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(20)</w:t>
            </w:r>
          </w:p>
        </w:tc>
        <w:tc>
          <w:tcPr>
            <w:tcW w:w="85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(25)</w:t>
            </w:r>
          </w:p>
        </w:tc>
      </w:tr>
      <w:tr w:rsidR="00C24FAD" w:rsidRPr="00454A61" w:rsidTr="009C142D">
        <w:trPr>
          <w:trHeight w:val="241"/>
          <w:tblCellSpacing w:w="15" w:type="dxa"/>
          <w:jc w:val="center"/>
        </w:trPr>
        <w:tc>
          <w:tcPr>
            <w:tcW w:w="757"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4 - Significant</w:t>
            </w:r>
          </w:p>
        </w:tc>
        <w:tc>
          <w:tcPr>
            <w:tcW w:w="761"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(4)</w:t>
            </w:r>
          </w:p>
        </w:tc>
        <w:tc>
          <w:tcPr>
            <w:tcW w:w="803"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454A61" w:rsidRDefault="00B33A90" w:rsidP="00454A61">
            <w:pPr>
              <w:tabs>
                <w:tab w:val="left" w:pos="567"/>
              </w:tabs>
              <w:jc w:val="both"/>
              <w:rPr>
                <w:rFonts w:ascii="Tahoma" w:hAnsi="Tahoma" w:cs="Tahoma"/>
                <w:sz w:val="18"/>
                <w:szCs w:val="18"/>
              </w:rPr>
            </w:pPr>
            <w:r>
              <w:rPr>
                <w:rFonts w:ascii="Tahoma" w:hAnsi="Tahoma" w:cs="Tahoma"/>
                <w:sz w:val="18"/>
                <w:szCs w:val="18"/>
              </w:rPr>
              <w:t>Contingency (8)</w:t>
            </w:r>
          </w:p>
          <w:p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4</w:t>
            </w:r>
          </w:p>
        </w:tc>
        <w:tc>
          <w:tcPr>
            <w:tcW w:w="852"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Default="00B33A90" w:rsidP="00454A61">
            <w:pPr>
              <w:tabs>
                <w:tab w:val="left" w:pos="567"/>
              </w:tabs>
              <w:jc w:val="both"/>
              <w:rPr>
                <w:rFonts w:ascii="Tahoma" w:hAnsi="Tahoma" w:cs="Tahoma"/>
                <w:sz w:val="18"/>
                <w:szCs w:val="18"/>
              </w:rPr>
            </w:pPr>
            <w:r>
              <w:rPr>
                <w:rFonts w:ascii="Tahoma" w:hAnsi="Tahoma" w:cs="Tahoma"/>
                <w:sz w:val="18"/>
                <w:szCs w:val="18"/>
              </w:rPr>
              <w:t>Primary (12)</w:t>
            </w:r>
          </w:p>
          <w:p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1</w:t>
            </w:r>
          </w:p>
        </w:tc>
        <w:tc>
          <w:tcPr>
            <w:tcW w:w="810"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(16)</w:t>
            </w:r>
          </w:p>
        </w:tc>
        <w:tc>
          <w:tcPr>
            <w:tcW w:w="85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(20)</w:t>
            </w:r>
          </w:p>
        </w:tc>
      </w:tr>
      <w:tr w:rsidR="00C24FAD" w:rsidRPr="00454A61" w:rsidTr="009C142D">
        <w:trPr>
          <w:trHeight w:val="241"/>
          <w:tblCellSpacing w:w="15" w:type="dxa"/>
          <w:jc w:val="center"/>
        </w:trPr>
        <w:tc>
          <w:tcPr>
            <w:tcW w:w="757"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3 - Moderate</w:t>
            </w:r>
          </w:p>
        </w:tc>
        <w:tc>
          <w:tcPr>
            <w:tcW w:w="761"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(3)</w:t>
            </w:r>
          </w:p>
        </w:tc>
        <w:tc>
          <w:tcPr>
            <w:tcW w:w="803"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(6)</w:t>
            </w:r>
          </w:p>
        </w:tc>
        <w:tc>
          <w:tcPr>
            <w:tcW w:w="852" w:type="pct"/>
            <w:tcBorders>
              <w:top w:val="single" w:sz="6" w:space="0" w:color="999999"/>
              <w:left w:val="single" w:sz="6" w:space="0" w:color="999999"/>
              <w:bottom w:val="single" w:sz="6" w:space="0" w:color="999999"/>
              <w:right w:val="single" w:sz="6" w:space="0" w:color="999999"/>
            </w:tcBorders>
            <w:shd w:val="clear" w:color="auto" w:fill="FF9900"/>
            <w:tcMar>
              <w:top w:w="75" w:type="dxa"/>
              <w:left w:w="75" w:type="dxa"/>
              <w:bottom w:w="75" w:type="dxa"/>
              <w:right w:w="75" w:type="dxa"/>
            </w:tcMar>
            <w:vAlign w:val="center"/>
            <w:hideMark/>
          </w:tcPr>
          <w:p w:rsidR="00454A61" w:rsidRDefault="00454A61" w:rsidP="00454A61">
            <w:pPr>
              <w:tabs>
                <w:tab w:val="left" w:pos="567"/>
              </w:tabs>
              <w:jc w:val="both"/>
              <w:rPr>
                <w:rFonts w:ascii="Tahoma" w:hAnsi="Tahoma" w:cs="Tahoma"/>
                <w:sz w:val="18"/>
                <w:szCs w:val="18"/>
              </w:rPr>
            </w:pPr>
            <w:r w:rsidRPr="00C24FAD">
              <w:rPr>
                <w:rFonts w:ascii="Tahoma" w:hAnsi="Tahoma" w:cs="Tahoma"/>
                <w:sz w:val="18"/>
                <w:szCs w:val="18"/>
              </w:rPr>
              <w:t>Contingency (9)</w:t>
            </w:r>
          </w:p>
          <w:p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1</w:t>
            </w:r>
          </w:p>
        </w:tc>
        <w:tc>
          <w:tcPr>
            <w:tcW w:w="810"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(12)</w:t>
            </w:r>
          </w:p>
        </w:tc>
        <w:tc>
          <w:tcPr>
            <w:tcW w:w="856" w:type="pct"/>
            <w:tcBorders>
              <w:top w:val="single" w:sz="6" w:space="0" w:color="999999"/>
              <w:left w:val="single" w:sz="6" w:space="0" w:color="999999"/>
              <w:bottom w:val="single" w:sz="6" w:space="0" w:color="999999"/>
              <w:right w:val="single" w:sz="6" w:space="0" w:color="999999"/>
            </w:tcBorders>
            <w:shd w:val="clear" w:color="auto" w:fill="FF00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Primary (15)</w:t>
            </w:r>
          </w:p>
        </w:tc>
      </w:tr>
      <w:tr w:rsidR="00C24FAD" w:rsidRPr="00454A61" w:rsidTr="009C142D">
        <w:trPr>
          <w:trHeight w:val="241"/>
          <w:tblCellSpacing w:w="15" w:type="dxa"/>
          <w:jc w:val="center"/>
        </w:trPr>
        <w:tc>
          <w:tcPr>
            <w:tcW w:w="757"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2 - Minor</w:t>
            </w:r>
          </w:p>
        </w:tc>
        <w:tc>
          <w:tcPr>
            <w:tcW w:w="761"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(2)</w:t>
            </w:r>
          </w:p>
        </w:tc>
        <w:tc>
          <w:tcPr>
            <w:tcW w:w="803"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454A61" w:rsidRDefault="00B33A90" w:rsidP="00454A61">
            <w:pPr>
              <w:tabs>
                <w:tab w:val="left" w:pos="567"/>
              </w:tabs>
              <w:jc w:val="both"/>
              <w:rPr>
                <w:rFonts w:ascii="Tahoma" w:hAnsi="Tahoma" w:cs="Tahoma"/>
                <w:sz w:val="18"/>
                <w:szCs w:val="18"/>
              </w:rPr>
            </w:pPr>
            <w:r>
              <w:rPr>
                <w:rFonts w:ascii="Tahoma" w:hAnsi="Tahoma" w:cs="Tahoma"/>
                <w:sz w:val="18"/>
                <w:szCs w:val="18"/>
              </w:rPr>
              <w:t>Low (4)</w:t>
            </w:r>
          </w:p>
          <w:p w:rsidR="00B33A90" w:rsidRPr="00B33A90" w:rsidRDefault="00B33A90" w:rsidP="00B33A90">
            <w:pPr>
              <w:tabs>
                <w:tab w:val="left" w:pos="567"/>
              </w:tabs>
              <w:jc w:val="center"/>
              <w:rPr>
                <w:rFonts w:ascii="Tahoma" w:hAnsi="Tahoma" w:cs="Tahoma"/>
                <w:b/>
                <w:bCs/>
                <w:sz w:val="18"/>
                <w:szCs w:val="18"/>
                <w:u w:val="single"/>
              </w:rPr>
            </w:pPr>
            <w:r w:rsidRPr="00B33A90">
              <w:rPr>
                <w:rFonts w:ascii="Tahoma" w:hAnsi="Tahoma" w:cs="Tahoma"/>
                <w:b/>
                <w:bCs/>
                <w:sz w:val="22"/>
                <w:szCs w:val="22"/>
                <w:u w:val="single"/>
              </w:rPr>
              <w:t>1</w:t>
            </w:r>
          </w:p>
        </w:tc>
        <w:tc>
          <w:tcPr>
            <w:tcW w:w="852"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(6)</w:t>
            </w:r>
          </w:p>
        </w:tc>
        <w:tc>
          <w:tcPr>
            <w:tcW w:w="810"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(8)</w:t>
            </w:r>
          </w:p>
        </w:tc>
        <w:tc>
          <w:tcPr>
            <w:tcW w:w="856"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(10)</w:t>
            </w:r>
          </w:p>
        </w:tc>
      </w:tr>
      <w:tr w:rsidR="00C24FAD" w:rsidRPr="00454A61" w:rsidTr="009C142D">
        <w:trPr>
          <w:trHeight w:val="241"/>
          <w:tblCellSpacing w:w="15" w:type="dxa"/>
          <w:jc w:val="center"/>
        </w:trPr>
        <w:tc>
          <w:tcPr>
            <w:tcW w:w="757"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1 - Insignificant</w:t>
            </w:r>
          </w:p>
        </w:tc>
        <w:tc>
          <w:tcPr>
            <w:tcW w:w="761"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(1)</w:t>
            </w:r>
          </w:p>
        </w:tc>
        <w:tc>
          <w:tcPr>
            <w:tcW w:w="803" w:type="pct"/>
            <w:tcBorders>
              <w:top w:val="single" w:sz="6" w:space="0" w:color="999999"/>
              <w:left w:val="single" w:sz="6" w:space="0" w:color="999999"/>
              <w:bottom w:val="single" w:sz="6" w:space="0" w:color="999999"/>
              <w:right w:val="single" w:sz="6" w:space="0" w:color="999999"/>
            </w:tcBorders>
            <w:shd w:val="clear" w:color="auto" w:fill="66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Low (2)</w:t>
            </w:r>
          </w:p>
        </w:tc>
        <w:tc>
          <w:tcPr>
            <w:tcW w:w="852"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(3)</w:t>
            </w:r>
          </w:p>
        </w:tc>
        <w:tc>
          <w:tcPr>
            <w:tcW w:w="810"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(4)</w:t>
            </w:r>
          </w:p>
        </w:tc>
        <w:tc>
          <w:tcPr>
            <w:tcW w:w="856" w:type="pct"/>
            <w:tcBorders>
              <w:top w:val="single" w:sz="6" w:space="0" w:color="999999"/>
              <w:left w:val="single" w:sz="6" w:space="0" w:color="999999"/>
              <w:bottom w:val="single" w:sz="6" w:space="0" w:color="999999"/>
              <w:right w:val="single" w:sz="6" w:space="0" w:color="999999"/>
            </w:tcBorders>
            <w:shd w:val="clear" w:color="auto" w:fill="FFFF00"/>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House Keeping (5)</w:t>
            </w:r>
          </w:p>
        </w:tc>
      </w:tr>
      <w:tr w:rsidR="00C24FAD" w:rsidRPr="00454A61" w:rsidTr="009C142D">
        <w:trPr>
          <w:trHeight w:val="241"/>
          <w:tblCellSpacing w:w="15" w:type="dxa"/>
          <w:jc w:val="center"/>
        </w:trPr>
        <w:tc>
          <w:tcPr>
            <w:tcW w:w="757" w:type="pct"/>
            <w:tcBorders>
              <w:top w:val="nil"/>
              <w:left w:val="nil"/>
              <w:bottom w:val="nil"/>
              <w:right w:val="nil"/>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 </w:t>
            </w:r>
          </w:p>
        </w:tc>
        <w:tc>
          <w:tcPr>
            <w:tcW w:w="761"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1 - Negligible</w:t>
            </w:r>
          </w:p>
        </w:tc>
        <w:tc>
          <w:tcPr>
            <w:tcW w:w="803"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2 - Rare</w:t>
            </w:r>
          </w:p>
        </w:tc>
        <w:tc>
          <w:tcPr>
            <w:tcW w:w="852"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3 - Unlikely</w:t>
            </w:r>
          </w:p>
        </w:tc>
        <w:tc>
          <w:tcPr>
            <w:tcW w:w="810"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4 - Possible</w:t>
            </w:r>
          </w:p>
        </w:tc>
        <w:tc>
          <w:tcPr>
            <w:tcW w:w="856" w:type="pct"/>
            <w:tcBorders>
              <w:top w:val="single" w:sz="6" w:space="0" w:color="999999"/>
              <w:left w:val="single" w:sz="6" w:space="0" w:color="999999"/>
              <w:bottom w:val="single" w:sz="6" w:space="0" w:color="999999"/>
              <w:right w:val="single" w:sz="6" w:space="0" w:color="999999"/>
            </w:tcBorders>
            <w:shd w:val="clear" w:color="auto" w:fill="auto"/>
            <w:tcMar>
              <w:top w:w="75" w:type="dxa"/>
              <w:left w:w="75" w:type="dxa"/>
              <w:bottom w:w="75" w:type="dxa"/>
              <w:right w:w="75" w:type="dxa"/>
            </w:tcMar>
            <w:vAlign w:val="center"/>
            <w:hideMark/>
          </w:tcPr>
          <w:p w:rsidR="00454A61" w:rsidRPr="00C24FAD" w:rsidRDefault="00454A61" w:rsidP="00454A61">
            <w:pPr>
              <w:tabs>
                <w:tab w:val="left" w:pos="567"/>
              </w:tabs>
              <w:jc w:val="both"/>
              <w:rPr>
                <w:rFonts w:ascii="Tahoma" w:hAnsi="Tahoma" w:cs="Tahoma"/>
                <w:sz w:val="18"/>
                <w:szCs w:val="18"/>
              </w:rPr>
            </w:pPr>
            <w:r w:rsidRPr="00C24FAD">
              <w:rPr>
                <w:rFonts w:ascii="Tahoma" w:hAnsi="Tahoma" w:cs="Tahoma"/>
                <w:sz w:val="18"/>
                <w:szCs w:val="18"/>
              </w:rPr>
              <w:t>5 - Probable</w:t>
            </w:r>
          </w:p>
        </w:tc>
      </w:tr>
    </w:tbl>
    <w:p w:rsidR="00454A61" w:rsidRPr="00454A61" w:rsidRDefault="00454A61" w:rsidP="00454A61">
      <w:pPr>
        <w:tabs>
          <w:tab w:val="left" w:pos="567"/>
        </w:tabs>
        <w:jc w:val="both"/>
        <w:rPr>
          <w:rFonts w:ascii="Tahoma" w:hAnsi="Tahoma" w:cs="Tahoma"/>
        </w:rPr>
      </w:pPr>
    </w:p>
    <w:p w:rsidR="00AF7E8B" w:rsidRDefault="00AF7E8B" w:rsidP="00E45929">
      <w:pPr>
        <w:tabs>
          <w:tab w:val="left" w:pos="567"/>
        </w:tabs>
        <w:jc w:val="both"/>
        <w:rPr>
          <w:rFonts w:ascii="Tahoma" w:hAnsi="Tahoma" w:cs="Tahoma"/>
        </w:rPr>
      </w:pPr>
    </w:p>
    <w:p w:rsidR="009C142D" w:rsidRDefault="009C142D" w:rsidP="00E45929">
      <w:pPr>
        <w:tabs>
          <w:tab w:val="left" w:pos="567"/>
        </w:tabs>
        <w:jc w:val="both"/>
        <w:rPr>
          <w:rFonts w:ascii="Tahoma" w:hAnsi="Tahoma" w:cs="Tahoma"/>
        </w:rPr>
      </w:pPr>
    </w:p>
    <w:p w:rsidR="009C142D" w:rsidRPr="00AF7E8B" w:rsidRDefault="009C142D" w:rsidP="00E45929">
      <w:pPr>
        <w:tabs>
          <w:tab w:val="left" w:pos="567"/>
        </w:tabs>
        <w:jc w:val="both"/>
        <w:rPr>
          <w:rFonts w:ascii="Tahoma" w:hAnsi="Tahoma" w:cs="Tahoma"/>
        </w:rPr>
      </w:pPr>
    </w:p>
    <w:p w:rsidR="003074C8" w:rsidRDefault="009C142D" w:rsidP="00E45929">
      <w:pPr>
        <w:pStyle w:val="ListParagraph"/>
        <w:numPr>
          <w:ilvl w:val="1"/>
          <w:numId w:val="4"/>
        </w:numPr>
        <w:tabs>
          <w:tab w:val="left" w:pos="567"/>
        </w:tabs>
        <w:ind w:left="567" w:hanging="567"/>
        <w:jc w:val="both"/>
        <w:rPr>
          <w:rFonts w:ascii="Tahoma" w:hAnsi="Tahoma" w:cs="Tahoma"/>
        </w:rPr>
      </w:pPr>
      <w:r>
        <w:rPr>
          <w:rFonts w:ascii="Tahoma" w:hAnsi="Tahoma" w:cs="Tahoma"/>
        </w:rPr>
        <w:t>All risks will continue to be reviewed and monitored as the year progresses</w:t>
      </w:r>
      <w:r w:rsidR="003074C8">
        <w:rPr>
          <w:rFonts w:ascii="Tahoma" w:hAnsi="Tahoma" w:cs="Tahoma"/>
        </w:rPr>
        <w:t>, with an expectation that a planning session will be arranged for senior managers within the OPCC to come together to provide a focussed review of all current risks as well as ensuring that there are no gaps in the current risks</w:t>
      </w:r>
      <w:r>
        <w:rPr>
          <w:rFonts w:ascii="Tahoma" w:hAnsi="Tahoma" w:cs="Tahoma"/>
        </w:rPr>
        <w:t xml:space="preserve">. Some additional training is </w:t>
      </w:r>
      <w:r w:rsidR="003074C8">
        <w:rPr>
          <w:rFonts w:ascii="Tahoma" w:hAnsi="Tahoma" w:cs="Tahoma"/>
        </w:rPr>
        <w:t xml:space="preserve">also </w:t>
      </w:r>
      <w:r>
        <w:rPr>
          <w:rFonts w:ascii="Tahoma" w:hAnsi="Tahoma" w:cs="Tahoma"/>
        </w:rPr>
        <w:t>planned to widen the access to the Risk system</w:t>
      </w:r>
      <w:r w:rsidR="003074C8">
        <w:rPr>
          <w:rFonts w:ascii="Tahoma" w:hAnsi="Tahoma" w:cs="Tahoma"/>
        </w:rPr>
        <w:t xml:space="preserve"> to further aid risk understanding, management and assessment.</w:t>
      </w:r>
    </w:p>
    <w:p w:rsidR="00AE7BA5" w:rsidRPr="00AE7BA5" w:rsidRDefault="00AE7BA5" w:rsidP="003074C8">
      <w:pPr>
        <w:spacing w:before="100" w:beforeAutospacing="1" w:after="100" w:afterAutospacing="1"/>
        <w:jc w:val="both"/>
        <w:textAlignment w:val="center"/>
        <w:rPr>
          <w:rFonts w:ascii="Times New Roman" w:hAnsi="Times New Roman"/>
          <w:vanish/>
        </w:rPr>
      </w:pPr>
      <w:r w:rsidRPr="00AE7BA5">
        <w:rPr>
          <w:rFonts w:ascii="Times New Roman" w:hAnsi="Times New Roman"/>
          <w:vanish/>
        </w:rPr>
        <w:t>Inherent Risk Priority (I x L)</w:t>
      </w:r>
    </w:p>
    <w:p w:rsidR="00AE7BA5" w:rsidRPr="00AE7BA5" w:rsidRDefault="00AE7BA5" w:rsidP="00E45929">
      <w:pPr>
        <w:numPr>
          <w:ilvl w:val="0"/>
          <w:numId w:val="18"/>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t>Residual Risk Priority (I x L)</w:t>
      </w:r>
    </w:p>
    <w:p w:rsidR="00AE7BA5" w:rsidRPr="00AE7BA5" w:rsidRDefault="00AE7BA5" w:rsidP="00E45929">
      <w:pPr>
        <w:numPr>
          <w:ilvl w:val="0"/>
          <w:numId w:val="18"/>
        </w:numPr>
        <w:spacing w:before="100" w:beforeAutospacing="1" w:after="100" w:afterAutospacing="1"/>
        <w:jc w:val="both"/>
        <w:textAlignment w:val="center"/>
        <w:rPr>
          <w:rFonts w:ascii="Times New Roman" w:hAnsi="Times New Roman"/>
          <w:vanish/>
        </w:rPr>
      </w:pPr>
      <w:r w:rsidRPr="00AE7BA5">
        <w:rPr>
          <w:rFonts w:ascii="Times New Roman" w:hAnsi="Times New Roman"/>
          <w:vanish/>
        </w:rPr>
        <w:t>Target Risk Priority</w:t>
      </w:r>
    </w:p>
    <w:p w:rsidR="00C810BC" w:rsidRPr="00C810BC" w:rsidRDefault="00C810BC" w:rsidP="00E45929">
      <w:pPr>
        <w:numPr>
          <w:ilvl w:val="0"/>
          <w:numId w:val="10"/>
        </w:numPr>
        <w:tabs>
          <w:tab w:val="left" w:pos="567"/>
        </w:tabs>
        <w:jc w:val="both"/>
        <w:rPr>
          <w:rFonts w:ascii="Tahoma" w:hAnsi="Tahoma" w:cs="Tahoma"/>
          <w:b/>
          <w:vanish/>
        </w:rPr>
      </w:pPr>
    </w:p>
    <w:p w:rsidR="00C810BC" w:rsidRPr="00C810BC" w:rsidRDefault="00C810BC" w:rsidP="00E45929">
      <w:pPr>
        <w:numPr>
          <w:ilvl w:val="0"/>
          <w:numId w:val="10"/>
        </w:numPr>
        <w:tabs>
          <w:tab w:val="left" w:pos="567"/>
        </w:tabs>
        <w:jc w:val="both"/>
        <w:rPr>
          <w:rFonts w:ascii="Tahoma" w:hAnsi="Tahoma" w:cs="Tahoma"/>
          <w:b/>
          <w:vanish/>
        </w:rPr>
      </w:pPr>
    </w:p>
    <w:p w:rsidR="00C810BC" w:rsidRPr="00C810BC" w:rsidRDefault="00C810BC" w:rsidP="00E45929">
      <w:pPr>
        <w:numPr>
          <w:ilvl w:val="0"/>
          <w:numId w:val="10"/>
        </w:numPr>
        <w:tabs>
          <w:tab w:val="left" w:pos="567"/>
        </w:tabs>
        <w:jc w:val="both"/>
        <w:rPr>
          <w:rFonts w:ascii="Tahoma" w:hAnsi="Tahoma" w:cs="Tahoma"/>
          <w:b/>
          <w:vanish/>
        </w:rPr>
      </w:pPr>
    </w:p>
    <w:p w:rsidR="00C810BC" w:rsidRPr="00C810BC" w:rsidRDefault="00C810BC" w:rsidP="00E45929">
      <w:pPr>
        <w:numPr>
          <w:ilvl w:val="0"/>
          <w:numId w:val="10"/>
        </w:numPr>
        <w:tabs>
          <w:tab w:val="left" w:pos="567"/>
        </w:tabs>
        <w:jc w:val="both"/>
        <w:rPr>
          <w:rFonts w:ascii="Tahoma" w:hAnsi="Tahoma" w:cs="Tahoma"/>
          <w:b/>
          <w:vanish/>
        </w:rPr>
      </w:pPr>
    </w:p>
    <w:p w:rsidR="00C810BC" w:rsidRPr="00C810BC" w:rsidRDefault="00C810BC" w:rsidP="00E45929">
      <w:pPr>
        <w:numPr>
          <w:ilvl w:val="0"/>
          <w:numId w:val="10"/>
        </w:numPr>
        <w:tabs>
          <w:tab w:val="left" w:pos="567"/>
        </w:tabs>
        <w:jc w:val="both"/>
        <w:rPr>
          <w:rFonts w:ascii="Tahoma" w:hAnsi="Tahoma" w:cs="Tahoma"/>
          <w:b/>
          <w:vanish/>
        </w:rPr>
      </w:pPr>
    </w:p>
    <w:p w:rsidR="00C810BC" w:rsidRPr="00C810BC" w:rsidRDefault="00C810BC" w:rsidP="00E45929">
      <w:pPr>
        <w:numPr>
          <w:ilvl w:val="0"/>
          <w:numId w:val="10"/>
        </w:numPr>
        <w:tabs>
          <w:tab w:val="left" w:pos="567"/>
        </w:tabs>
        <w:jc w:val="both"/>
        <w:rPr>
          <w:rFonts w:ascii="Tahoma" w:hAnsi="Tahoma" w:cs="Tahoma"/>
          <w:b/>
          <w:vanish/>
        </w:rPr>
      </w:pPr>
    </w:p>
    <w:p w:rsidR="009032A8" w:rsidRPr="009032A8" w:rsidRDefault="009032A8" w:rsidP="00E45929">
      <w:pPr>
        <w:numPr>
          <w:ilvl w:val="0"/>
          <w:numId w:val="10"/>
        </w:numPr>
        <w:tabs>
          <w:tab w:val="left" w:pos="567"/>
        </w:tabs>
        <w:jc w:val="both"/>
        <w:rPr>
          <w:rFonts w:ascii="Tahoma" w:hAnsi="Tahoma" w:cs="Tahoma"/>
          <w:b/>
          <w:vanish/>
        </w:rPr>
      </w:pPr>
      <w:r w:rsidRPr="009032A8">
        <w:rPr>
          <w:rFonts w:ascii="Tahoma" w:hAnsi="Tahoma" w:cs="Tahoma"/>
          <w:b/>
          <w:vanish/>
        </w:rPr>
        <w:t>Inherent Risk Priority (I x L)</w:t>
      </w:r>
    </w:p>
    <w:p w:rsidR="009032A8" w:rsidRPr="009032A8" w:rsidRDefault="009032A8" w:rsidP="00E45929">
      <w:pPr>
        <w:numPr>
          <w:ilvl w:val="0"/>
          <w:numId w:val="10"/>
        </w:numPr>
        <w:tabs>
          <w:tab w:val="left" w:pos="567"/>
        </w:tabs>
        <w:jc w:val="both"/>
        <w:rPr>
          <w:rFonts w:ascii="Tahoma" w:hAnsi="Tahoma" w:cs="Tahoma"/>
          <w:b/>
          <w:vanish/>
        </w:rPr>
      </w:pPr>
      <w:r w:rsidRPr="009032A8">
        <w:rPr>
          <w:rFonts w:ascii="Tahoma" w:hAnsi="Tahoma" w:cs="Tahoma"/>
          <w:b/>
          <w:vanish/>
        </w:rPr>
        <w:t>Residual Risk Priority (I x L)</w:t>
      </w:r>
    </w:p>
    <w:p w:rsidR="008D1022" w:rsidRPr="008D1022" w:rsidRDefault="008D1022" w:rsidP="00E45929">
      <w:pPr>
        <w:numPr>
          <w:ilvl w:val="0"/>
          <w:numId w:val="7"/>
        </w:numPr>
        <w:tabs>
          <w:tab w:val="left" w:pos="567"/>
        </w:tabs>
        <w:jc w:val="both"/>
        <w:rPr>
          <w:rFonts w:ascii="Tahoma" w:hAnsi="Tahoma" w:cs="Tahoma"/>
          <w:b/>
          <w:vanish/>
        </w:rPr>
      </w:pPr>
      <w:r w:rsidRPr="008D1022">
        <w:rPr>
          <w:rFonts w:ascii="Tahoma" w:hAnsi="Tahoma" w:cs="Tahoma"/>
          <w:b/>
          <w:vanish/>
        </w:rPr>
        <w:t>Inherent Risk Priority (I x L)</w:t>
      </w:r>
    </w:p>
    <w:p w:rsidR="008D1022" w:rsidRPr="008D1022" w:rsidRDefault="008D1022" w:rsidP="00E45929">
      <w:pPr>
        <w:numPr>
          <w:ilvl w:val="0"/>
          <w:numId w:val="7"/>
        </w:numPr>
        <w:tabs>
          <w:tab w:val="left" w:pos="567"/>
        </w:tabs>
        <w:jc w:val="both"/>
        <w:rPr>
          <w:rFonts w:ascii="Tahoma" w:hAnsi="Tahoma" w:cs="Tahoma"/>
          <w:b/>
          <w:vanish/>
        </w:rPr>
      </w:pPr>
      <w:r w:rsidRPr="008D1022">
        <w:rPr>
          <w:rFonts w:ascii="Tahoma" w:hAnsi="Tahoma" w:cs="Tahoma"/>
          <w:b/>
          <w:vanish/>
        </w:rPr>
        <w:t>Residual Risk Priority (I x L)</w:t>
      </w:r>
    </w:p>
    <w:p w:rsidR="009C142D" w:rsidRPr="00C810BC" w:rsidRDefault="009C142D" w:rsidP="00E45929">
      <w:pPr>
        <w:tabs>
          <w:tab w:val="left" w:pos="567"/>
        </w:tabs>
        <w:jc w:val="both"/>
        <w:rPr>
          <w:rFonts w:ascii="Tahoma" w:hAnsi="Tahoma" w:cs="Tahoma"/>
          <w:b/>
        </w:rPr>
      </w:pPr>
    </w:p>
    <w:p w:rsidR="00EE05EB" w:rsidRDefault="00EE05EB" w:rsidP="00E45929">
      <w:pPr>
        <w:tabs>
          <w:tab w:val="left" w:pos="0"/>
        </w:tabs>
        <w:jc w:val="both"/>
        <w:rPr>
          <w:rFonts w:ascii="Tahoma" w:hAnsi="Tahoma" w:cs="Tahoma"/>
          <w:b/>
        </w:rPr>
      </w:pPr>
      <w:r>
        <w:rPr>
          <w:rFonts w:ascii="Tahoma" w:hAnsi="Tahoma" w:cs="Tahoma"/>
          <w:b/>
        </w:rPr>
        <w:t>5.    Risk Register</w:t>
      </w:r>
    </w:p>
    <w:p w:rsidR="00EE05EB" w:rsidRDefault="00EE05EB" w:rsidP="00E45929">
      <w:pPr>
        <w:tabs>
          <w:tab w:val="left" w:pos="709"/>
        </w:tabs>
        <w:jc w:val="both"/>
        <w:rPr>
          <w:rFonts w:ascii="Tahoma" w:hAnsi="Tahoma" w:cs="Tahoma"/>
        </w:rPr>
      </w:pPr>
    </w:p>
    <w:p w:rsidR="00EE05EB" w:rsidRDefault="00C7559C" w:rsidP="00E45929">
      <w:pPr>
        <w:tabs>
          <w:tab w:val="left" w:pos="567"/>
        </w:tabs>
        <w:ind w:left="567" w:hanging="567"/>
        <w:jc w:val="both"/>
        <w:rPr>
          <w:rFonts w:ascii="Tahoma" w:hAnsi="Tahoma" w:cs="Tahoma"/>
        </w:rPr>
      </w:pPr>
      <w:r>
        <w:rPr>
          <w:rFonts w:ascii="Tahoma" w:hAnsi="Tahoma" w:cs="Tahoma"/>
        </w:rPr>
        <w:t xml:space="preserve">5.1  </w:t>
      </w:r>
      <w:r w:rsidR="00C16577">
        <w:rPr>
          <w:rFonts w:ascii="Tahoma" w:hAnsi="Tahoma" w:cs="Tahoma"/>
        </w:rPr>
        <w:t xml:space="preserve"> </w:t>
      </w:r>
      <w:r w:rsidR="00E86E24">
        <w:rPr>
          <w:rFonts w:ascii="Tahoma" w:hAnsi="Tahoma" w:cs="Tahoma"/>
        </w:rPr>
        <w:t xml:space="preserve">The </w:t>
      </w:r>
      <w:r w:rsidR="00BC7EF2">
        <w:rPr>
          <w:rFonts w:ascii="Tahoma" w:hAnsi="Tahoma" w:cs="Tahoma"/>
        </w:rPr>
        <w:t xml:space="preserve">Insight4GRC </w:t>
      </w:r>
      <w:r w:rsidR="00E86E24">
        <w:rPr>
          <w:rFonts w:ascii="Tahoma" w:hAnsi="Tahoma" w:cs="Tahoma"/>
        </w:rPr>
        <w:t xml:space="preserve">methodology </w:t>
      </w:r>
      <w:r w:rsidR="00850690">
        <w:rPr>
          <w:rFonts w:ascii="Tahoma" w:hAnsi="Tahoma" w:cs="Tahoma"/>
        </w:rPr>
        <w:t xml:space="preserve">and Risk Management Policy </w:t>
      </w:r>
      <w:r w:rsidR="00C10A7B">
        <w:rPr>
          <w:rFonts w:ascii="Tahoma" w:hAnsi="Tahoma" w:cs="Tahoma"/>
        </w:rPr>
        <w:t>is</w:t>
      </w:r>
      <w:r>
        <w:rPr>
          <w:rFonts w:ascii="Tahoma" w:hAnsi="Tahoma" w:cs="Tahoma"/>
        </w:rPr>
        <w:t xml:space="preserve"> in place and work is </w:t>
      </w:r>
      <w:r w:rsidR="00E86E24">
        <w:rPr>
          <w:rFonts w:ascii="Tahoma" w:hAnsi="Tahoma" w:cs="Tahoma"/>
        </w:rPr>
        <w:t xml:space="preserve">continuing to </w:t>
      </w:r>
      <w:r w:rsidR="00197F20">
        <w:rPr>
          <w:rFonts w:ascii="Tahoma" w:hAnsi="Tahoma" w:cs="Tahoma"/>
        </w:rPr>
        <w:t xml:space="preserve">embed it into the </w:t>
      </w:r>
      <w:r w:rsidR="00850690">
        <w:rPr>
          <w:rFonts w:ascii="Tahoma" w:hAnsi="Tahoma" w:cs="Tahoma"/>
        </w:rPr>
        <w:t xml:space="preserve">day to day work of the </w:t>
      </w:r>
      <w:r w:rsidR="00197F20">
        <w:rPr>
          <w:rFonts w:ascii="Tahoma" w:hAnsi="Tahoma" w:cs="Tahoma"/>
        </w:rPr>
        <w:t>OPCC.</w:t>
      </w:r>
    </w:p>
    <w:p w:rsidR="00EE05EB" w:rsidRDefault="00EE05EB" w:rsidP="00E45929">
      <w:pPr>
        <w:tabs>
          <w:tab w:val="left" w:pos="709"/>
        </w:tabs>
        <w:jc w:val="both"/>
        <w:rPr>
          <w:rFonts w:ascii="Tahoma" w:hAnsi="Tahoma" w:cs="Tahoma"/>
        </w:rPr>
      </w:pPr>
    </w:p>
    <w:p w:rsidR="00EE05EB" w:rsidRDefault="00C10A7B" w:rsidP="00E45929">
      <w:pPr>
        <w:tabs>
          <w:tab w:val="left" w:pos="567"/>
        </w:tabs>
        <w:ind w:left="567" w:hanging="567"/>
        <w:jc w:val="both"/>
        <w:rPr>
          <w:rFonts w:ascii="Tahoma" w:hAnsi="Tahoma" w:cs="Tahoma"/>
        </w:rPr>
      </w:pPr>
      <w:r>
        <w:rPr>
          <w:rFonts w:ascii="Tahoma" w:hAnsi="Tahoma" w:cs="Tahoma"/>
        </w:rPr>
        <w:t>5.2</w:t>
      </w:r>
      <w:r>
        <w:rPr>
          <w:rFonts w:ascii="Tahoma" w:hAnsi="Tahoma" w:cs="Tahoma"/>
        </w:rPr>
        <w:tab/>
      </w:r>
      <w:r w:rsidR="00EE05EB">
        <w:rPr>
          <w:rFonts w:ascii="Tahoma" w:hAnsi="Tahoma" w:cs="Tahoma"/>
        </w:rPr>
        <w:t>All of the risks have and will continue to be allocated to individual Officers</w:t>
      </w:r>
      <w:r w:rsidR="00850690">
        <w:rPr>
          <w:rFonts w:ascii="Tahoma" w:hAnsi="Tahoma" w:cs="Tahoma"/>
        </w:rPr>
        <w:t xml:space="preserve"> </w:t>
      </w:r>
      <w:r w:rsidR="00C16577">
        <w:rPr>
          <w:rFonts w:ascii="Tahoma" w:hAnsi="Tahoma" w:cs="Tahoma"/>
        </w:rPr>
        <w:t>with regular</w:t>
      </w:r>
      <w:r w:rsidR="00850690">
        <w:rPr>
          <w:rFonts w:ascii="Tahoma" w:hAnsi="Tahoma" w:cs="Tahoma"/>
        </w:rPr>
        <w:t xml:space="preserve"> updates required.</w:t>
      </w:r>
    </w:p>
    <w:p w:rsidR="00EE05EB" w:rsidRDefault="00EE05EB" w:rsidP="00E45929">
      <w:pPr>
        <w:jc w:val="both"/>
        <w:rPr>
          <w:rFonts w:ascii="Tahoma" w:hAnsi="Tahoma" w:cs="Tahoma"/>
        </w:rPr>
      </w:pPr>
    </w:p>
    <w:p w:rsidR="00BC7EF2" w:rsidRPr="00C810BC" w:rsidRDefault="00EE05EB" w:rsidP="003074C8">
      <w:pPr>
        <w:ind w:left="567" w:hanging="567"/>
        <w:jc w:val="both"/>
        <w:rPr>
          <w:rFonts w:ascii="Tahoma" w:hAnsi="Tahoma" w:cs="Tahoma"/>
        </w:rPr>
      </w:pPr>
      <w:r>
        <w:rPr>
          <w:rFonts w:ascii="Tahoma" w:hAnsi="Tahoma" w:cs="Tahoma"/>
        </w:rPr>
        <w:t xml:space="preserve">5.3  </w:t>
      </w:r>
      <w:r w:rsidR="00850690">
        <w:rPr>
          <w:rFonts w:ascii="Tahoma" w:hAnsi="Tahoma" w:cs="Tahoma"/>
        </w:rPr>
        <w:t xml:space="preserve"> </w:t>
      </w:r>
      <w:r>
        <w:rPr>
          <w:rFonts w:ascii="Tahoma" w:hAnsi="Tahoma" w:cs="Tahoma"/>
        </w:rPr>
        <w:t xml:space="preserve">A copy of the </w:t>
      </w:r>
      <w:r w:rsidR="00621D5D">
        <w:rPr>
          <w:rFonts w:ascii="Tahoma" w:hAnsi="Tahoma" w:cs="Tahoma"/>
        </w:rPr>
        <w:t xml:space="preserve">OPCC </w:t>
      </w:r>
      <w:r>
        <w:rPr>
          <w:rFonts w:ascii="Tahoma" w:hAnsi="Tahoma" w:cs="Tahoma"/>
        </w:rPr>
        <w:t>Strategic Risk Register is included</w:t>
      </w:r>
      <w:r w:rsidR="003074C8">
        <w:rPr>
          <w:rFonts w:ascii="Tahoma" w:hAnsi="Tahoma" w:cs="Tahoma"/>
        </w:rPr>
        <w:t xml:space="preserve"> as an appendix to this report</w:t>
      </w:r>
      <w:r w:rsidR="00C810BC">
        <w:rPr>
          <w:rFonts w:ascii="Tahoma" w:hAnsi="Tahoma" w:cs="Tahoma"/>
        </w:rPr>
        <w:t>.</w:t>
      </w:r>
    </w:p>
    <w:p w:rsidR="002E7B36" w:rsidRDefault="002E7B36" w:rsidP="00E45929">
      <w:pPr>
        <w:tabs>
          <w:tab w:val="left" w:pos="709"/>
        </w:tabs>
        <w:jc w:val="both"/>
        <w:outlineLvl w:val="0"/>
        <w:rPr>
          <w:rFonts w:ascii="Tahoma" w:hAnsi="Tahoma" w:cs="Tahoma"/>
          <w:b/>
        </w:rPr>
      </w:pPr>
    </w:p>
    <w:p w:rsidR="00EE05EB" w:rsidRDefault="008137B2" w:rsidP="00E45929">
      <w:pPr>
        <w:tabs>
          <w:tab w:val="left" w:pos="567"/>
        </w:tabs>
        <w:jc w:val="both"/>
        <w:outlineLvl w:val="0"/>
        <w:rPr>
          <w:rFonts w:ascii="Tahoma" w:hAnsi="Tahoma" w:cs="Tahoma"/>
          <w:b/>
        </w:rPr>
      </w:pPr>
      <w:r>
        <w:rPr>
          <w:rFonts w:ascii="Tahoma" w:hAnsi="Tahoma" w:cs="Tahoma"/>
          <w:b/>
        </w:rPr>
        <w:t>6.</w:t>
      </w:r>
      <w:r>
        <w:rPr>
          <w:rFonts w:ascii="Tahoma" w:hAnsi="Tahoma" w:cs="Tahoma"/>
          <w:b/>
        </w:rPr>
        <w:tab/>
      </w:r>
      <w:r w:rsidR="00EE05EB">
        <w:rPr>
          <w:rFonts w:ascii="Tahoma" w:hAnsi="Tahoma" w:cs="Tahoma"/>
          <w:b/>
        </w:rPr>
        <w:t>Implications</w:t>
      </w:r>
    </w:p>
    <w:p w:rsidR="00EE05EB" w:rsidRDefault="00EE05EB" w:rsidP="00E45929">
      <w:pPr>
        <w:jc w:val="both"/>
        <w:rPr>
          <w:rFonts w:ascii="Tahoma" w:hAnsi="Tahoma" w:cs="Tahoma"/>
        </w:rPr>
      </w:pPr>
    </w:p>
    <w:p w:rsidR="00EE05EB" w:rsidRDefault="008137B2" w:rsidP="00E45929">
      <w:pPr>
        <w:tabs>
          <w:tab w:val="left" w:pos="567"/>
        </w:tabs>
        <w:jc w:val="both"/>
        <w:outlineLvl w:val="0"/>
        <w:rPr>
          <w:rFonts w:ascii="Tahoma" w:hAnsi="Tahoma" w:cs="Tahoma"/>
          <w:u w:val="single"/>
        </w:rPr>
      </w:pPr>
      <w:r>
        <w:rPr>
          <w:rFonts w:ascii="Tahoma" w:hAnsi="Tahoma" w:cs="Tahoma"/>
          <w:bCs/>
        </w:rPr>
        <w:t>6.1</w:t>
      </w:r>
      <w:r>
        <w:rPr>
          <w:rFonts w:ascii="Tahoma" w:hAnsi="Tahoma" w:cs="Tahoma"/>
          <w:bCs/>
        </w:rPr>
        <w:tab/>
      </w:r>
      <w:r w:rsidR="00EE05EB">
        <w:rPr>
          <w:rFonts w:ascii="Tahoma" w:hAnsi="Tahoma" w:cs="Tahoma"/>
          <w:bCs/>
          <w:u w:val="single"/>
        </w:rPr>
        <w:t>Finance</w:t>
      </w:r>
    </w:p>
    <w:p w:rsidR="00EE05EB" w:rsidRDefault="00EE05EB" w:rsidP="00E45929">
      <w:pPr>
        <w:ind w:left="567"/>
        <w:jc w:val="both"/>
        <w:rPr>
          <w:rFonts w:ascii="Tahoma" w:hAnsi="Tahoma" w:cs="Tahoma"/>
        </w:rPr>
      </w:pPr>
      <w:r>
        <w:rPr>
          <w:rFonts w:ascii="Tahoma" w:hAnsi="Tahoma" w:cs="Tahoma"/>
        </w:rPr>
        <w:t>There are no known financial implications at the present time. However, as the process progresses the financial implications will be continually reviewed.</w:t>
      </w:r>
    </w:p>
    <w:p w:rsidR="00EE05EB" w:rsidRDefault="00EE05EB" w:rsidP="00E45929">
      <w:pPr>
        <w:ind w:left="720"/>
        <w:jc w:val="both"/>
        <w:rPr>
          <w:rFonts w:ascii="Tahoma" w:hAnsi="Tahoma" w:cs="Tahoma"/>
        </w:rPr>
      </w:pPr>
    </w:p>
    <w:p w:rsidR="00EE05EB" w:rsidRDefault="00EE05EB" w:rsidP="00E45929">
      <w:pPr>
        <w:tabs>
          <w:tab w:val="left" w:pos="567"/>
        </w:tabs>
        <w:jc w:val="both"/>
        <w:outlineLvl w:val="0"/>
        <w:rPr>
          <w:rFonts w:ascii="Tahoma" w:hAnsi="Tahoma" w:cs="Tahoma"/>
          <w:u w:val="single"/>
        </w:rPr>
      </w:pPr>
      <w:r>
        <w:rPr>
          <w:rFonts w:ascii="Tahoma" w:hAnsi="Tahoma" w:cs="Tahoma"/>
        </w:rPr>
        <w:t>6.2</w:t>
      </w:r>
      <w:r>
        <w:rPr>
          <w:rFonts w:ascii="Tahoma" w:hAnsi="Tahoma" w:cs="Tahoma"/>
        </w:rPr>
        <w:tab/>
      </w:r>
      <w:r>
        <w:rPr>
          <w:rFonts w:ascii="Tahoma" w:hAnsi="Tahoma" w:cs="Tahoma"/>
          <w:u w:val="single"/>
        </w:rPr>
        <w:t>Diversity and Equal Opportunities</w:t>
      </w:r>
    </w:p>
    <w:p w:rsidR="00EE05EB" w:rsidRDefault="00EE05EB" w:rsidP="00E45929">
      <w:pPr>
        <w:ind w:left="567"/>
        <w:jc w:val="both"/>
        <w:rPr>
          <w:rFonts w:ascii="Tahoma" w:hAnsi="Tahoma" w:cs="Tahoma"/>
        </w:rPr>
      </w:pPr>
      <w:r>
        <w:rPr>
          <w:rFonts w:ascii="Tahoma" w:hAnsi="Tahoma" w:cs="Tahoma"/>
        </w:rPr>
        <w:t>There are no diversity or equal opportunities implications arising from the content of this report.</w:t>
      </w:r>
    </w:p>
    <w:p w:rsidR="00EE05EB" w:rsidRDefault="00EE05EB" w:rsidP="00E45929">
      <w:pPr>
        <w:jc w:val="both"/>
        <w:rPr>
          <w:rFonts w:ascii="Tahoma" w:hAnsi="Tahoma" w:cs="Tahoma"/>
        </w:rPr>
      </w:pPr>
    </w:p>
    <w:p w:rsidR="00EE05EB" w:rsidRDefault="00EE05EB" w:rsidP="00E45929">
      <w:pPr>
        <w:tabs>
          <w:tab w:val="left" w:pos="567"/>
        </w:tabs>
        <w:jc w:val="both"/>
        <w:outlineLvl w:val="0"/>
        <w:rPr>
          <w:rFonts w:ascii="Tahoma" w:hAnsi="Tahoma" w:cs="Tahoma"/>
          <w:u w:val="single"/>
        </w:rPr>
      </w:pPr>
      <w:r>
        <w:rPr>
          <w:rFonts w:ascii="Tahoma" w:hAnsi="Tahoma" w:cs="Tahoma"/>
        </w:rPr>
        <w:t>6.3</w:t>
      </w:r>
      <w:r>
        <w:rPr>
          <w:rFonts w:ascii="Tahoma" w:hAnsi="Tahoma" w:cs="Tahoma"/>
        </w:rPr>
        <w:tab/>
      </w:r>
      <w:r>
        <w:rPr>
          <w:rFonts w:ascii="Tahoma" w:hAnsi="Tahoma" w:cs="Tahoma"/>
          <w:u w:val="single"/>
        </w:rPr>
        <w:t>Human Rights Act</w:t>
      </w:r>
    </w:p>
    <w:p w:rsidR="00EE05EB" w:rsidRDefault="00EE05EB" w:rsidP="00E45929">
      <w:pPr>
        <w:ind w:left="567" w:firstLine="11"/>
        <w:jc w:val="both"/>
        <w:rPr>
          <w:rFonts w:ascii="Tahoma" w:hAnsi="Tahoma" w:cs="Tahoma"/>
        </w:rPr>
      </w:pPr>
      <w:r>
        <w:rPr>
          <w:rFonts w:ascii="Tahoma" w:hAnsi="Tahoma" w:cs="Tahoma"/>
        </w:rPr>
        <w:t>There are no Human Rights Act implications arising from the content of this report.</w:t>
      </w:r>
    </w:p>
    <w:p w:rsidR="00EE05EB" w:rsidRDefault="00EE05EB" w:rsidP="00E45929">
      <w:pPr>
        <w:jc w:val="both"/>
        <w:rPr>
          <w:rFonts w:ascii="Tahoma" w:hAnsi="Tahoma" w:cs="Tahoma"/>
          <w:u w:val="single"/>
        </w:rPr>
      </w:pPr>
    </w:p>
    <w:p w:rsidR="00EE05EB" w:rsidRDefault="00EE05EB" w:rsidP="00E45929">
      <w:pPr>
        <w:tabs>
          <w:tab w:val="left" w:pos="567"/>
        </w:tabs>
        <w:jc w:val="both"/>
        <w:outlineLvl w:val="0"/>
        <w:rPr>
          <w:rFonts w:ascii="Tahoma" w:hAnsi="Tahoma" w:cs="Tahoma"/>
          <w:u w:val="single"/>
        </w:rPr>
      </w:pPr>
      <w:r>
        <w:rPr>
          <w:rFonts w:ascii="Tahoma" w:hAnsi="Tahoma" w:cs="Tahoma"/>
        </w:rPr>
        <w:t>6.4</w:t>
      </w:r>
      <w:r>
        <w:rPr>
          <w:rFonts w:ascii="Tahoma" w:hAnsi="Tahoma" w:cs="Tahoma"/>
        </w:rPr>
        <w:tab/>
      </w:r>
      <w:r>
        <w:rPr>
          <w:rFonts w:ascii="Tahoma" w:hAnsi="Tahoma" w:cs="Tahoma"/>
          <w:u w:val="single"/>
        </w:rPr>
        <w:t>Sustainability</w:t>
      </w:r>
    </w:p>
    <w:p w:rsidR="00EE05EB" w:rsidRPr="00197F20" w:rsidRDefault="00EE05EB" w:rsidP="00A87CF9">
      <w:pPr>
        <w:ind w:left="567"/>
        <w:rPr>
          <w:rFonts w:ascii="Tahoma" w:hAnsi="Tahoma" w:cs="Tahoma"/>
        </w:rPr>
      </w:pPr>
      <w:r>
        <w:rPr>
          <w:rFonts w:ascii="Tahoma" w:hAnsi="Tahoma" w:cs="Tahoma"/>
        </w:rPr>
        <w:t>Risk Management is a vital element in ensuring the sustainable delivery of services and delivering the PCC’s priorities.</w:t>
      </w:r>
      <w:r>
        <w:rPr>
          <w:rFonts w:ascii="Tahoma" w:hAnsi="Tahoma" w:cs="Tahoma"/>
          <w:u w:val="single"/>
        </w:rPr>
        <w:br/>
      </w:r>
    </w:p>
    <w:p w:rsidR="00EE05EB" w:rsidRDefault="00EE05EB" w:rsidP="00E45929">
      <w:pPr>
        <w:tabs>
          <w:tab w:val="left" w:pos="567"/>
        </w:tabs>
        <w:jc w:val="both"/>
        <w:outlineLvl w:val="0"/>
        <w:rPr>
          <w:rFonts w:ascii="Tahoma" w:hAnsi="Tahoma" w:cs="Tahoma"/>
          <w:u w:val="single"/>
        </w:rPr>
      </w:pPr>
      <w:r>
        <w:rPr>
          <w:rFonts w:ascii="Tahoma" w:hAnsi="Tahoma" w:cs="Tahoma"/>
        </w:rPr>
        <w:t>6.5</w:t>
      </w:r>
      <w:r>
        <w:rPr>
          <w:rFonts w:ascii="Tahoma" w:hAnsi="Tahoma" w:cs="Tahoma"/>
        </w:rPr>
        <w:tab/>
      </w:r>
      <w:r>
        <w:rPr>
          <w:rFonts w:ascii="Tahoma" w:hAnsi="Tahoma" w:cs="Tahoma"/>
          <w:u w:val="single"/>
        </w:rPr>
        <w:t>Risk</w:t>
      </w:r>
    </w:p>
    <w:p w:rsidR="00EE05EB" w:rsidRDefault="00EE05EB" w:rsidP="00E45929">
      <w:pPr>
        <w:ind w:left="567"/>
        <w:jc w:val="both"/>
        <w:rPr>
          <w:rFonts w:ascii="Tahoma" w:hAnsi="Tahoma" w:cs="Tahoma"/>
        </w:rPr>
      </w:pPr>
      <w:r>
        <w:rPr>
          <w:rFonts w:ascii="Tahoma" w:hAnsi="Tahoma" w:cs="Tahoma"/>
        </w:rPr>
        <w:t>Risk Management is crucial in ensuring the sustainable delivery of services and delivery of the PCC’s priorities through the effective identification and management of the principal risks to the delivery of corporate objectives.</w:t>
      </w:r>
    </w:p>
    <w:p w:rsidR="00850690" w:rsidRDefault="00850690" w:rsidP="00E45929">
      <w:pPr>
        <w:jc w:val="both"/>
        <w:rPr>
          <w:rFonts w:ascii="Tahoma" w:hAnsi="Tahoma" w:cs="Tahoma"/>
        </w:rPr>
      </w:pPr>
    </w:p>
    <w:p w:rsidR="00EE05EB" w:rsidRDefault="00EE05EB" w:rsidP="00E45929">
      <w:pPr>
        <w:tabs>
          <w:tab w:val="left" w:pos="567"/>
        </w:tabs>
        <w:jc w:val="both"/>
        <w:outlineLvl w:val="0"/>
        <w:rPr>
          <w:rFonts w:ascii="Tahoma" w:hAnsi="Tahoma" w:cs="Tahoma"/>
          <w:b/>
          <w:bCs/>
        </w:rPr>
      </w:pPr>
      <w:r>
        <w:rPr>
          <w:rFonts w:ascii="Tahoma" w:hAnsi="Tahoma" w:cs="Tahoma"/>
          <w:b/>
          <w:bCs/>
        </w:rPr>
        <w:t>7.</w:t>
      </w:r>
      <w:r>
        <w:rPr>
          <w:rFonts w:ascii="Tahoma" w:hAnsi="Tahoma" w:cs="Tahoma"/>
          <w:b/>
          <w:bCs/>
        </w:rPr>
        <w:tab/>
        <w:t>Conclusion</w:t>
      </w:r>
    </w:p>
    <w:p w:rsidR="00EE05EB" w:rsidRDefault="00EE05EB" w:rsidP="00E45929">
      <w:pPr>
        <w:jc w:val="both"/>
        <w:rPr>
          <w:rFonts w:ascii="Tahoma" w:hAnsi="Tahoma" w:cs="Tahoma"/>
        </w:rPr>
      </w:pPr>
    </w:p>
    <w:p w:rsidR="00EE05EB" w:rsidRPr="00621D5D" w:rsidRDefault="00EE05EB" w:rsidP="00E45929">
      <w:pPr>
        <w:numPr>
          <w:ilvl w:val="1"/>
          <w:numId w:val="3"/>
        </w:numPr>
        <w:tabs>
          <w:tab w:val="clear" w:pos="720"/>
          <w:tab w:val="num" w:pos="567"/>
        </w:tabs>
        <w:ind w:left="567" w:hanging="567"/>
        <w:jc w:val="both"/>
        <w:outlineLvl w:val="0"/>
        <w:rPr>
          <w:rFonts w:ascii="Tahoma" w:hAnsi="Tahoma" w:cs="Tahoma"/>
        </w:rPr>
      </w:pPr>
      <w:r w:rsidRPr="00621D5D">
        <w:rPr>
          <w:rFonts w:ascii="Tahoma" w:hAnsi="Tahoma" w:cs="Tahoma"/>
          <w:iCs/>
        </w:rPr>
        <w:t xml:space="preserve">The </w:t>
      </w:r>
      <w:r w:rsidR="00621D5D">
        <w:rPr>
          <w:rFonts w:ascii="Tahoma" w:hAnsi="Tahoma" w:cs="Tahoma"/>
          <w:iCs/>
        </w:rPr>
        <w:t>OPCC strategic R</w:t>
      </w:r>
      <w:r w:rsidRPr="00621D5D">
        <w:rPr>
          <w:rFonts w:ascii="Tahoma" w:hAnsi="Tahoma" w:cs="Tahoma"/>
          <w:iCs/>
        </w:rPr>
        <w:t xml:space="preserve">isk </w:t>
      </w:r>
      <w:r w:rsidR="00621D5D">
        <w:rPr>
          <w:rFonts w:ascii="Tahoma" w:hAnsi="Tahoma" w:cs="Tahoma"/>
          <w:iCs/>
        </w:rPr>
        <w:t>R</w:t>
      </w:r>
      <w:r w:rsidR="00850690" w:rsidRPr="00621D5D">
        <w:rPr>
          <w:rFonts w:ascii="Tahoma" w:hAnsi="Tahoma" w:cs="Tahoma"/>
          <w:iCs/>
        </w:rPr>
        <w:t xml:space="preserve">egister and the work to embed risk </w:t>
      </w:r>
      <w:r w:rsidRPr="00621D5D">
        <w:rPr>
          <w:rFonts w:ascii="Tahoma" w:hAnsi="Tahoma" w:cs="Tahoma"/>
          <w:iCs/>
        </w:rPr>
        <w:t>management</w:t>
      </w:r>
      <w:r w:rsidR="00850690" w:rsidRPr="00621D5D">
        <w:rPr>
          <w:rFonts w:ascii="Tahoma" w:hAnsi="Tahoma" w:cs="Tahoma"/>
          <w:iCs/>
        </w:rPr>
        <w:t xml:space="preserve"> within the work of the OPCC </w:t>
      </w:r>
      <w:r w:rsidR="00621D5D">
        <w:rPr>
          <w:rFonts w:ascii="Tahoma" w:hAnsi="Tahoma" w:cs="Tahoma"/>
          <w:iCs/>
        </w:rPr>
        <w:t>remains</w:t>
      </w:r>
      <w:r w:rsidR="00850690" w:rsidRPr="00621D5D">
        <w:rPr>
          <w:rFonts w:ascii="Tahoma" w:hAnsi="Tahoma" w:cs="Tahoma"/>
          <w:iCs/>
        </w:rPr>
        <w:t xml:space="preserve"> on-going and work will continue to ensure progress is maintained and risks are appropriately captured and managed</w:t>
      </w:r>
      <w:r w:rsidR="00850690" w:rsidRPr="00621D5D">
        <w:rPr>
          <w:rFonts w:ascii="Tahoma" w:hAnsi="Tahoma" w:cs="Tahoma"/>
        </w:rPr>
        <w:t>.</w:t>
      </w:r>
    </w:p>
    <w:p w:rsidR="00C01ACF" w:rsidRDefault="00C01ACF" w:rsidP="00E45929">
      <w:pPr>
        <w:jc w:val="both"/>
      </w:pPr>
    </w:p>
    <w:sectPr w:rsidR="00C01ACF" w:rsidSect="00AD6A88">
      <w:pgSz w:w="11906" w:h="16838"/>
      <w:pgMar w:top="1276"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5D37" w:rsidRDefault="00A25D37" w:rsidP="0007688C">
      <w:r>
        <w:separator/>
      </w:r>
    </w:p>
  </w:endnote>
  <w:endnote w:type="continuationSeparator" w:id="0">
    <w:p w:rsidR="00A25D37" w:rsidRDefault="00A25D37" w:rsidP="0007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5D37" w:rsidRDefault="00A25D37" w:rsidP="0007688C">
      <w:r>
        <w:separator/>
      </w:r>
    </w:p>
  </w:footnote>
  <w:footnote w:type="continuationSeparator" w:id="0">
    <w:p w:rsidR="00A25D37" w:rsidRDefault="00A25D37" w:rsidP="000768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63350"/>
    <w:multiLevelType w:val="hybridMultilevel"/>
    <w:tmpl w:val="8D78C424"/>
    <w:lvl w:ilvl="0" w:tplc="08090001">
      <w:start w:val="1"/>
      <w:numFmt w:val="bullet"/>
      <w:lvlText w:val=""/>
      <w:lvlJc w:val="left"/>
      <w:pPr>
        <w:ind w:left="1310" w:hanging="360"/>
      </w:pPr>
      <w:rPr>
        <w:rFonts w:ascii="Symbol" w:hAnsi="Symbol" w:hint="default"/>
      </w:rPr>
    </w:lvl>
    <w:lvl w:ilvl="1" w:tplc="08090003" w:tentative="1">
      <w:start w:val="1"/>
      <w:numFmt w:val="bullet"/>
      <w:lvlText w:val="o"/>
      <w:lvlJc w:val="left"/>
      <w:pPr>
        <w:ind w:left="2030" w:hanging="360"/>
      </w:pPr>
      <w:rPr>
        <w:rFonts w:ascii="Courier New" w:hAnsi="Courier New" w:cs="Courier New" w:hint="default"/>
      </w:rPr>
    </w:lvl>
    <w:lvl w:ilvl="2" w:tplc="08090005" w:tentative="1">
      <w:start w:val="1"/>
      <w:numFmt w:val="bullet"/>
      <w:lvlText w:val=""/>
      <w:lvlJc w:val="left"/>
      <w:pPr>
        <w:ind w:left="2750" w:hanging="360"/>
      </w:pPr>
      <w:rPr>
        <w:rFonts w:ascii="Wingdings" w:hAnsi="Wingdings" w:hint="default"/>
      </w:rPr>
    </w:lvl>
    <w:lvl w:ilvl="3" w:tplc="08090001" w:tentative="1">
      <w:start w:val="1"/>
      <w:numFmt w:val="bullet"/>
      <w:lvlText w:val=""/>
      <w:lvlJc w:val="left"/>
      <w:pPr>
        <w:ind w:left="3470" w:hanging="360"/>
      </w:pPr>
      <w:rPr>
        <w:rFonts w:ascii="Symbol" w:hAnsi="Symbol" w:hint="default"/>
      </w:rPr>
    </w:lvl>
    <w:lvl w:ilvl="4" w:tplc="08090003" w:tentative="1">
      <w:start w:val="1"/>
      <w:numFmt w:val="bullet"/>
      <w:lvlText w:val="o"/>
      <w:lvlJc w:val="left"/>
      <w:pPr>
        <w:ind w:left="4190" w:hanging="360"/>
      </w:pPr>
      <w:rPr>
        <w:rFonts w:ascii="Courier New" w:hAnsi="Courier New" w:cs="Courier New" w:hint="default"/>
      </w:rPr>
    </w:lvl>
    <w:lvl w:ilvl="5" w:tplc="08090005" w:tentative="1">
      <w:start w:val="1"/>
      <w:numFmt w:val="bullet"/>
      <w:lvlText w:val=""/>
      <w:lvlJc w:val="left"/>
      <w:pPr>
        <w:ind w:left="4910" w:hanging="360"/>
      </w:pPr>
      <w:rPr>
        <w:rFonts w:ascii="Wingdings" w:hAnsi="Wingdings" w:hint="default"/>
      </w:rPr>
    </w:lvl>
    <w:lvl w:ilvl="6" w:tplc="08090001" w:tentative="1">
      <w:start w:val="1"/>
      <w:numFmt w:val="bullet"/>
      <w:lvlText w:val=""/>
      <w:lvlJc w:val="left"/>
      <w:pPr>
        <w:ind w:left="5630" w:hanging="360"/>
      </w:pPr>
      <w:rPr>
        <w:rFonts w:ascii="Symbol" w:hAnsi="Symbol" w:hint="default"/>
      </w:rPr>
    </w:lvl>
    <w:lvl w:ilvl="7" w:tplc="08090003" w:tentative="1">
      <w:start w:val="1"/>
      <w:numFmt w:val="bullet"/>
      <w:lvlText w:val="o"/>
      <w:lvlJc w:val="left"/>
      <w:pPr>
        <w:ind w:left="6350" w:hanging="360"/>
      </w:pPr>
      <w:rPr>
        <w:rFonts w:ascii="Courier New" w:hAnsi="Courier New" w:cs="Courier New" w:hint="default"/>
      </w:rPr>
    </w:lvl>
    <w:lvl w:ilvl="8" w:tplc="08090005" w:tentative="1">
      <w:start w:val="1"/>
      <w:numFmt w:val="bullet"/>
      <w:lvlText w:val=""/>
      <w:lvlJc w:val="left"/>
      <w:pPr>
        <w:ind w:left="7070" w:hanging="360"/>
      </w:pPr>
      <w:rPr>
        <w:rFonts w:ascii="Wingdings" w:hAnsi="Wingdings" w:hint="default"/>
      </w:rPr>
    </w:lvl>
  </w:abstractNum>
  <w:abstractNum w:abstractNumId="1" w15:restartNumberingAfterBreak="0">
    <w:nsid w:val="09E846F3"/>
    <w:multiLevelType w:val="multilevel"/>
    <w:tmpl w:val="4BA68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7636CA"/>
    <w:multiLevelType w:val="multilevel"/>
    <w:tmpl w:val="263C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6B7951"/>
    <w:multiLevelType w:val="hybridMultilevel"/>
    <w:tmpl w:val="F6C0B34E"/>
    <w:lvl w:ilvl="0" w:tplc="D018D658">
      <w:start w:val="4"/>
      <w:numFmt w:val="decimal"/>
      <w:lvlText w:val="%1"/>
      <w:lvlJc w:val="left"/>
      <w:pPr>
        <w:tabs>
          <w:tab w:val="num" w:pos="2591"/>
        </w:tabs>
        <w:ind w:left="2591" w:hanging="360"/>
      </w:pPr>
    </w:lvl>
    <w:lvl w:ilvl="1" w:tplc="08090019">
      <w:start w:val="1"/>
      <w:numFmt w:val="lowerLetter"/>
      <w:lvlText w:val="%2."/>
      <w:lvlJc w:val="left"/>
      <w:pPr>
        <w:tabs>
          <w:tab w:val="num" w:pos="2602"/>
        </w:tabs>
        <w:ind w:left="2602" w:hanging="360"/>
      </w:pPr>
    </w:lvl>
    <w:lvl w:ilvl="2" w:tplc="0809001B">
      <w:start w:val="1"/>
      <w:numFmt w:val="lowerRoman"/>
      <w:lvlText w:val="%3."/>
      <w:lvlJc w:val="right"/>
      <w:pPr>
        <w:tabs>
          <w:tab w:val="num" w:pos="3322"/>
        </w:tabs>
        <w:ind w:left="3322" w:hanging="180"/>
      </w:pPr>
    </w:lvl>
    <w:lvl w:ilvl="3" w:tplc="0809000F">
      <w:start w:val="1"/>
      <w:numFmt w:val="decimal"/>
      <w:lvlText w:val="%4."/>
      <w:lvlJc w:val="left"/>
      <w:pPr>
        <w:tabs>
          <w:tab w:val="num" w:pos="4042"/>
        </w:tabs>
        <w:ind w:left="4042" w:hanging="360"/>
      </w:pPr>
    </w:lvl>
    <w:lvl w:ilvl="4" w:tplc="08090019">
      <w:start w:val="1"/>
      <w:numFmt w:val="lowerLetter"/>
      <w:lvlText w:val="%5."/>
      <w:lvlJc w:val="left"/>
      <w:pPr>
        <w:tabs>
          <w:tab w:val="num" w:pos="4762"/>
        </w:tabs>
        <w:ind w:left="4762" w:hanging="360"/>
      </w:pPr>
    </w:lvl>
    <w:lvl w:ilvl="5" w:tplc="0809001B">
      <w:start w:val="1"/>
      <w:numFmt w:val="lowerRoman"/>
      <w:lvlText w:val="%6."/>
      <w:lvlJc w:val="right"/>
      <w:pPr>
        <w:tabs>
          <w:tab w:val="num" w:pos="5482"/>
        </w:tabs>
        <w:ind w:left="5482" w:hanging="180"/>
      </w:pPr>
    </w:lvl>
    <w:lvl w:ilvl="6" w:tplc="0809000F">
      <w:start w:val="1"/>
      <w:numFmt w:val="decimal"/>
      <w:lvlText w:val="%7."/>
      <w:lvlJc w:val="left"/>
      <w:pPr>
        <w:tabs>
          <w:tab w:val="num" w:pos="6202"/>
        </w:tabs>
        <w:ind w:left="6202" w:hanging="360"/>
      </w:pPr>
    </w:lvl>
    <w:lvl w:ilvl="7" w:tplc="08090019">
      <w:start w:val="1"/>
      <w:numFmt w:val="lowerLetter"/>
      <w:lvlText w:val="%8."/>
      <w:lvlJc w:val="left"/>
      <w:pPr>
        <w:tabs>
          <w:tab w:val="num" w:pos="6922"/>
        </w:tabs>
        <w:ind w:left="6922" w:hanging="360"/>
      </w:pPr>
    </w:lvl>
    <w:lvl w:ilvl="8" w:tplc="0809001B">
      <w:start w:val="1"/>
      <w:numFmt w:val="lowerRoman"/>
      <w:lvlText w:val="%9."/>
      <w:lvlJc w:val="right"/>
      <w:pPr>
        <w:tabs>
          <w:tab w:val="num" w:pos="7642"/>
        </w:tabs>
        <w:ind w:left="7642" w:hanging="180"/>
      </w:pPr>
    </w:lvl>
  </w:abstractNum>
  <w:abstractNum w:abstractNumId="4" w15:restartNumberingAfterBreak="0">
    <w:nsid w:val="209239CD"/>
    <w:multiLevelType w:val="hybridMultilevel"/>
    <w:tmpl w:val="35C4225C"/>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5" w15:restartNumberingAfterBreak="0">
    <w:nsid w:val="226251F3"/>
    <w:multiLevelType w:val="multilevel"/>
    <w:tmpl w:val="3568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E40C1C"/>
    <w:multiLevelType w:val="multilevel"/>
    <w:tmpl w:val="80FC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A76EDF"/>
    <w:multiLevelType w:val="multilevel"/>
    <w:tmpl w:val="4F7EE89E"/>
    <w:lvl w:ilvl="0">
      <w:start w:val="7"/>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8" w15:restartNumberingAfterBreak="0">
    <w:nsid w:val="353D2E12"/>
    <w:multiLevelType w:val="multilevel"/>
    <w:tmpl w:val="23C6D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B2436C"/>
    <w:multiLevelType w:val="multilevel"/>
    <w:tmpl w:val="9E9C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B92461"/>
    <w:multiLevelType w:val="multilevel"/>
    <w:tmpl w:val="21C612A4"/>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6A0C2EDC"/>
    <w:multiLevelType w:val="multilevel"/>
    <w:tmpl w:val="D2FE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6F7214"/>
    <w:multiLevelType w:val="multilevel"/>
    <w:tmpl w:val="817C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1A184D"/>
    <w:multiLevelType w:val="multilevel"/>
    <w:tmpl w:val="D5FA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1A4140"/>
    <w:multiLevelType w:val="multilevel"/>
    <w:tmpl w:val="EB1C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B0744"/>
    <w:multiLevelType w:val="multilevel"/>
    <w:tmpl w:val="F6247958"/>
    <w:lvl w:ilvl="0">
      <w:start w:val="4"/>
      <w:numFmt w:val="decimal"/>
      <w:lvlText w:val="%1"/>
      <w:lvlJc w:val="left"/>
      <w:pPr>
        <w:tabs>
          <w:tab w:val="num" w:pos="927"/>
        </w:tabs>
        <w:ind w:left="927" w:hanging="360"/>
      </w:pPr>
    </w:lvl>
    <w:lvl w:ilvl="1">
      <w:start w:val="1"/>
      <w:numFmt w:val="decimal"/>
      <w:isLgl/>
      <w:lvlText w:val="%1.%2"/>
      <w:lvlJc w:val="left"/>
      <w:pPr>
        <w:tabs>
          <w:tab w:val="num" w:pos="1287"/>
        </w:tabs>
        <w:ind w:left="1287" w:hanging="720"/>
      </w:pPr>
    </w:lvl>
    <w:lvl w:ilvl="2">
      <w:start w:val="1"/>
      <w:numFmt w:val="decimal"/>
      <w:isLgl/>
      <w:lvlText w:val="%1.%2.%3"/>
      <w:lvlJc w:val="left"/>
      <w:pPr>
        <w:tabs>
          <w:tab w:val="num" w:pos="1287"/>
        </w:tabs>
        <w:ind w:left="1287" w:hanging="720"/>
      </w:p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2007"/>
        </w:tabs>
        <w:ind w:left="2007" w:hanging="144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367"/>
        </w:tabs>
        <w:ind w:left="2367" w:hanging="1800"/>
      </w:pPr>
    </w:lvl>
    <w:lvl w:ilvl="7">
      <w:start w:val="1"/>
      <w:numFmt w:val="decimal"/>
      <w:isLgl/>
      <w:lvlText w:val="%1.%2.%3.%4.%5.%6.%7.%8"/>
      <w:lvlJc w:val="left"/>
      <w:pPr>
        <w:tabs>
          <w:tab w:val="num" w:pos="2727"/>
        </w:tabs>
        <w:ind w:left="2727" w:hanging="2160"/>
      </w:pPr>
    </w:lvl>
    <w:lvl w:ilvl="8">
      <w:start w:val="1"/>
      <w:numFmt w:val="decimal"/>
      <w:isLgl/>
      <w:lvlText w:val="%1.%2.%3.%4.%5.%6.%7.%8.%9"/>
      <w:lvlJc w:val="left"/>
      <w:pPr>
        <w:tabs>
          <w:tab w:val="num" w:pos="2727"/>
        </w:tabs>
        <w:ind w:left="2727" w:hanging="2160"/>
      </w:pPr>
    </w:lvl>
  </w:abstractNum>
  <w:abstractNum w:abstractNumId="16" w15:restartNumberingAfterBreak="0">
    <w:nsid w:val="7CEF3B5C"/>
    <w:multiLevelType w:val="multilevel"/>
    <w:tmpl w:val="0DE8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515499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792065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6883356">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7018835">
    <w:abstractNumId w:val="10"/>
  </w:num>
  <w:num w:numId="5" w16cid:durableId="1737631038">
    <w:abstractNumId w:val="3"/>
  </w:num>
  <w:num w:numId="6" w16cid:durableId="917442288">
    <w:abstractNumId w:val="9"/>
  </w:num>
  <w:num w:numId="7" w16cid:durableId="1143624412">
    <w:abstractNumId w:val="13"/>
  </w:num>
  <w:num w:numId="8" w16cid:durableId="226495570">
    <w:abstractNumId w:val="16"/>
  </w:num>
  <w:num w:numId="9" w16cid:durableId="1284968545">
    <w:abstractNumId w:val="12"/>
  </w:num>
  <w:num w:numId="10" w16cid:durableId="303505167">
    <w:abstractNumId w:val="6"/>
  </w:num>
  <w:num w:numId="11" w16cid:durableId="567425825">
    <w:abstractNumId w:val="14"/>
  </w:num>
  <w:num w:numId="12" w16cid:durableId="2100370146">
    <w:abstractNumId w:val="5"/>
  </w:num>
  <w:num w:numId="13" w16cid:durableId="1341011639">
    <w:abstractNumId w:val="11"/>
  </w:num>
  <w:num w:numId="14" w16cid:durableId="765228582">
    <w:abstractNumId w:val="4"/>
  </w:num>
  <w:num w:numId="15" w16cid:durableId="1319771386">
    <w:abstractNumId w:val="0"/>
  </w:num>
  <w:num w:numId="16" w16cid:durableId="445733153">
    <w:abstractNumId w:val="1"/>
  </w:num>
  <w:num w:numId="17" w16cid:durableId="1388141188">
    <w:abstractNumId w:val="8"/>
  </w:num>
  <w:num w:numId="18" w16cid:durableId="16128591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LastOpened" w:val="06/09/2021 13:07"/>
  </w:docVars>
  <w:rsids>
    <w:rsidRoot w:val="00EE05EB"/>
    <w:rsid w:val="00036BAC"/>
    <w:rsid w:val="00064935"/>
    <w:rsid w:val="000705E8"/>
    <w:rsid w:val="0007688C"/>
    <w:rsid w:val="000D43C9"/>
    <w:rsid w:val="000F46A0"/>
    <w:rsid w:val="001373FC"/>
    <w:rsid w:val="00144146"/>
    <w:rsid w:val="00147B9F"/>
    <w:rsid w:val="00156B1B"/>
    <w:rsid w:val="00167FBD"/>
    <w:rsid w:val="0017255F"/>
    <w:rsid w:val="00180DF7"/>
    <w:rsid w:val="0018534C"/>
    <w:rsid w:val="00197F20"/>
    <w:rsid w:val="001F427F"/>
    <w:rsid w:val="001F6097"/>
    <w:rsid w:val="001F7815"/>
    <w:rsid w:val="00206A01"/>
    <w:rsid w:val="002074D5"/>
    <w:rsid w:val="00261127"/>
    <w:rsid w:val="00284437"/>
    <w:rsid w:val="00284BEC"/>
    <w:rsid w:val="002854C3"/>
    <w:rsid w:val="00286DE4"/>
    <w:rsid w:val="00287931"/>
    <w:rsid w:val="002B00CC"/>
    <w:rsid w:val="002D631A"/>
    <w:rsid w:val="002E7B36"/>
    <w:rsid w:val="002F337B"/>
    <w:rsid w:val="003071C9"/>
    <w:rsid w:val="003074C8"/>
    <w:rsid w:val="00347D2F"/>
    <w:rsid w:val="00397B1B"/>
    <w:rsid w:val="003B4C63"/>
    <w:rsid w:val="0040483F"/>
    <w:rsid w:val="00411E2D"/>
    <w:rsid w:val="00421C22"/>
    <w:rsid w:val="00454A61"/>
    <w:rsid w:val="004E6F0C"/>
    <w:rsid w:val="004E737E"/>
    <w:rsid w:val="00526E4B"/>
    <w:rsid w:val="00554C46"/>
    <w:rsid w:val="0057014F"/>
    <w:rsid w:val="005A0F84"/>
    <w:rsid w:val="005D3689"/>
    <w:rsid w:val="005E06F9"/>
    <w:rsid w:val="005E7EC7"/>
    <w:rsid w:val="00621D5D"/>
    <w:rsid w:val="00643EF6"/>
    <w:rsid w:val="006A4EDE"/>
    <w:rsid w:val="006E42A1"/>
    <w:rsid w:val="006F5F89"/>
    <w:rsid w:val="00710EA0"/>
    <w:rsid w:val="0076792A"/>
    <w:rsid w:val="007A43D0"/>
    <w:rsid w:val="007D3774"/>
    <w:rsid w:val="008137B2"/>
    <w:rsid w:val="00850690"/>
    <w:rsid w:val="00855D5F"/>
    <w:rsid w:val="00897C71"/>
    <w:rsid w:val="008B7274"/>
    <w:rsid w:val="008D1022"/>
    <w:rsid w:val="009032A8"/>
    <w:rsid w:val="00961492"/>
    <w:rsid w:val="00990B9F"/>
    <w:rsid w:val="009C142D"/>
    <w:rsid w:val="009D4A94"/>
    <w:rsid w:val="009E564C"/>
    <w:rsid w:val="009E5F8F"/>
    <w:rsid w:val="00A25D37"/>
    <w:rsid w:val="00A770BC"/>
    <w:rsid w:val="00A87CF9"/>
    <w:rsid w:val="00A916C4"/>
    <w:rsid w:val="00AA1FC8"/>
    <w:rsid w:val="00AD6A88"/>
    <w:rsid w:val="00AE7BA5"/>
    <w:rsid w:val="00AF7E8B"/>
    <w:rsid w:val="00B33A90"/>
    <w:rsid w:val="00B3630C"/>
    <w:rsid w:val="00B82AA2"/>
    <w:rsid w:val="00B95467"/>
    <w:rsid w:val="00BB4603"/>
    <w:rsid w:val="00BC7EF2"/>
    <w:rsid w:val="00C01ACF"/>
    <w:rsid w:val="00C0274C"/>
    <w:rsid w:val="00C10A7B"/>
    <w:rsid w:val="00C16577"/>
    <w:rsid w:val="00C16CBA"/>
    <w:rsid w:val="00C23DCB"/>
    <w:rsid w:val="00C24FAD"/>
    <w:rsid w:val="00C7559C"/>
    <w:rsid w:val="00C810BC"/>
    <w:rsid w:val="00C82C1D"/>
    <w:rsid w:val="00CA01A6"/>
    <w:rsid w:val="00CE0C73"/>
    <w:rsid w:val="00D0213B"/>
    <w:rsid w:val="00D20857"/>
    <w:rsid w:val="00D57949"/>
    <w:rsid w:val="00DA097C"/>
    <w:rsid w:val="00DD4807"/>
    <w:rsid w:val="00DF101B"/>
    <w:rsid w:val="00E45929"/>
    <w:rsid w:val="00E5272E"/>
    <w:rsid w:val="00E76687"/>
    <w:rsid w:val="00E80517"/>
    <w:rsid w:val="00E86E24"/>
    <w:rsid w:val="00EE05EB"/>
    <w:rsid w:val="00EE331F"/>
    <w:rsid w:val="00EE5A00"/>
    <w:rsid w:val="00EF1104"/>
    <w:rsid w:val="00F06E5E"/>
    <w:rsid w:val="00F45178"/>
    <w:rsid w:val="00FB3913"/>
    <w:rsid w:val="00FD0EEA"/>
    <w:rsid w:val="00FE39E9"/>
    <w:rsid w:val="00FE7FE3"/>
    <w:rsid w:val="00FF1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43B2A"/>
  <w15:docId w15:val="{8ECA506A-53A1-47D0-AD10-CCA6A15B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5EB"/>
    <w:pPr>
      <w:spacing w:after="0" w:line="240" w:lineRule="auto"/>
    </w:pPr>
    <w:rPr>
      <w:rFonts w:ascii="Arial" w:eastAsia="Times New Roman" w:hAnsi="Arial"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7F20"/>
    <w:rPr>
      <w:rFonts w:ascii="Tahoma" w:hAnsi="Tahoma" w:cs="Tahoma"/>
      <w:sz w:val="16"/>
      <w:szCs w:val="16"/>
    </w:rPr>
  </w:style>
  <w:style w:type="character" w:customStyle="1" w:styleId="BalloonTextChar">
    <w:name w:val="Balloon Text Char"/>
    <w:basedOn w:val="DefaultParagraphFont"/>
    <w:link w:val="BalloonText"/>
    <w:uiPriority w:val="99"/>
    <w:semiHidden/>
    <w:rsid w:val="00197F20"/>
    <w:rPr>
      <w:rFonts w:ascii="Tahoma" w:eastAsia="Times New Roman" w:hAnsi="Tahoma" w:cs="Tahoma"/>
      <w:sz w:val="16"/>
      <w:szCs w:val="16"/>
      <w:lang w:eastAsia="en-GB"/>
    </w:rPr>
  </w:style>
  <w:style w:type="paragraph" w:styleId="ListParagraph">
    <w:name w:val="List Paragraph"/>
    <w:basedOn w:val="Normal"/>
    <w:uiPriority w:val="34"/>
    <w:qFormat/>
    <w:rsid w:val="001F427F"/>
    <w:pPr>
      <w:ind w:left="720"/>
      <w:contextualSpacing/>
    </w:pPr>
  </w:style>
  <w:style w:type="character" w:styleId="Hyperlink">
    <w:name w:val="Hyperlink"/>
    <w:basedOn w:val="DefaultParagraphFont"/>
    <w:uiPriority w:val="99"/>
    <w:unhideWhenUsed/>
    <w:rsid w:val="00526E4B"/>
    <w:rPr>
      <w:color w:val="0000FF" w:themeColor="hyperlink"/>
      <w:u w:val="single"/>
    </w:rPr>
  </w:style>
  <w:style w:type="paragraph" w:styleId="z-TopofForm">
    <w:name w:val="HTML Top of Form"/>
    <w:basedOn w:val="Normal"/>
    <w:next w:val="Normal"/>
    <w:link w:val="z-TopofFormChar"/>
    <w:hidden/>
    <w:uiPriority w:val="99"/>
    <w:semiHidden/>
    <w:unhideWhenUsed/>
    <w:rsid w:val="003071C9"/>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71C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3071C9"/>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71C9"/>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97531">
      <w:bodyDiv w:val="1"/>
      <w:marLeft w:val="0"/>
      <w:marRight w:val="0"/>
      <w:marTop w:val="0"/>
      <w:marBottom w:val="0"/>
      <w:divBdr>
        <w:top w:val="none" w:sz="0" w:space="0" w:color="auto"/>
        <w:left w:val="none" w:sz="0" w:space="0" w:color="auto"/>
        <w:bottom w:val="none" w:sz="0" w:space="0" w:color="auto"/>
        <w:right w:val="none" w:sz="0" w:space="0" w:color="auto"/>
      </w:divBdr>
      <w:divsChild>
        <w:div w:id="1579748570">
          <w:marLeft w:val="0"/>
          <w:marRight w:val="0"/>
          <w:marTop w:val="0"/>
          <w:marBottom w:val="0"/>
          <w:divBdr>
            <w:top w:val="none" w:sz="0" w:space="0" w:color="auto"/>
            <w:left w:val="none" w:sz="0" w:space="0" w:color="auto"/>
            <w:bottom w:val="none" w:sz="0" w:space="0" w:color="auto"/>
            <w:right w:val="none" w:sz="0" w:space="0" w:color="auto"/>
          </w:divBdr>
          <w:divsChild>
            <w:div w:id="566764749">
              <w:marLeft w:val="0"/>
              <w:marRight w:val="0"/>
              <w:marTop w:val="0"/>
              <w:marBottom w:val="0"/>
              <w:divBdr>
                <w:top w:val="none" w:sz="0" w:space="0" w:color="auto"/>
                <w:left w:val="none" w:sz="0" w:space="0" w:color="auto"/>
                <w:bottom w:val="none" w:sz="0" w:space="0" w:color="auto"/>
                <w:right w:val="none" w:sz="0" w:space="0" w:color="auto"/>
              </w:divBdr>
              <w:divsChild>
                <w:div w:id="518929039">
                  <w:marLeft w:val="0"/>
                  <w:marRight w:val="0"/>
                  <w:marTop w:val="0"/>
                  <w:marBottom w:val="150"/>
                  <w:divBdr>
                    <w:top w:val="none" w:sz="0" w:space="0" w:color="auto"/>
                    <w:left w:val="none" w:sz="0" w:space="0" w:color="auto"/>
                    <w:bottom w:val="none" w:sz="0" w:space="0" w:color="auto"/>
                    <w:right w:val="none" w:sz="0" w:space="0" w:color="auto"/>
                  </w:divBdr>
                  <w:divsChild>
                    <w:div w:id="1365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05278">
      <w:bodyDiv w:val="1"/>
      <w:marLeft w:val="0"/>
      <w:marRight w:val="0"/>
      <w:marTop w:val="0"/>
      <w:marBottom w:val="0"/>
      <w:divBdr>
        <w:top w:val="none" w:sz="0" w:space="0" w:color="auto"/>
        <w:left w:val="none" w:sz="0" w:space="0" w:color="auto"/>
        <w:bottom w:val="none" w:sz="0" w:space="0" w:color="auto"/>
        <w:right w:val="none" w:sz="0" w:space="0" w:color="auto"/>
      </w:divBdr>
      <w:divsChild>
        <w:div w:id="56972838">
          <w:marLeft w:val="0"/>
          <w:marRight w:val="0"/>
          <w:marTop w:val="0"/>
          <w:marBottom w:val="0"/>
          <w:divBdr>
            <w:top w:val="none" w:sz="0" w:space="0" w:color="auto"/>
            <w:left w:val="none" w:sz="0" w:space="0" w:color="auto"/>
            <w:bottom w:val="none" w:sz="0" w:space="0" w:color="auto"/>
            <w:right w:val="none" w:sz="0" w:space="0" w:color="auto"/>
          </w:divBdr>
          <w:divsChild>
            <w:div w:id="574049312">
              <w:marLeft w:val="0"/>
              <w:marRight w:val="0"/>
              <w:marTop w:val="0"/>
              <w:marBottom w:val="0"/>
              <w:divBdr>
                <w:top w:val="none" w:sz="0" w:space="0" w:color="auto"/>
                <w:left w:val="none" w:sz="0" w:space="0" w:color="auto"/>
                <w:bottom w:val="none" w:sz="0" w:space="0" w:color="auto"/>
                <w:right w:val="none" w:sz="0" w:space="0" w:color="auto"/>
              </w:divBdr>
              <w:divsChild>
                <w:div w:id="1701515653">
                  <w:marLeft w:val="0"/>
                  <w:marRight w:val="0"/>
                  <w:marTop w:val="0"/>
                  <w:marBottom w:val="150"/>
                  <w:divBdr>
                    <w:top w:val="none" w:sz="0" w:space="0" w:color="auto"/>
                    <w:left w:val="none" w:sz="0" w:space="0" w:color="auto"/>
                    <w:bottom w:val="none" w:sz="0" w:space="0" w:color="auto"/>
                    <w:right w:val="none" w:sz="0" w:space="0" w:color="auto"/>
                  </w:divBdr>
                  <w:divsChild>
                    <w:div w:id="797072476">
                      <w:marLeft w:val="0"/>
                      <w:marRight w:val="0"/>
                      <w:marTop w:val="0"/>
                      <w:marBottom w:val="0"/>
                      <w:divBdr>
                        <w:top w:val="none" w:sz="0" w:space="0" w:color="auto"/>
                        <w:left w:val="none" w:sz="0" w:space="0" w:color="auto"/>
                        <w:bottom w:val="none" w:sz="0" w:space="0" w:color="auto"/>
                        <w:right w:val="none" w:sz="0" w:space="0" w:color="auto"/>
                      </w:divBdr>
                      <w:divsChild>
                        <w:div w:id="1073159620">
                          <w:marLeft w:val="0"/>
                          <w:marRight w:val="0"/>
                          <w:marTop w:val="0"/>
                          <w:marBottom w:val="0"/>
                          <w:divBdr>
                            <w:top w:val="none" w:sz="0" w:space="0" w:color="auto"/>
                            <w:left w:val="none" w:sz="0" w:space="0" w:color="auto"/>
                            <w:bottom w:val="none" w:sz="0" w:space="0" w:color="auto"/>
                            <w:right w:val="none" w:sz="0" w:space="0" w:color="auto"/>
                          </w:divBdr>
                          <w:divsChild>
                            <w:div w:id="702943838">
                              <w:marLeft w:val="0"/>
                              <w:marRight w:val="0"/>
                              <w:marTop w:val="0"/>
                              <w:marBottom w:val="0"/>
                              <w:divBdr>
                                <w:top w:val="none" w:sz="0" w:space="0" w:color="auto"/>
                                <w:left w:val="none" w:sz="0" w:space="0" w:color="auto"/>
                                <w:bottom w:val="none" w:sz="0" w:space="0" w:color="auto"/>
                                <w:right w:val="none" w:sz="0" w:space="0" w:color="auto"/>
                              </w:divBdr>
                              <w:divsChild>
                                <w:div w:id="53569601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9939143">
      <w:bodyDiv w:val="1"/>
      <w:marLeft w:val="0"/>
      <w:marRight w:val="0"/>
      <w:marTop w:val="0"/>
      <w:marBottom w:val="0"/>
      <w:divBdr>
        <w:top w:val="none" w:sz="0" w:space="0" w:color="auto"/>
        <w:left w:val="none" w:sz="0" w:space="0" w:color="auto"/>
        <w:bottom w:val="none" w:sz="0" w:space="0" w:color="auto"/>
        <w:right w:val="none" w:sz="0" w:space="0" w:color="auto"/>
      </w:divBdr>
    </w:div>
    <w:div w:id="239828877">
      <w:bodyDiv w:val="1"/>
      <w:marLeft w:val="0"/>
      <w:marRight w:val="0"/>
      <w:marTop w:val="0"/>
      <w:marBottom w:val="0"/>
      <w:divBdr>
        <w:top w:val="none" w:sz="0" w:space="0" w:color="auto"/>
        <w:left w:val="none" w:sz="0" w:space="0" w:color="auto"/>
        <w:bottom w:val="none" w:sz="0" w:space="0" w:color="auto"/>
        <w:right w:val="none" w:sz="0" w:space="0" w:color="auto"/>
      </w:divBdr>
      <w:divsChild>
        <w:div w:id="623075295">
          <w:marLeft w:val="0"/>
          <w:marRight w:val="0"/>
          <w:marTop w:val="0"/>
          <w:marBottom w:val="0"/>
          <w:divBdr>
            <w:top w:val="none" w:sz="0" w:space="0" w:color="auto"/>
            <w:left w:val="none" w:sz="0" w:space="0" w:color="auto"/>
            <w:bottom w:val="none" w:sz="0" w:space="0" w:color="auto"/>
            <w:right w:val="none" w:sz="0" w:space="0" w:color="auto"/>
          </w:divBdr>
          <w:divsChild>
            <w:div w:id="1872374000">
              <w:marLeft w:val="0"/>
              <w:marRight w:val="0"/>
              <w:marTop w:val="0"/>
              <w:marBottom w:val="0"/>
              <w:divBdr>
                <w:top w:val="none" w:sz="0" w:space="0" w:color="auto"/>
                <w:left w:val="none" w:sz="0" w:space="0" w:color="auto"/>
                <w:bottom w:val="none" w:sz="0" w:space="0" w:color="auto"/>
                <w:right w:val="none" w:sz="0" w:space="0" w:color="auto"/>
              </w:divBdr>
              <w:divsChild>
                <w:div w:id="1820533108">
                  <w:marLeft w:val="0"/>
                  <w:marRight w:val="0"/>
                  <w:marTop w:val="0"/>
                  <w:marBottom w:val="150"/>
                  <w:divBdr>
                    <w:top w:val="none" w:sz="0" w:space="0" w:color="auto"/>
                    <w:left w:val="none" w:sz="0" w:space="0" w:color="auto"/>
                    <w:bottom w:val="none" w:sz="0" w:space="0" w:color="auto"/>
                    <w:right w:val="none" w:sz="0" w:space="0" w:color="auto"/>
                  </w:divBdr>
                  <w:divsChild>
                    <w:div w:id="742070897">
                      <w:marLeft w:val="0"/>
                      <w:marRight w:val="0"/>
                      <w:marTop w:val="0"/>
                      <w:marBottom w:val="0"/>
                      <w:divBdr>
                        <w:top w:val="none" w:sz="0" w:space="0" w:color="auto"/>
                        <w:left w:val="none" w:sz="0" w:space="0" w:color="auto"/>
                        <w:bottom w:val="none" w:sz="0" w:space="0" w:color="auto"/>
                        <w:right w:val="none" w:sz="0" w:space="0" w:color="auto"/>
                      </w:divBdr>
                      <w:divsChild>
                        <w:div w:id="1600987148">
                          <w:marLeft w:val="0"/>
                          <w:marRight w:val="0"/>
                          <w:marTop w:val="0"/>
                          <w:marBottom w:val="0"/>
                          <w:divBdr>
                            <w:top w:val="none" w:sz="0" w:space="0" w:color="auto"/>
                            <w:left w:val="none" w:sz="0" w:space="0" w:color="auto"/>
                            <w:bottom w:val="none" w:sz="0" w:space="0" w:color="auto"/>
                            <w:right w:val="none" w:sz="0" w:space="0" w:color="auto"/>
                          </w:divBdr>
                          <w:divsChild>
                            <w:div w:id="22631219">
                              <w:marLeft w:val="0"/>
                              <w:marRight w:val="0"/>
                              <w:marTop w:val="0"/>
                              <w:marBottom w:val="0"/>
                              <w:divBdr>
                                <w:top w:val="none" w:sz="0" w:space="0" w:color="auto"/>
                                <w:left w:val="none" w:sz="0" w:space="0" w:color="auto"/>
                                <w:bottom w:val="none" w:sz="0" w:space="0" w:color="auto"/>
                                <w:right w:val="none" w:sz="0" w:space="0" w:color="auto"/>
                              </w:divBdr>
                              <w:divsChild>
                                <w:div w:id="125443693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312610349">
      <w:bodyDiv w:val="1"/>
      <w:marLeft w:val="0"/>
      <w:marRight w:val="0"/>
      <w:marTop w:val="0"/>
      <w:marBottom w:val="0"/>
      <w:divBdr>
        <w:top w:val="none" w:sz="0" w:space="0" w:color="auto"/>
        <w:left w:val="none" w:sz="0" w:space="0" w:color="auto"/>
        <w:bottom w:val="none" w:sz="0" w:space="0" w:color="auto"/>
        <w:right w:val="none" w:sz="0" w:space="0" w:color="auto"/>
      </w:divBdr>
      <w:divsChild>
        <w:div w:id="1244487333">
          <w:marLeft w:val="0"/>
          <w:marRight w:val="0"/>
          <w:marTop w:val="0"/>
          <w:marBottom w:val="0"/>
          <w:divBdr>
            <w:top w:val="none" w:sz="0" w:space="0" w:color="auto"/>
            <w:left w:val="none" w:sz="0" w:space="0" w:color="auto"/>
            <w:bottom w:val="none" w:sz="0" w:space="0" w:color="auto"/>
            <w:right w:val="none" w:sz="0" w:space="0" w:color="auto"/>
          </w:divBdr>
          <w:divsChild>
            <w:div w:id="1703440914">
              <w:marLeft w:val="0"/>
              <w:marRight w:val="0"/>
              <w:marTop w:val="0"/>
              <w:marBottom w:val="0"/>
              <w:divBdr>
                <w:top w:val="none" w:sz="0" w:space="0" w:color="auto"/>
                <w:left w:val="none" w:sz="0" w:space="0" w:color="auto"/>
                <w:bottom w:val="none" w:sz="0" w:space="0" w:color="auto"/>
                <w:right w:val="none" w:sz="0" w:space="0" w:color="auto"/>
              </w:divBdr>
              <w:divsChild>
                <w:div w:id="77411441">
                  <w:marLeft w:val="0"/>
                  <w:marRight w:val="0"/>
                  <w:marTop w:val="0"/>
                  <w:marBottom w:val="150"/>
                  <w:divBdr>
                    <w:top w:val="none" w:sz="0" w:space="0" w:color="auto"/>
                    <w:left w:val="none" w:sz="0" w:space="0" w:color="auto"/>
                    <w:bottom w:val="none" w:sz="0" w:space="0" w:color="auto"/>
                    <w:right w:val="none" w:sz="0" w:space="0" w:color="auto"/>
                  </w:divBdr>
                  <w:divsChild>
                    <w:div w:id="70321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84661">
      <w:bodyDiv w:val="1"/>
      <w:marLeft w:val="0"/>
      <w:marRight w:val="0"/>
      <w:marTop w:val="0"/>
      <w:marBottom w:val="0"/>
      <w:divBdr>
        <w:top w:val="none" w:sz="0" w:space="0" w:color="auto"/>
        <w:left w:val="none" w:sz="0" w:space="0" w:color="auto"/>
        <w:bottom w:val="none" w:sz="0" w:space="0" w:color="auto"/>
        <w:right w:val="none" w:sz="0" w:space="0" w:color="auto"/>
      </w:divBdr>
      <w:divsChild>
        <w:div w:id="1516580197">
          <w:marLeft w:val="0"/>
          <w:marRight w:val="0"/>
          <w:marTop w:val="0"/>
          <w:marBottom w:val="0"/>
          <w:divBdr>
            <w:top w:val="none" w:sz="0" w:space="0" w:color="auto"/>
            <w:left w:val="none" w:sz="0" w:space="0" w:color="auto"/>
            <w:bottom w:val="none" w:sz="0" w:space="0" w:color="auto"/>
            <w:right w:val="none" w:sz="0" w:space="0" w:color="auto"/>
          </w:divBdr>
          <w:divsChild>
            <w:div w:id="1550728379">
              <w:marLeft w:val="0"/>
              <w:marRight w:val="0"/>
              <w:marTop w:val="0"/>
              <w:marBottom w:val="0"/>
              <w:divBdr>
                <w:top w:val="none" w:sz="0" w:space="0" w:color="auto"/>
                <w:left w:val="none" w:sz="0" w:space="0" w:color="auto"/>
                <w:bottom w:val="none" w:sz="0" w:space="0" w:color="auto"/>
                <w:right w:val="none" w:sz="0" w:space="0" w:color="auto"/>
              </w:divBdr>
              <w:divsChild>
                <w:div w:id="1002439409">
                  <w:marLeft w:val="0"/>
                  <w:marRight w:val="0"/>
                  <w:marTop w:val="0"/>
                  <w:marBottom w:val="150"/>
                  <w:divBdr>
                    <w:top w:val="none" w:sz="0" w:space="0" w:color="auto"/>
                    <w:left w:val="none" w:sz="0" w:space="0" w:color="auto"/>
                    <w:bottom w:val="none" w:sz="0" w:space="0" w:color="auto"/>
                    <w:right w:val="none" w:sz="0" w:space="0" w:color="auto"/>
                  </w:divBdr>
                  <w:divsChild>
                    <w:div w:id="53941494">
                      <w:marLeft w:val="0"/>
                      <w:marRight w:val="0"/>
                      <w:marTop w:val="0"/>
                      <w:marBottom w:val="0"/>
                      <w:divBdr>
                        <w:top w:val="none" w:sz="0" w:space="0" w:color="auto"/>
                        <w:left w:val="none" w:sz="0" w:space="0" w:color="auto"/>
                        <w:bottom w:val="none" w:sz="0" w:space="0" w:color="auto"/>
                        <w:right w:val="none" w:sz="0" w:space="0" w:color="auto"/>
                      </w:divBdr>
                      <w:divsChild>
                        <w:div w:id="605307149">
                          <w:marLeft w:val="0"/>
                          <w:marRight w:val="0"/>
                          <w:marTop w:val="0"/>
                          <w:marBottom w:val="0"/>
                          <w:divBdr>
                            <w:top w:val="none" w:sz="0" w:space="0" w:color="auto"/>
                            <w:left w:val="none" w:sz="0" w:space="0" w:color="auto"/>
                            <w:bottom w:val="none" w:sz="0" w:space="0" w:color="auto"/>
                            <w:right w:val="none" w:sz="0" w:space="0" w:color="auto"/>
                          </w:divBdr>
                          <w:divsChild>
                            <w:div w:id="1787961407">
                              <w:marLeft w:val="0"/>
                              <w:marRight w:val="0"/>
                              <w:marTop w:val="0"/>
                              <w:marBottom w:val="0"/>
                              <w:divBdr>
                                <w:top w:val="none" w:sz="0" w:space="0" w:color="auto"/>
                                <w:left w:val="none" w:sz="0" w:space="0" w:color="auto"/>
                                <w:bottom w:val="none" w:sz="0" w:space="0" w:color="auto"/>
                                <w:right w:val="none" w:sz="0" w:space="0" w:color="auto"/>
                              </w:divBdr>
                              <w:divsChild>
                                <w:div w:id="33889451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465776214">
      <w:bodyDiv w:val="1"/>
      <w:marLeft w:val="0"/>
      <w:marRight w:val="0"/>
      <w:marTop w:val="0"/>
      <w:marBottom w:val="0"/>
      <w:divBdr>
        <w:top w:val="none" w:sz="0" w:space="0" w:color="auto"/>
        <w:left w:val="none" w:sz="0" w:space="0" w:color="auto"/>
        <w:bottom w:val="none" w:sz="0" w:space="0" w:color="auto"/>
        <w:right w:val="none" w:sz="0" w:space="0" w:color="auto"/>
      </w:divBdr>
      <w:divsChild>
        <w:div w:id="673073401">
          <w:marLeft w:val="0"/>
          <w:marRight w:val="0"/>
          <w:marTop w:val="0"/>
          <w:marBottom w:val="0"/>
          <w:divBdr>
            <w:top w:val="none" w:sz="0" w:space="0" w:color="auto"/>
            <w:left w:val="none" w:sz="0" w:space="0" w:color="auto"/>
            <w:bottom w:val="none" w:sz="0" w:space="0" w:color="auto"/>
            <w:right w:val="none" w:sz="0" w:space="0" w:color="auto"/>
          </w:divBdr>
          <w:divsChild>
            <w:div w:id="877426631">
              <w:marLeft w:val="0"/>
              <w:marRight w:val="0"/>
              <w:marTop w:val="0"/>
              <w:marBottom w:val="0"/>
              <w:divBdr>
                <w:top w:val="none" w:sz="0" w:space="0" w:color="auto"/>
                <w:left w:val="none" w:sz="0" w:space="0" w:color="auto"/>
                <w:bottom w:val="none" w:sz="0" w:space="0" w:color="auto"/>
                <w:right w:val="none" w:sz="0" w:space="0" w:color="auto"/>
              </w:divBdr>
              <w:divsChild>
                <w:div w:id="2010135511">
                  <w:marLeft w:val="0"/>
                  <w:marRight w:val="0"/>
                  <w:marTop w:val="0"/>
                  <w:marBottom w:val="150"/>
                  <w:divBdr>
                    <w:top w:val="none" w:sz="0" w:space="0" w:color="auto"/>
                    <w:left w:val="none" w:sz="0" w:space="0" w:color="auto"/>
                    <w:bottom w:val="none" w:sz="0" w:space="0" w:color="auto"/>
                    <w:right w:val="none" w:sz="0" w:space="0" w:color="auto"/>
                  </w:divBdr>
                  <w:divsChild>
                    <w:div w:id="59972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0990">
      <w:bodyDiv w:val="1"/>
      <w:marLeft w:val="0"/>
      <w:marRight w:val="0"/>
      <w:marTop w:val="0"/>
      <w:marBottom w:val="0"/>
      <w:divBdr>
        <w:top w:val="none" w:sz="0" w:space="0" w:color="auto"/>
        <w:left w:val="none" w:sz="0" w:space="0" w:color="auto"/>
        <w:bottom w:val="none" w:sz="0" w:space="0" w:color="auto"/>
        <w:right w:val="none" w:sz="0" w:space="0" w:color="auto"/>
      </w:divBdr>
      <w:divsChild>
        <w:div w:id="400836527">
          <w:marLeft w:val="0"/>
          <w:marRight w:val="0"/>
          <w:marTop w:val="0"/>
          <w:marBottom w:val="0"/>
          <w:divBdr>
            <w:top w:val="none" w:sz="0" w:space="0" w:color="auto"/>
            <w:left w:val="none" w:sz="0" w:space="0" w:color="auto"/>
            <w:bottom w:val="none" w:sz="0" w:space="0" w:color="auto"/>
            <w:right w:val="none" w:sz="0" w:space="0" w:color="auto"/>
          </w:divBdr>
          <w:divsChild>
            <w:div w:id="647561293">
              <w:marLeft w:val="0"/>
              <w:marRight w:val="0"/>
              <w:marTop w:val="0"/>
              <w:marBottom w:val="0"/>
              <w:divBdr>
                <w:top w:val="none" w:sz="0" w:space="0" w:color="auto"/>
                <w:left w:val="none" w:sz="0" w:space="0" w:color="auto"/>
                <w:bottom w:val="none" w:sz="0" w:space="0" w:color="auto"/>
                <w:right w:val="none" w:sz="0" w:space="0" w:color="auto"/>
              </w:divBdr>
              <w:divsChild>
                <w:div w:id="1401976941">
                  <w:marLeft w:val="0"/>
                  <w:marRight w:val="0"/>
                  <w:marTop w:val="0"/>
                  <w:marBottom w:val="0"/>
                  <w:divBdr>
                    <w:top w:val="none" w:sz="0" w:space="0" w:color="auto"/>
                    <w:left w:val="none" w:sz="0" w:space="0" w:color="auto"/>
                    <w:bottom w:val="none" w:sz="0" w:space="0" w:color="auto"/>
                    <w:right w:val="none" w:sz="0" w:space="0" w:color="auto"/>
                  </w:divBdr>
                  <w:divsChild>
                    <w:div w:id="1114716279">
                      <w:marLeft w:val="0"/>
                      <w:marRight w:val="0"/>
                      <w:marTop w:val="0"/>
                      <w:marBottom w:val="0"/>
                      <w:divBdr>
                        <w:top w:val="none" w:sz="0" w:space="0" w:color="auto"/>
                        <w:left w:val="none" w:sz="0" w:space="0" w:color="auto"/>
                        <w:bottom w:val="none" w:sz="0" w:space="0" w:color="auto"/>
                        <w:right w:val="none" w:sz="0" w:space="0" w:color="auto"/>
                      </w:divBdr>
                      <w:divsChild>
                        <w:div w:id="567542043">
                          <w:marLeft w:val="0"/>
                          <w:marRight w:val="0"/>
                          <w:marTop w:val="0"/>
                          <w:marBottom w:val="0"/>
                          <w:divBdr>
                            <w:top w:val="none" w:sz="0" w:space="0" w:color="auto"/>
                            <w:left w:val="none" w:sz="0" w:space="0" w:color="auto"/>
                            <w:bottom w:val="none" w:sz="0" w:space="0" w:color="auto"/>
                            <w:right w:val="none" w:sz="0" w:space="0" w:color="auto"/>
                          </w:divBdr>
                          <w:divsChild>
                            <w:div w:id="1840929462">
                              <w:marLeft w:val="0"/>
                              <w:marRight w:val="0"/>
                              <w:marTop w:val="0"/>
                              <w:marBottom w:val="0"/>
                              <w:divBdr>
                                <w:top w:val="none" w:sz="0" w:space="0" w:color="auto"/>
                                <w:left w:val="none" w:sz="0" w:space="0" w:color="auto"/>
                                <w:bottom w:val="none" w:sz="0" w:space="0" w:color="auto"/>
                                <w:right w:val="none" w:sz="0" w:space="0" w:color="auto"/>
                              </w:divBdr>
                              <w:divsChild>
                                <w:div w:id="135812194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55507694">
      <w:bodyDiv w:val="1"/>
      <w:marLeft w:val="0"/>
      <w:marRight w:val="0"/>
      <w:marTop w:val="0"/>
      <w:marBottom w:val="0"/>
      <w:divBdr>
        <w:top w:val="none" w:sz="0" w:space="0" w:color="auto"/>
        <w:left w:val="none" w:sz="0" w:space="0" w:color="auto"/>
        <w:bottom w:val="none" w:sz="0" w:space="0" w:color="auto"/>
        <w:right w:val="none" w:sz="0" w:space="0" w:color="auto"/>
      </w:divBdr>
      <w:divsChild>
        <w:div w:id="1510021193">
          <w:marLeft w:val="0"/>
          <w:marRight w:val="0"/>
          <w:marTop w:val="0"/>
          <w:marBottom w:val="0"/>
          <w:divBdr>
            <w:top w:val="none" w:sz="0" w:space="0" w:color="auto"/>
            <w:left w:val="none" w:sz="0" w:space="0" w:color="auto"/>
            <w:bottom w:val="none" w:sz="0" w:space="0" w:color="auto"/>
            <w:right w:val="none" w:sz="0" w:space="0" w:color="auto"/>
          </w:divBdr>
          <w:divsChild>
            <w:div w:id="157769056">
              <w:marLeft w:val="0"/>
              <w:marRight w:val="0"/>
              <w:marTop w:val="0"/>
              <w:marBottom w:val="0"/>
              <w:divBdr>
                <w:top w:val="none" w:sz="0" w:space="0" w:color="auto"/>
                <w:left w:val="none" w:sz="0" w:space="0" w:color="auto"/>
                <w:bottom w:val="none" w:sz="0" w:space="0" w:color="auto"/>
                <w:right w:val="none" w:sz="0" w:space="0" w:color="auto"/>
              </w:divBdr>
              <w:divsChild>
                <w:div w:id="1252817332">
                  <w:marLeft w:val="0"/>
                  <w:marRight w:val="0"/>
                  <w:marTop w:val="0"/>
                  <w:marBottom w:val="150"/>
                  <w:divBdr>
                    <w:top w:val="none" w:sz="0" w:space="0" w:color="auto"/>
                    <w:left w:val="none" w:sz="0" w:space="0" w:color="auto"/>
                    <w:bottom w:val="none" w:sz="0" w:space="0" w:color="auto"/>
                    <w:right w:val="none" w:sz="0" w:space="0" w:color="auto"/>
                  </w:divBdr>
                  <w:divsChild>
                    <w:div w:id="1026447782">
                      <w:marLeft w:val="0"/>
                      <w:marRight w:val="0"/>
                      <w:marTop w:val="0"/>
                      <w:marBottom w:val="0"/>
                      <w:divBdr>
                        <w:top w:val="none" w:sz="0" w:space="0" w:color="auto"/>
                        <w:left w:val="none" w:sz="0" w:space="0" w:color="auto"/>
                        <w:bottom w:val="none" w:sz="0" w:space="0" w:color="auto"/>
                        <w:right w:val="none" w:sz="0" w:space="0" w:color="auto"/>
                      </w:divBdr>
                      <w:divsChild>
                        <w:div w:id="675306114">
                          <w:marLeft w:val="0"/>
                          <w:marRight w:val="0"/>
                          <w:marTop w:val="0"/>
                          <w:marBottom w:val="0"/>
                          <w:divBdr>
                            <w:top w:val="none" w:sz="0" w:space="0" w:color="auto"/>
                            <w:left w:val="none" w:sz="0" w:space="0" w:color="auto"/>
                            <w:bottom w:val="none" w:sz="0" w:space="0" w:color="auto"/>
                            <w:right w:val="none" w:sz="0" w:space="0" w:color="auto"/>
                          </w:divBdr>
                          <w:divsChild>
                            <w:div w:id="141628198">
                              <w:marLeft w:val="0"/>
                              <w:marRight w:val="0"/>
                              <w:marTop w:val="0"/>
                              <w:marBottom w:val="0"/>
                              <w:divBdr>
                                <w:top w:val="none" w:sz="0" w:space="0" w:color="auto"/>
                                <w:left w:val="none" w:sz="0" w:space="0" w:color="auto"/>
                                <w:bottom w:val="none" w:sz="0" w:space="0" w:color="auto"/>
                                <w:right w:val="none" w:sz="0" w:space="0" w:color="auto"/>
                              </w:divBdr>
                              <w:divsChild>
                                <w:div w:id="1683505237">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90464498">
      <w:bodyDiv w:val="1"/>
      <w:marLeft w:val="0"/>
      <w:marRight w:val="0"/>
      <w:marTop w:val="0"/>
      <w:marBottom w:val="0"/>
      <w:divBdr>
        <w:top w:val="none" w:sz="0" w:space="0" w:color="auto"/>
        <w:left w:val="none" w:sz="0" w:space="0" w:color="auto"/>
        <w:bottom w:val="none" w:sz="0" w:space="0" w:color="auto"/>
        <w:right w:val="none" w:sz="0" w:space="0" w:color="auto"/>
      </w:divBdr>
      <w:divsChild>
        <w:div w:id="412051031">
          <w:marLeft w:val="0"/>
          <w:marRight w:val="0"/>
          <w:marTop w:val="0"/>
          <w:marBottom w:val="0"/>
          <w:divBdr>
            <w:top w:val="none" w:sz="0" w:space="0" w:color="auto"/>
            <w:left w:val="none" w:sz="0" w:space="0" w:color="auto"/>
            <w:bottom w:val="none" w:sz="0" w:space="0" w:color="auto"/>
            <w:right w:val="none" w:sz="0" w:space="0" w:color="auto"/>
          </w:divBdr>
          <w:divsChild>
            <w:div w:id="28379454">
              <w:marLeft w:val="0"/>
              <w:marRight w:val="0"/>
              <w:marTop w:val="0"/>
              <w:marBottom w:val="0"/>
              <w:divBdr>
                <w:top w:val="none" w:sz="0" w:space="0" w:color="auto"/>
                <w:left w:val="none" w:sz="0" w:space="0" w:color="auto"/>
                <w:bottom w:val="none" w:sz="0" w:space="0" w:color="auto"/>
                <w:right w:val="none" w:sz="0" w:space="0" w:color="auto"/>
              </w:divBdr>
              <w:divsChild>
                <w:div w:id="1969511437">
                  <w:marLeft w:val="0"/>
                  <w:marRight w:val="0"/>
                  <w:marTop w:val="0"/>
                  <w:marBottom w:val="150"/>
                  <w:divBdr>
                    <w:top w:val="none" w:sz="0" w:space="0" w:color="auto"/>
                    <w:left w:val="none" w:sz="0" w:space="0" w:color="auto"/>
                    <w:bottom w:val="none" w:sz="0" w:space="0" w:color="auto"/>
                    <w:right w:val="none" w:sz="0" w:space="0" w:color="auto"/>
                  </w:divBdr>
                  <w:divsChild>
                    <w:div w:id="808976747">
                      <w:marLeft w:val="0"/>
                      <w:marRight w:val="0"/>
                      <w:marTop w:val="0"/>
                      <w:marBottom w:val="0"/>
                      <w:divBdr>
                        <w:top w:val="none" w:sz="0" w:space="0" w:color="auto"/>
                        <w:left w:val="none" w:sz="0" w:space="0" w:color="auto"/>
                        <w:bottom w:val="none" w:sz="0" w:space="0" w:color="auto"/>
                        <w:right w:val="none" w:sz="0" w:space="0" w:color="auto"/>
                      </w:divBdr>
                      <w:divsChild>
                        <w:div w:id="720522914">
                          <w:marLeft w:val="0"/>
                          <w:marRight w:val="0"/>
                          <w:marTop w:val="0"/>
                          <w:marBottom w:val="0"/>
                          <w:divBdr>
                            <w:top w:val="none" w:sz="0" w:space="0" w:color="auto"/>
                            <w:left w:val="none" w:sz="0" w:space="0" w:color="auto"/>
                            <w:bottom w:val="none" w:sz="0" w:space="0" w:color="auto"/>
                            <w:right w:val="none" w:sz="0" w:space="0" w:color="auto"/>
                          </w:divBdr>
                          <w:divsChild>
                            <w:div w:id="1046956081">
                              <w:marLeft w:val="0"/>
                              <w:marRight w:val="0"/>
                              <w:marTop w:val="0"/>
                              <w:marBottom w:val="0"/>
                              <w:divBdr>
                                <w:top w:val="none" w:sz="0" w:space="0" w:color="auto"/>
                                <w:left w:val="none" w:sz="0" w:space="0" w:color="auto"/>
                                <w:bottom w:val="none" w:sz="0" w:space="0" w:color="auto"/>
                                <w:right w:val="none" w:sz="0" w:space="0" w:color="auto"/>
                              </w:divBdr>
                              <w:divsChild>
                                <w:div w:id="1097942723">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991717347">
      <w:bodyDiv w:val="1"/>
      <w:marLeft w:val="0"/>
      <w:marRight w:val="0"/>
      <w:marTop w:val="0"/>
      <w:marBottom w:val="0"/>
      <w:divBdr>
        <w:top w:val="none" w:sz="0" w:space="0" w:color="auto"/>
        <w:left w:val="none" w:sz="0" w:space="0" w:color="auto"/>
        <w:bottom w:val="none" w:sz="0" w:space="0" w:color="auto"/>
        <w:right w:val="none" w:sz="0" w:space="0" w:color="auto"/>
      </w:divBdr>
      <w:divsChild>
        <w:div w:id="1606840066">
          <w:marLeft w:val="0"/>
          <w:marRight w:val="0"/>
          <w:marTop w:val="0"/>
          <w:marBottom w:val="0"/>
          <w:divBdr>
            <w:top w:val="none" w:sz="0" w:space="0" w:color="auto"/>
            <w:left w:val="none" w:sz="0" w:space="0" w:color="auto"/>
            <w:bottom w:val="none" w:sz="0" w:space="0" w:color="auto"/>
            <w:right w:val="none" w:sz="0" w:space="0" w:color="auto"/>
          </w:divBdr>
          <w:divsChild>
            <w:div w:id="850415274">
              <w:marLeft w:val="0"/>
              <w:marRight w:val="0"/>
              <w:marTop w:val="0"/>
              <w:marBottom w:val="0"/>
              <w:divBdr>
                <w:top w:val="none" w:sz="0" w:space="0" w:color="auto"/>
                <w:left w:val="none" w:sz="0" w:space="0" w:color="auto"/>
                <w:bottom w:val="none" w:sz="0" w:space="0" w:color="auto"/>
                <w:right w:val="none" w:sz="0" w:space="0" w:color="auto"/>
              </w:divBdr>
              <w:divsChild>
                <w:div w:id="958492127">
                  <w:marLeft w:val="0"/>
                  <w:marRight w:val="0"/>
                  <w:marTop w:val="0"/>
                  <w:marBottom w:val="150"/>
                  <w:divBdr>
                    <w:top w:val="none" w:sz="0" w:space="0" w:color="auto"/>
                    <w:left w:val="none" w:sz="0" w:space="0" w:color="auto"/>
                    <w:bottom w:val="none" w:sz="0" w:space="0" w:color="auto"/>
                    <w:right w:val="none" w:sz="0" w:space="0" w:color="auto"/>
                  </w:divBdr>
                  <w:divsChild>
                    <w:div w:id="113065132">
                      <w:marLeft w:val="0"/>
                      <w:marRight w:val="0"/>
                      <w:marTop w:val="0"/>
                      <w:marBottom w:val="0"/>
                      <w:divBdr>
                        <w:top w:val="none" w:sz="0" w:space="0" w:color="auto"/>
                        <w:left w:val="none" w:sz="0" w:space="0" w:color="auto"/>
                        <w:bottom w:val="none" w:sz="0" w:space="0" w:color="auto"/>
                        <w:right w:val="none" w:sz="0" w:space="0" w:color="auto"/>
                      </w:divBdr>
                      <w:divsChild>
                        <w:div w:id="1978803592">
                          <w:marLeft w:val="0"/>
                          <w:marRight w:val="0"/>
                          <w:marTop w:val="0"/>
                          <w:marBottom w:val="0"/>
                          <w:divBdr>
                            <w:top w:val="none" w:sz="0" w:space="0" w:color="auto"/>
                            <w:left w:val="none" w:sz="0" w:space="0" w:color="auto"/>
                            <w:bottom w:val="none" w:sz="0" w:space="0" w:color="auto"/>
                            <w:right w:val="none" w:sz="0" w:space="0" w:color="auto"/>
                          </w:divBdr>
                          <w:divsChild>
                            <w:div w:id="1618442712">
                              <w:marLeft w:val="0"/>
                              <w:marRight w:val="0"/>
                              <w:marTop w:val="0"/>
                              <w:marBottom w:val="0"/>
                              <w:divBdr>
                                <w:top w:val="none" w:sz="0" w:space="0" w:color="auto"/>
                                <w:left w:val="none" w:sz="0" w:space="0" w:color="auto"/>
                                <w:bottom w:val="none" w:sz="0" w:space="0" w:color="auto"/>
                                <w:right w:val="none" w:sz="0" w:space="0" w:color="auto"/>
                              </w:divBdr>
                              <w:divsChild>
                                <w:div w:id="35489125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042054006">
      <w:bodyDiv w:val="1"/>
      <w:marLeft w:val="0"/>
      <w:marRight w:val="0"/>
      <w:marTop w:val="0"/>
      <w:marBottom w:val="0"/>
      <w:divBdr>
        <w:top w:val="none" w:sz="0" w:space="0" w:color="auto"/>
        <w:left w:val="none" w:sz="0" w:space="0" w:color="auto"/>
        <w:bottom w:val="none" w:sz="0" w:space="0" w:color="auto"/>
        <w:right w:val="none" w:sz="0" w:space="0" w:color="auto"/>
      </w:divBdr>
      <w:divsChild>
        <w:div w:id="728378349">
          <w:marLeft w:val="0"/>
          <w:marRight w:val="0"/>
          <w:marTop w:val="0"/>
          <w:marBottom w:val="0"/>
          <w:divBdr>
            <w:top w:val="none" w:sz="0" w:space="0" w:color="auto"/>
            <w:left w:val="none" w:sz="0" w:space="0" w:color="auto"/>
            <w:bottom w:val="none" w:sz="0" w:space="0" w:color="auto"/>
            <w:right w:val="none" w:sz="0" w:space="0" w:color="auto"/>
          </w:divBdr>
          <w:divsChild>
            <w:div w:id="589236866">
              <w:marLeft w:val="0"/>
              <w:marRight w:val="0"/>
              <w:marTop w:val="0"/>
              <w:marBottom w:val="0"/>
              <w:divBdr>
                <w:top w:val="none" w:sz="0" w:space="0" w:color="auto"/>
                <w:left w:val="none" w:sz="0" w:space="0" w:color="auto"/>
                <w:bottom w:val="none" w:sz="0" w:space="0" w:color="auto"/>
                <w:right w:val="none" w:sz="0" w:space="0" w:color="auto"/>
              </w:divBdr>
              <w:divsChild>
                <w:div w:id="418598425">
                  <w:marLeft w:val="0"/>
                  <w:marRight w:val="0"/>
                  <w:marTop w:val="0"/>
                  <w:marBottom w:val="150"/>
                  <w:divBdr>
                    <w:top w:val="none" w:sz="0" w:space="0" w:color="auto"/>
                    <w:left w:val="none" w:sz="0" w:space="0" w:color="auto"/>
                    <w:bottom w:val="none" w:sz="0" w:space="0" w:color="auto"/>
                    <w:right w:val="none" w:sz="0" w:space="0" w:color="auto"/>
                  </w:divBdr>
                  <w:divsChild>
                    <w:div w:id="121897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880689">
      <w:bodyDiv w:val="1"/>
      <w:marLeft w:val="0"/>
      <w:marRight w:val="0"/>
      <w:marTop w:val="0"/>
      <w:marBottom w:val="0"/>
      <w:divBdr>
        <w:top w:val="none" w:sz="0" w:space="0" w:color="auto"/>
        <w:left w:val="none" w:sz="0" w:space="0" w:color="auto"/>
        <w:bottom w:val="none" w:sz="0" w:space="0" w:color="auto"/>
        <w:right w:val="none" w:sz="0" w:space="0" w:color="auto"/>
      </w:divBdr>
      <w:divsChild>
        <w:div w:id="977219489">
          <w:marLeft w:val="0"/>
          <w:marRight w:val="0"/>
          <w:marTop w:val="0"/>
          <w:marBottom w:val="0"/>
          <w:divBdr>
            <w:top w:val="none" w:sz="0" w:space="0" w:color="auto"/>
            <w:left w:val="none" w:sz="0" w:space="0" w:color="auto"/>
            <w:bottom w:val="none" w:sz="0" w:space="0" w:color="auto"/>
            <w:right w:val="none" w:sz="0" w:space="0" w:color="auto"/>
          </w:divBdr>
          <w:divsChild>
            <w:div w:id="413860439">
              <w:marLeft w:val="0"/>
              <w:marRight w:val="0"/>
              <w:marTop w:val="0"/>
              <w:marBottom w:val="0"/>
              <w:divBdr>
                <w:top w:val="none" w:sz="0" w:space="0" w:color="auto"/>
                <w:left w:val="none" w:sz="0" w:space="0" w:color="auto"/>
                <w:bottom w:val="none" w:sz="0" w:space="0" w:color="auto"/>
                <w:right w:val="none" w:sz="0" w:space="0" w:color="auto"/>
              </w:divBdr>
              <w:divsChild>
                <w:div w:id="1183938232">
                  <w:marLeft w:val="0"/>
                  <w:marRight w:val="0"/>
                  <w:marTop w:val="0"/>
                  <w:marBottom w:val="150"/>
                  <w:divBdr>
                    <w:top w:val="none" w:sz="0" w:space="0" w:color="auto"/>
                    <w:left w:val="none" w:sz="0" w:space="0" w:color="auto"/>
                    <w:bottom w:val="none" w:sz="0" w:space="0" w:color="auto"/>
                    <w:right w:val="none" w:sz="0" w:space="0" w:color="auto"/>
                  </w:divBdr>
                  <w:divsChild>
                    <w:div w:id="215707240">
                      <w:marLeft w:val="0"/>
                      <w:marRight w:val="0"/>
                      <w:marTop w:val="0"/>
                      <w:marBottom w:val="0"/>
                      <w:divBdr>
                        <w:top w:val="none" w:sz="0" w:space="0" w:color="auto"/>
                        <w:left w:val="none" w:sz="0" w:space="0" w:color="auto"/>
                        <w:bottom w:val="none" w:sz="0" w:space="0" w:color="auto"/>
                        <w:right w:val="none" w:sz="0" w:space="0" w:color="auto"/>
                      </w:divBdr>
                      <w:divsChild>
                        <w:div w:id="1037198278">
                          <w:marLeft w:val="0"/>
                          <w:marRight w:val="0"/>
                          <w:marTop w:val="0"/>
                          <w:marBottom w:val="0"/>
                          <w:divBdr>
                            <w:top w:val="none" w:sz="0" w:space="0" w:color="auto"/>
                            <w:left w:val="none" w:sz="0" w:space="0" w:color="auto"/>
                            <w:bottom w:val="none" w:sz="0" w:space="0" w:color="auto"/>
                            <w:right w:val="none" w:sz="0" w:space="0" w:color="auto"/>
                          </w:divBdr>
                          <w:divsChild>
                            <w:div w:id="818107987">
                              <w:marLeft w:val="0"/>
                              <w:marRight w:val="0"/>
                              <w:marTop w:val="0"/>
                              <w:marBottom w:val="0"/>
                              <w:divBdr>
                                <w:top w:val="none" w:sz="0" w:space="0" w:color="auto"/>
                                <w:left w:val="none" w:sz="0" w:space="0" w:color="auto"/>
                                <w:bottom w:val="none" w:sz="0" w:space="0" w:color="auto"/>
                                <w:right w:val="none" w:sz="0" w:space="0" w:color="auto"/>
                              </w:divBdr>
                              <w:divsChild>
                                <w:div w:id="173808470">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174807409">
      <w:bodyDiv w:val="1"/>
      <w:marLeft w:val="0"/>
      <w:marRight w:val="0"/>
      <w:marTop w:val="0"/>
      <w:marBottom w:val="0"/>
      <w:divBdr>
        <w:top w:val="none" w:sz="0" w:space="0" w:color="auto"/>
        <w:left w:val="none" w:sz="0" w:space="0" w:color="auto"/>
        <w:bottom w:val="none" w:sz="0" w:space="0" w:color="auto"/>
        <w:right w:val="none" w:sz="0" w:space="0" w:color="auto"/>
      </w:divBdr>
      <w:divsChild>
        <w:div w:id="339814955">
          <w:marLeft w:val="0"/>
          <w:marRight w:val="0"/>
          <w:marTop w:val="0"/>
          <w:marBottom w:val="0"/>
          <w:divBdr>
            <w:top w:val="none" w:sz="0" w:space="0" w:color="auto"/>
            <w:left w:val="none" w:sz="0" w:space="0" w:color="auto"/>
            <w:bottom w:val="none" w:sz="0" w:space="0" w:color="auto"/>
            <w:right w:val="none" w:sz="0" w:space="0" w:color="auto"/>
          </w:divBdr>
          <w:divsChild>
            <w:div w:id="1846312703">
              <w:marLeft w:val="0"/>
              <w:marRight w:val="0"/>
              <w:marTop w:val="0"/>
              <w:marBottom w:val="0"/>
              <w:divBdr>
                <w:top w:val="none" w:sz="0" w:space="0" w:color="auto"/>
                <w:left w:val="none" w:sz="0" w:space="0" w:color="auto"/>
                <w:bottom w:val="none" w:sz="0" w:space="0" w:color="auto"/>
                <w:right w:val="none" w:sz="0" w:space="0" w:color="auto"/>
              </w:divBdr>
              <w:divsChild>
                <w:div w:id="1736734544">
                  <w:marLeft w:val="0"/>
                  <w:marRight w:val="0"/>
                  <w:marTop w:val="0"/>
                  <w:marBottom w:val="0"/>
                  <w:divBdr>
                    <w:top w:val="none" w:sz="0" w:space="0" w:color="auto"/>
                    <w:left w:val="none" w:sz="0" w:space="0" w:color="auto"/>
                    <w:bottom w:val="none" w:sz="0" w:space="0" w:color="auto"/>
                    <w:right w:val="none" w:sz="0" w:space="0" w:color="auto"/>
                  </w:divBdr>
                  <w:divsChild>
                    <w:div w:id="1911695570">
                      <w:marLeft w:val="0"/>
                      <w:marRight w:val="0"/>
                      <w:marTop w:val="0"/>
                      <w:marBottom w:val="0"/>
                      <w:divBdr>
                        <w:top w:val="none" w:sz="0" w:space="0" w:color="auto"/>
                        <w:left w:val="none" w:sz="0" w:space="0" w:color="auto"/>
                        <w:bottom w:val="none" w:sz="0" w:space="0" w:color="auto"/>
                        <w:right w:val="none" w:sz="0" w:space="0" w:color="auto"/>
                      </w:divBdr>
                      <w:divsChild>
                        <w:div w:id="1252154658">
                          <w:marLeft w:val="0"/>
                          <w:marRight w:val="0"/>
                          <w:marTop w:val="100"/>
                          <w:marBottom w:val="100"/>
                          <w:divBdr>
                            <w:top w:val="single" w:sz="6" w:space="0" w:color="DDDDDD"/>
                            <w:left w:val="single" w:sz="6" w:space="0" w:color="DDDDDD"/>
                            <w:bottom w:val="single" w:sz="6" w:space="0" w:color="DDDDDD"/>
                            <w:right w:val="single" w:sz="6" w:space="0" w:color="DDDDDD"/>
                          </w:divBdr>
                        </w:div>
                        <w:div w:id="289089537">
                          <w:marLeft w:val="0"/>
                          <w:marRight w:val="0"/>
                          <w:marTop w:val="100"/>
                          <w:marBottom w:val="100"/>
                          <w:divBdr>
                            <w:top w:val="single" w:sz="6" w:space="0" w:color="DDDDDD"/>
                            <w:left w:val="single" w:sz="6" w:space="0" w:color="DDDDDD"/>
                            <w:bottom w:val="single" w:sz="6" w:space="0" w:color="DDDDDD"/>
                            <w:right w:val="single" w:sz="6" w:space="0" w:color="DDDDDD"/>
                          </w:divBdr>
                        </w:div>
                        <w:div w:id="972641961">
                          <w:marLeft w:val="0"/>
                          <w:marRight w:val="0"/>
                          <w:marTop w:val="100"/>
                          <w:marBottom w:val="100"/>
                          <w:divBdr>
                            <w:top w:val="single" w:sz="6" w:space="0" w:color="DDDDDD"/>
                            <w:left w:val="single" w:sz="6" w:space="0" w:color="DDDDDD"/>
                            <w:bottom w:val="single" w:sz="6" w:space="0" w:color="DDDDDD"/>
                            <w:right w:val="single" w:sz="6" w:space="0" w:color="DDDDDD"/>
                          </w:divBdr>
                        </w:div>
                        <w:div w:id="849222940">
                          <w:marLeft w:val="0"/>
                          <w:marRight w:val="0"/>
                          <w:marTop w:val="100"/>
                          <w:marBottom w:val="100"/>
                          <w:divBdr>
                            <w:top w:val="single" w:sz="6" w:space="0" w:color="DDDDDD"/>
                            <w:left w:val="single" w:sz="6" w:space="0" w:color="DDDDDD"/>
                            <w:bottom w:val="single" w:sz="6" w:space="0" w:color="DDDDDD"/>
                            <w:right w:val="single" w:sz="6" w:space="0" w:color="DDDDDD"/>
                          </w:divBdr>
                        </w:div>
                        <w:div w:id="1122188179">
                          <w:marLeft w:val="0"/>
                          <w:marRight w:val="0"/>
                          <w:marTop w:val="100"/>
                          <w:marBottom w:val="100"/>
                          <w:divBdr>
                            <w:top w:val="single" w:sz="6" w:space="0" w:color="DDDDDD"/>
                            <w:left w:val="single" w:sz="6" w:space="0" w:color="DDDDDD"/>
                            <w:bottom w:val="single" w:sz="6" w:space="0" w:color="DDDDDD"/>
                            <w:right w:val="single" w:sz="6" w:space="0" w:color="DDDDDD"/>
                          </w:divBdr>
                        </w:div>
                        <w:div w:id="538859191">
                          <w:marLeft w:val="0"/>
                          <w:marRight w:val="0"/>
                          <w:marTop w:val="100"/>
                          <w:marBottom w:val="100"/>
                          <w:divBdr>
                            <w:top w:val="single" w:sz="6" w:space="0" w:color="DDDDDD"/>
                            <w:left w:val="single" w:sz="6" w:space="0" w:color="DDDDDD"/>
                            <w:bottom w:val="single" w:sz="6" w:space="0" w:color="DDDDDD"/>
                            <w:right w:val="single" w:sz="6" w:space="0" w:color="DDDDDD"/>
                          </w:divBdr>
                        </w:div>
                        <w:div w:id="1364211974">
                          <w:marLeft w:val="0"/>
                          <w:marRight w:val="0"/>
                          <w:marTop w:val="100"/>
                          <w:marBottom w:val="100"/>
                          <w:divBdr>
                            <w:top w:val="single" w:sz="6" w:space="0" w:color="DDDDDD"/>
                            <w:left w:val="single" w:sz="6" w:space="0" w:color="DDDDDD"/>
                            <w:bottom w:val="single" w:sz="6" w:space="0" w:color="DDDDDD"/>
                            <w:right w:val="single" w:sz="6" w:space="0" w:color="DDDDDD"/>
                          </w:divBdr>
                        </w:div>
                        <w:div w:id="781455433">
                          <w:marLeft w:val="0"/>
                          <w:marRight w:val="0"/>
                          <w:marTop w:val="100"/>
                          <w:marBottom w:val="10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218011900">
      <w:bodyDiv w:val="1"/>
      <w:marLeft w:val="0"/>
      <w:marRight w:val="0"/>
      <w:marTop w:val="0"/>
      <w:marBottom w:val="0"/>
      <w:divBdr>
        <w:top w:val="none" w:sz="0" w:space="0" w:color="auto"/>
        <w:left w:val="none" w:sz="0" w:space="0" w:color="auto"/>
        <w:bottom w:val="none" w:sz="0" w:space="0" w:color="auto"/>
        <w:right w:val="none" w:sz="0" w:space="0" w:color="auto"/>
      </w:divBdr>
      <w:divsChild>
        <w:div w:id="762334132">
          <w:marLeft w:val="0"/>
          <w:marRight w:val="0"/>
          <w:marTop w:val="0"/>
          <w:marBottom w:val="0"/>
          <w:divBdr>
            <w:top w:val="none" w:sz="0" w:space="0" w:color="auto"/>
            <w:left w:val="none" w:sz="0" w:space="0" w:color="auto"/>
            <w:bottom w:val="none" w:sz="0" w:space="0" w:color="auto"/>
            <w:right w:val="none" w:sz="0" w:space="0" w:color="auto"/>
          </w:divBdr>
          <w:divsChild>
            <w:div w:id="1477188688">
              <w:marLeft w:val="0"/>
              <w:marRight w:val="0"/>
              <w:marTop w:val="0"/>
              <w:marBottom w:val="0"/>
              <w:divBdr>
                <w:top w:val="none" w:sz="0" w:space="0" w:color="auto"/>
                <w:left w:val="none" w:sz="0" w:space="0" w:color="auto"/>
                <w:bottom w:val="none" w:sz="0" w:space="0" w:color="auto"/>
                <w:right w:val="none" w:sz="0" w:space="0" w:color="auto"/>
              </w:divBdr>
              <w:divsChild>
                <w:div w:id="2073193468">
                  <w:marLeft w:val="0"/>
                  <w:marRight w:val="0"/>
                  <w:marTop w:val="0"/>
                  <w:marBottom w:val="150"/>
                  <w:divBdr>
                    <w:top w:val="none" w:sz="0" w:space="0" w:color="auto"/>
                    <w:left w:val="none" w:sz="0" w:space="0" w:color="auto"/>
                    <w:bottom w:val="none" w:sz="0" w:space="0" w:color="auto"/>
                    <w:right w:val="none" w:sz="0" w:space="0" w:color="auto"/>
                  </w:divBdr>
                  <w:divsChild>
                    <w:div w:id="1881092423">
                      <w:marLeft w:val="0"/>
                      <w:marRight w:val="0"/>
                      <w:marTop w:val="0"/>
                      <w:marBottom w:val="0"/>
                      <w:divBdr>
                        <w:top w:val="none" w:sz="0" w:space="0" w:color="auto"/>
                        <w:left w:val="none" w:sz="0" w:space="0" w:color="auto"/>
                        <w:bottom w:val="none" w:sz="0" w:space="0" w:color="auto"/>
                        <w:right w:val="none" w:sz="0" w:space="0" w:color="auto"/>
                      </w:divBdr>
                      <w:divsChild>
                        <w:div w:id="96412599">
                          <w:marLeft w:val="0"/>
                          <w:marRight w:val="0"/>
                          <w:marTop w:val="0"/>
                          <w:marBottom w:val="0"/>
                          <w:divBdr>
                            <w:top w:val="none" w:sz="0" w:space="0" w:color="auto"/>
                            <w:left w:val="none" w:sz="0" w:space="0" w:color="auto"/>
                            <w:bottom w:val="none" w:sz="0" w:space="0" w:color="auto"/>
                            <w:right w:val="none" w:sz="0" w:space="0" w:color="auto"/>
                          </w:divBdr>
                          <w:divsChild>
                            <w:div w:id="1076514998">
                              <w:marLeft w:val="0"/>
                              <w:marRight w:val="0"/>
                              <w:marTop w:val="0"/>
                              <w:marBottom w:val="0"/>
                              <w:divBdr>
                                <w:top w:val="none" w:sz="0" w:space="0" w:color="auto"/>
                                <w:left w:val="none" w:sz="0" w:space="0" w:color="auto"/>
                                <w:bottom w:val="none" w:sz="0" w:space="0" w:color="auto"/>
                                <w:right w:val="none" w:sz="0" w:space="0" w:color="auto"/>
                              </w:divBdr>
                              <w:divsChild>
                                <w:div w:id="1915429241">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257791236">
      <w:bodyDiv w:val="1"/>
      <w:marLeft w:val="0"/>
      <w:marRight w:val="0"/>
      <w:marTop w:val="0"/>
      <w:marBottom w:val="0"/>
      <w:divBdr>
        <w:top w:val="none" w:sz="0" w:space="0" w:color="auto"/>
        <w:left w:val="none" w:sz="0" w:space="0" w:color="auto"/>
        <w:bottom w:val="none" w:sz="0" w:space="0" w:color="auto"/>
        <w:right w:val="none" w:sz="0" w:space="0" w:color="auto"/>
      </w:divBdr>
      <w:divsChild>
        <w:div w:id="1416437607">
          <w:marLeft w:val="0"/>
          <w:marRight w:val="0"/>
          <w:marTop w:val="0"/>
          <w:marBottom w:val="0"/>
          <w:divBdr>
            <w:top w:val="none" w:sz="0" w:space="0" w:color="auto"/>
            <w:left w:val="none" w:sz="0" w:space="0" w:color="auto"/>
            <w:bottom w:val="none" w:sz="0" w:space="0" w:color="auto"/>
            <w:right w:val="none" w:sz="0" w:space="0" w:color="auto"/>
          </w:divBdr>
          <w:divsChild>
            <w:div w:id="1330254454">
              <w:marLeft w:val="0"/>
              <w:marRight w:val="0"/>
              <w:marTop w:val="0"/>
              <w:marBottom w:val="0"/>
              <w:divBdr>
                <w:top w:val="none" w:sz="0" w:space="0" w:color="auto"/>
                <w:left w:val="none" w:sz="0" w:space="0" w:color="auto"/>
                <w:bottom w:val="none" w:sz="0" w:space="0" w:color="auto"/>
                <w:right w:val="none" w:sz="0" w:space="0" w:color="auto"/>
              </w:divBdr>
              <w:divsChild>
                <w:div w:id="1655143051">
                  <w:marLeft w:val="0"/>
                  <w:marRight w:val="0"/>
                  <w:marTop w:val="0"/>
                  <w:marBottom w:val="150"/>
                  <w:divBdr>
                    <w:top w:val="none" w:sz="0" w:space="0" w:color="auto"/>
                    <w:left w:val="none" w:sz="0" w:space="0" w:color="auto"/>
                    <w:bottom w:val="none" w:sz="0" w:space="0" w:color="auto"/>
                    <w:right w:val="none" w:sz="0" w:space="0" w:color="auto"/>
                  </w:divBdr>
                  <w:divsChild>
                    <w:div w:id="7152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832494">
      <w:bodyDiv w:val="1"/>
      <w:marLeft w:val="0"/>
      <w:marRight w:val="0"/>
      <w:marTop w:val="0"/>
      <w:marBottom w:val="0"/>
      <w:divBdr>
        <w:top w:val="none" w:sz="0" w:space="0" w:color="auto"/>
        <w:left w:val="none" w:sz="0" w:space="0" w:color="auto"/>
        <w:bottom w:val="none" w:sz="0" w:space="0" w:color="auto"/>
        <w:right w:val="none" w:sz="0" w:space="0" w:color="auto"/>
      </w:divBdr>
      <w:divsChild>
        <w:div w:id="664284939">
          <w:marLeft w:val="0"/>
          <w:marRight w:val="0"/>
          <w:marTop w:val="0"/>
          <w:marBottom w:val="0"/>
          <w:divBdr>
            <w:top w:val="none" w:sz="0" w:space="0" w:color="auto"/>
            <w:left w:val="none" w:sz="0" w:space="0" w:color="auto"/>
            <w:bottom w:val="none" w:sz="0" w:space="0" w:color="auto"/>
            <w:right w:val="none" w:sz="0" w:space="0" w:color="auto"/>
          </w:divBdr>
          <w:divsChild>
            <w:div w:id="1961523793">
              <w:marLeft w:val="0"/>
              <w:marRight w:val="0"/>
              <w:marTop w:val="0"/>
              <w:marBottom w:val="0"/>
              <w:divBdr>
                <w:top w:val="none" w:sz="0" w:space="0" w:color="auto"/>
                <w:left w:val="none" w:sz="0" w:space="0" w:color="auto"/>
                <w:bottom w:val="none" w:sz="0" w:space="0" w:color="auto"/>
                <w:right w:val="none" w:sz="0" w:space="0" w:color="auto"/>
              </w:divBdr>
              <w:divsChild>
                <w:div w:id="879777668">
                  <w:marLeft w:val="0"/>
                  <w:marRight w:val="0"/>
                  <w:marTop w:val="0"/>
                  <w:marBottom w:val="150"/>
                  <w:divBdr>
                    <w:top w:val="none" w:sz="0" w:space="0" w:color="auto"/>
                    <w:left w:val="none" w:sz="0" w:space="0" w:color="auto"/>
                    <w:bottom w:val="none" w:sz="0" w:space="0" w:color="auto"/>
                    <w:right w:val="none" w:sz="0" w:space="0" w:color="auto"/>
                  </w:divBdr>
                  <w:divsChild>
                    <w:div w:id="108253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579015">
      <w:bodyDiv w:val="1"/>
      <w:marLeft w:val="0"/>
      <w:marRight w:val="0"/>
      <w:marTop w:val="0"/>
      <w:marBottom w:val="0"/>
      <w:divBdr>
        <w:top w:val="none" w:sz="0" w:space="0" w:color="auto"/>
        <w:left w:val="none" w:sz="0" w:space="0" w:color="auto"/>
        <w:bottom w:val="none" w:sz="0" w:space="0" w:color="auto"/>
        <w:right w:val="none" w:sz="0" w:space="0" w:color="auto"/>
      </w:divBdr>
      <w:divsChild>
        <w:div w:id="1028023258">
          <w:marLeft w:val="0"/>
          <w:marRight w:val="0"/>
          <w:marTop w:val="0"/>
          <w:marBottom w:val="0"/>
          <w:divBdr>
            <w:top w:val="none" w:sz="0" w:space="0" w:color="auto"/>
            <w:left w:val="none" w:sz="0" w:space="0" w:color="auto"/>
            <w:bottom w:val="none" w:sz="0" w:space="0" w:color="auto"/>
            <w:right w:val="none" w:sz="0" w:space="0" w:color="auto"/>
          </w:divBdr>
          <w:divsChild>
            <w:div w:id="1786920122">
              <w:marLeft w:val="0"/>
              <w:marRight w:val="0"/>
              <w:marTop w:val="0"/>
              <w:marBottom w:val="0"/>
              <w:divBdr>
                <w:top w:val="none" w:sz="0" w:space="0" w:color="auto"/>
                <w:left w:val="none" w:sz="0" w:space="0" w:color="auto"/>
                <w:bottom w:val="none" w:sz="0" w:space="0" w:color="auto"/>
                <w:right w:val="none" w:sz="0" w:space="0" w:color="auto"/>
              </w:divBdr>
              <w:divsChild>
                <w:div w:id="2144342850">
                  <w:marLeft w:val="0"/>
                  <w:marRight w:val="0"/>
                  <w:marTop w:val="0"/>
                  <w:marBottom w:val="150"/>
                  <w:divBdr>
                    <w:top w:val="none" w:sz="0" w:space="0" w:color="auto"/>
                    <w:left w:val="none" w:sz="0" w:space="0" w:color="auto"/>
                    <w:bottom w:val="none" w:sz="0" w:space="0" w:color="auto"/>
                    <w:right w:val="none" w:sz="0" w:space="0" w:color="auto"/>
                  </w:divBdr>
                  <w:divsChild>
                    <w:div w:id="1501578465">
                      <w:marLeft w:val="0"/>
                      <w:marRight w:val="0"/>
                      <w:marTop w:val="0"/>
                      <w:marBottom w:val="0"/>
                      <w:divBdr>
                        <w:top w:val="none" w:sz="0" w:space="0" w:color="auto"/>
                        <w:left w:val="none" w:sz="0" w:space="0" w:color="auto"/>
                        <w:bottom w:val="none" w:sz="0" w:space="0" w:color="auto"/>
                        <w:right w:val="none" w:sz="0" w:space="0" w:color="auto"/>
                      </w:divBdr>
                      <w:divsChild>
                        <w:div w:id="1533377764">
                          <w:marLeft w:val="0"/>
                          <w:marRight w:val="0"/>
                          <w:marTop w:val="0"/>
                          <w:marBottom w:val="0"/>
                          <w:divBdr>
                            <w:top w:val="none" w:sz="0" w:space="0" w:color="auto"/>
                            <w:left w:val="none" w:sz="0" w:space="0" w:color="auto"/>
                            <w:bottom w:val="none" w:sz="0" w:space="0" w:color="auto"/>
                            <w:right w:val="none" w:sz="0" w:space="0" w:color="auto"/>
                          </w:divBdr>
                          <w:divsChild>
                            <w:div w:id="671185727">
                              <w:marLeft w:val="0"/>
                              <w:marRight w:val="0"/>
                              <w:marTop w:val="0"/>
                              <w:marBottom w:val="0"/>
                              <w:divBdr>
                                <w:top w:val="none" w:sz="0" w:space="0" w:color="auto"/>
                                <w:left w:val="none" w:sz="0" w:space="0" w:color="auto"/>
                                <w:bottom w:val="none" w:sz="0" w:space="0" w:color="auto"/>
                                <w:right w:val="none" w:sz="0" w:space="0" w:color="auto"/>
                              </w:divBdr>
                              <w:divsChild>
                                <w:div w:id="1950697498">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494101418">
      <w:bodyDiv w:val="1"/>
      <w:marLeft w:val="0"/>
      <w:marRight w:val="0"/>
      <w:marTop w:val="0"/>
      <w:marBottom w:val="0"/>
      <w:divBdr>
        <w:top w:val="none" w:sz="0" w:space="0" w:color="auto"/>
        <w:left w:val="none" w:sz="0" w:space="0" w:color="auto"/>
        <w:bottom w:val="none" w:sz="0" w:space="0" w:color="auto"/>
        <w:right w:val="none" w:sz="0" w:space="0" w:color="auto"/>
      </w:divBdr>
      <w:divsChild>
        <w:div w:id="2130776277">
          <w:marLeft w:val="0"/>
          <w:marRight w:val="0"/>
          <w:marTop w:val="0"/>
          <w:marBottom w:val="0"/>
          <w:divBdr>
            <w:top w:val="none" w:sz="0" w:space="0" w:color="auto"/>
            <w:left w:val="none" w:sz="0" w:space="0" w:color="auto"/>
            <w:bottom w:val="none" w:sz="0" w:space="0" w:color="auto"/>
            <w:right w:val="none" w:sz="0" w:space="0" w:color="auto"/>
          </w:divBdr>
          <w:divsChild>
            <w:div w:id="1083408019">
              <w:marLeft w:val="0"/>
              <w:marRight w:val="0"/>
              <w:marTop w:val="0"/>
              <w:marBottom w:val="0"/>
              <w:divBdr>
                <w:top w:val="none" w:sz="0" w:space="0" w:color="auto"/>
                <w:left w:val="none" w:sz="0" w:space="0" w:color="auto"/>
                <w:bottom w:val="none" w:sz="0" w:space="0" w:color="auto"/>
                <w:right w:val="none" w:sz="0" w:space="0" w:color="auto"/>
              </w:divBdr>
              <w:divsChild>
                <w:div w:id="1500539820">
                  <w:marLeft w:val="0"/>
                  <w:marRight w:val="0"/>
                  <w:marTop w:val="0"/>
                  <w:marBottom w:val="150"/>
                  <w:divBdr>
                    <w:top w:val="none" w:sz="0" w:space="0" w:color="auto"/>
                    <w:left w:val="none" w:sz="0" w:space="0" w:color="auto"/>
                    <w:bottom w:val="none" w:sz="0" w:space="0" w:color="auto"/>
                    <w:right w:val="none" w:sz="0" w:space="0" w:color="auto"/>
                  </w:divBdr>
                  <w:divsChild>
                    <w:div w:id="7061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079551">
      <w:bodyDiv w:val="1"/>
      <w:marLeft w:val="0"/>
      <w:marRight w:val="0"/>
      <w:marTop w:val="0"/>
      <w:marBottom w:val="0"/>
      <w:divBdr>
        <w:top w:val="none" w:sz="0" w:space="0" w:color="auto"/>
        <w:left w:val="none" w:sz="0" w:space="0" w:color="auto"/>
        <w:bottom w:val="none" w:sz="0" w:space="0" w:color="auto"/>
        <w:right w:val="none" w:sz="0" w:space="0" w:color="auto"/>
      </w:divBdr>
      <w:divsChild>
        <w:div w:id="1426077769">
          <w:marLeft w:val="0"/>
          <w:marRight w:val="0"/>
          <w:marTop w:val="0"/>
          <w:marBottom w:val="0"/>
          <w:divBdr>
            <w:top w:val="none" w:sz="0" w:space="0" w:color="auto"/>
            <w:left w:val="none" w:sz="0" w:space="0" w:color="auto"/>
            <w:bottom w:val="none" w:sz="0" w:space="0" w:color="auto"/>
            <w:right w:val="none" w:sz="0" w:space="0" w:color="auto"/>
          </w:divBdr>
          <w:divsChild>
            <w:div w:id="1060637175">
              <w:marLeft w:val="0"/>
              <w:marRight w:val="0"/>
              <w:marTop w:val="0"/>
              <w:marBottom w:val="0"/>
              <w:divBdr>
                <w:top w:val="none" w:sz="0" w:space="0" w:color="auto"/>
                <w:left w:val="none" w:sz="0" w:space="0" w:color="auto"/>
                <w:bottom w:val="none" w:sz="0" w:space="0" w:color="auto"/>
                <w:right w:val="none" w:sz="0" w:space="0" w:color="auto"/>
              </w:divBdr>
              <w:divsChild>
                <w:div w:id="1136290014">
                  <w:marLeft w:val="0"/>
                  <w:marRight w:val="0"/>
                  <w:marTop w:val="0"/>
                  <w:marBottom w:val="150"/>
                  <w:divBdr>
                    <w:top w:val="none" w:sz="0" w:space="0" w:color="auto"/>
                    <w:left w:val="none" w:sz="0" w:space="0" w:color="auto"/>
                    <w:bottom w:val="none" w:sz="0" w:space="0" w:color="auto"/>
                    <w:right w:val="none" w:sz="0" w:space="0" w:color="auto"/>
                  </w:divBdr>
                  <w:divsChild>
                    <w:div w:id="107763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971236">
      <w:bodyDiv w:val="1"/>
      <w:marLeft w:val="0"/>
      <w:marRight w:val="0"/>
      <w:marTop w:val="0"/>
      <w:marBottom w:val="0"/>
      <w:divBdr>
        <w:top w:val="none" w:sz="0" w:space="0" w:color="auto"/>
        <w:left w:val="none" w:sz="0" w:space="0" w:color="auto"/>
        <w:bottom w:val="none" w:sz="0" w:space="0" w:color="auto"/>
        <w:right w:val="none" w:sz="0" w:space="0" w:color="auto"/>
      </w:divBdr>
      <w:divsChild>
        <w:div w:id="2069113424">
          <w:marLeft w:val="0"/>
          <w:marRight w:val="0"/>
          <w:marTop w:val="0"/>
          <w:marBottom w:val="0"/>
          <w:divBdr>
            <w:top w:val="none" w:sz="0" w:space="0" w:color="auto"/>
            <w:left w:val="none" w:sz="0" w:space="0" w:color="auto"/>
            <w:bottom w:val="none" w:sz="0" w:space="0" w:color="auto"/>
            <w:right w:val="none" w:sz="0" w:space="0" w:color="auto"/>
          </w:divBdr>
          <w:divsChild>
            <w:div w:id="963122037">
              <w:marLeft w:val="0"/>
              <w:marRight w:val="0"/>
              <w:marTop w:val="0"/>
              <w:marBottom w:val="0"/>
              <w:divBdr>
                <w:top w:val="none" w:sz="0" w:space="0" w:color="auto"/>
                <w:left w:val="none" w:sz="0" w:space="0" w:color="auto"/>
                <w:bottom w:val="none" w:sz="0" w:space="0" w:color="auto"/>
                <w:right w:val="none" w:sz="0" w:space="0" w:color="auto"/>
              </w:divBdr>
              <w:divsChild>
                <w:div w:id="979116199">
                  <w:marLeft w:val="0"/>
                  <w:marRight w:val="0"/>
                  <w:marTop w:val="0"/>
                  <w:marBottom w:val="0"/>
                  <w:divBdr>
                    <w:top w:val="none" w:sz="0" w:space="0" w:color="auto"/>
                    <w:left w:val="none" w:sz="0" w:space="0" w:color="auto"/>
                    <w:bottom w:val="none" w:sz="0" w:space="0" w:color="auto"/>
                    <w:right w:val="none" w:sz="0" w:space="0" w:color="auto"/>
                  </w:divBdr>
                  <w:divsChild>
                    <w:div w:id="169296138">
                      <w:marLeft w:val="0"/>
                      <w:marRight w:val="0"/>
                      <w:marTop w:val="0"/>
                      <w:marBottom w:val="0"/>
                      <w:divBdr>
                        <w:top w:val="none" w:sz="0" w:space="0" w:color="auto"/>
                        <w:left w:val="none" w:sz="0" w:space="0" w:color="auto"/>
                        <w:bottom w:val="none" w:sz="0" w:space="0" w:color="auto"/>
                        <w:right w:val="none" w:sz="0" w:space="0" w:color="auto"/>
                      </w:divBdr>
                      <w:divsChild>
                        <w:div w:id="1276599834">
                          <w:marLeft w:val="0"/>
                          <w:marRight w:val="0"/>
                          <w:marTop w:val="0"/>
                          <w:marBottom w:val="0"/>
                          <w:divBdr>
                            <w:top w:val="none" w:sz="0" w:space="0" w:color="auto"/>
                            <w:left w:val="none" w:sz="0" w:space="0" w:color="auto"/>
                            <w:bottom w:val="none" w:sz="0" w:space="0" w:color="auto"/>
                            <w:right w:val="none" w:sz="0" w:space="0" w:color="auto"/>
                          </w:divBdr>
                          <w:divsChild>
                            <w:div w:id="1163593043">
                              <w:marLeft w:val="0"/>
                              <w:marRight w:val="0"/>
                              <w:marTop w:val="0"/>
                              <w:marBottom w:val="0"/>
                              <w:divBdr>
                                <w:top w:val="none" w:sz="0" w:space="0" w:color="auto"/>
                                <w:left w:val="none" w:sz="0" w:space="0" w:color="auto"/>
                                <w:bottom w:val="none" w:sz="0" w:space="0" w:color="auto"/>
                                <w:right w:val="none" w:sz="0" w:space="0" w:color="auto"/>
                              </w:divBdr>
                              <w:divsChild>
                                <w:div w:id="687757480">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603338691">
      <w:bodyDiv w:val="1"/>
      <w:marLeft w:val="0"/>
      <w:marRight w:val="0"/>
      <w:marTop w:val="0"/>
      <w:marBottom w:val="0"/>
      <w:divBdr>
        <w:top w:val="none" w:sz="0" w:space="0" w:color="auto"/>
        <w:left w:val="none" w:sz="0" w:space="0" w:color="auto"/>
        <w:bottom w:val="none" w:sz="0" w:space="0" w:color="auto"/>
        <w:right w:val="none" w:sz="0" w:space="0" w:color="auto"/>
      </w:divBdr>
      <w:divsChild>
        <w:div w:id="1605072199">
          <w:marLeft w:val="0"/>
          <w:marRight w:val="0"/>
          <w:marTop w:val="0"/>
          <w:marBottom w:val="0"/>
          <w:divBdr>
            <w:top w:val="none" w:sz="0" w:space="0" w:color="auto"/>
            <w:left w:val="none" w:sz="0" w:space="0" w:color="auto"/>
            <w:bottom w:val="none" w:sz="0" w:space="0" w:color="auto"/>
            <w:right w:val="none" w:sz="0" w:space="0" w:color="auto"/>
          </w:divBdr>
          <w:divsChild>
            <w:div w:id="1526669130">
              <w:marLeft w:val="0"/>
              <w:marRight w:val="0"/>
              <w:marTop w:val="0"/>
              <w:marBottom w:val="0"/>
              <w:divBdr>
                <w:top w:val="none" w:sz="0" w:space="0" w:color="auto"/>
                <w:left w:val="none" w:sz="0" w:space="0" w:color="auto"/>
                <w:bottom w:val="none" w:sz="0" w:space="0" w:color="auto"/>
                <w:right w:val="none" w:sz="0" w:space="0" w:color="auto"/>
              </w:divBdr>
              <w:divsChild>
                <w:div w:id="1015428115">
                  <w:marLeft w:val="0"/>
                  <w:marRight w:val="0"/>
                  <w:marTop w:val="0"/>
                  <w:marBottom w:val="0"/>
                  <w:divBdr>
                    <w:top w:val="none" w:sz="0" w:space="0" w:color="auto"/>
                    <w:left w:val="none" w:sz="0" w:space="0" w:color="auto"/>
                    <w:bottom w:val="none" w:sz="0" w:space="0" w:color="auto"/>
                    <w:right w:val="none" w:sz="0" w:space="0" w:color="auto"/>
                  </w:divBdr>
                  <w:divsChild>
                    <w:div w:id="461848145">
                      <w:marLeft w:val="0"/>
                      <w:marRight w:val="0"/>
                      <w:marTop w:val="0"/>
                      <w:marBottom w:val="0"/>
                      <w:divBdr>
                        <w:top w:val="none" w:sz="0" w:space="0" w:color="auto"/>
                        <w:left w:val="none" w:sz="0" w:space="0" w:color="auto"/>
                        <w:bottom w:val="none" w:sz="0" w:space="0" w:color="auto"/>
                        <w:right w:val="none" w:sz="0" w:space="0" w:color="auto"/>
                      </w:divBdr>
                      <w:divsChild>
                        <w:div w:id="1885217476">
                          <w:marLeft w:val="0"/>
                          <w:marRight w:val="0"/>
                          <w:marTop w:val="0"/>
                          <w:marBottom w:val="0"/>
                          <w:divBdr>
                            <w:top w:val="none" w:sz="0" w:space="0" w:color="auto"/>
                            <w:left w:val="none" w:sz="0" w:space="0" w:color="auto"/>
                            <w:bottom w:val="none" w:sz="0" w:space="0" w:color="auto"/>
                            <w:right w:val="none" w:sz="0" w:space="0" w:color="auto"/>
                          </w:divBdr>
                          <w:divsChild>
                            <w:div w:id="707337371">
                              <w:marLeft w:val="0"/>
                              <w:marRight w:val="0"/>
                              <w:marTop w:val="0"/>
                              <w:marBottom w:val="0"/>
                              <w:divBdr>
                                <w:top w:val="none" w:sz="0" w:space="0" w:color="auto"/>
                                <w:left w:val="none" w:sz="0" w:space="0" w:color="auto"/>
                                <w:bottom w:val="none" w:sz="0" w:space="0" w:color="auto"/>
                                <w:right w:val="none" w:sz="0" w:space="0" w:color="auto"/>
                              </w:divBdr>
                              <w:divsChild>
                                <w:div w:id="160972739">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682127345">
      <w:bodyDiv w:val="1"/>
      <w:marLeft w:val="0"/>
      <w:marRight w:val="0"/>
      <w:marTop w:val="0"/>
      <w:marBottom w:val="0"/>
      <w:divBdr>
        <w:top w:val="none" w:sz="0" w:space="0" w:color="auto"/>
        <w:left w:val="none" w:sz="0" w:space="0" w:color="auto"/>
        <w:bottom w:val="none" w:sz="0" w:space="0" w:color="auto"/>
        <w:right w:val="none" w:sz="0" w:space="0" w:color="auto"/>
      </w:divBdr>
      <w:divsChild>
        <w:div w:id="351758930">
          <w:marLeft w:val="0"/>
          <w:marRight w:val="0"/>
          <w:marTop w:val="0"/>
          <w:marBottom w:val="0"/>
          <w:divBdr>
            <w:top w:val="none" w:sz="0" w:space="0" w:color="auto"/>
            <w:left w:val="none" w:sz="0" w:space="0" w:color="auto"/>
            <w:bottom w:val="none" w:sz="0" w:space="0" w:color="auto"/>
            <w:right w:val="none" w:sz="0" w:space="0" w:color="auto"/>
          </w:divBdr>
          <w:divsChild>
            <w:div w:id="1943099232">
              <w:marLeft w:val="0"/>
              <w:marRight w:val="0"/>
              <w:marTop w:val="0"/>
              <w:marBottom w:val="0"/>
              <w:divBdr>
                <w:top w:val="none" w:sz="0" w:space="0" w:color="auto"/>
                <w:left w:val="none" w:sz="0" w:space="0" w:color="auto"/>
                <w:bottom w:val="none" w:sz="0" w:space="0" w:color="auto"/>
                <w:right w:val="none" w:sz="0" w:space="0" w:color="auto"/>
              </w:divBdr>
              <w:divsChild>
                <w:div w:id="1760322183">
                  <w:marLeft w:val="0"/>
                  <w:marRight w:val="0"/>
                  <w:marTop w:val="0"/>
                  <w:marBottom w:val="150"/>
                  <w:divBdr>
                    <w:top w:val="none" w:sz="0" w:space="0" w:color="auto"/>
                    <w:left w:val="none" w:sz="0" w:space="0" w:color="auto"/>
                    <w:bottom w:val="none" w:sz="0" w:space="0" w:color="auto"/>
                    <w:right w:val="none" w:sz="0" w:space="0" w:color="auto"/>
                  </w:divBdr>
                  <w:divsChild>
                    <w:div w:id="19169383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85935710">
      <w:bodyDiv w:val="1"/>
      <w:marLeft w:val="0"/>
      <w:marRight w:val="0"/>
      <w:marTop w:val="0"/>
      <w:marBottom w:val="0"/>
      <w:divBdr>
        <w:top w:val="none" w:sz="0" w:space="0" w:color="auto"/>
        <w:left w:val="none" w:sz="0" w:space="0" w:color="auto"/>
        <w:bottom w:val="none" w:sz="0" w:space="0" w:color="auto"/>
        <w:right w:val="none" w:sz="0" w:space="0" w:color="auto"/>
      </w:divBdr>
      <w:divsChild>
        <w:div w:id="449208089">
          <w:marLeft w:val="0"/>
          <w:marRight w:val="0"/>
          <w:marTop w:val="0"/>
          <w:marBottom w:val="0"/>
          <w:divBdr>
            <w:top w:val="none" w:sz="0" w:space="0" w:color="auto"/>
            <w:left w:val="none" w:sz="0" w:space="0" w:color="auto"/>
            <w:bottom w:val="none" w:sz="0" w:space="0" w:color="auto"/>
            <w:right w:val="none" w:sz="0" w:space="0" w:color="auto"/>
          </w:divBdr>
          <w:divsChild>
            <w:div w:id="2144885130">
              <w:marLeft w:val="0"/>
              <w:marRight w:val="0"/>
              <w:marTop w:val="0"/>
              <w:marBottom w:val="0"/>
              <w:divBdr>
                <w:top w:val="none" w:sz="0" w:space="0" w:color="auto"/>
                <w:left w:val="none" w:sz="0" w:space="0" w:color="auto"/>
                <w:bottom w:val="none" w:sz="0" w:space="0" w:color="auto"/>
                <w:right w:val="none" w:sz="0" w:space="0" w:color="auto"/>
              </w:divBdr>
              <w:divsChild>
                <w:div w:id="1373074697">
                  <w:marLeft w:val="0"/>
                  <w:marRight w:val="0"/>
                  <w:marTop w:val="0"/>
                  <w:marBottom w:val="0"/>
                  <w:divBdr>
                    <w:top w:val="none" w:sz="0" w:space="0" w:color="auto"/>
                    <w:left w:val="none" w:sz="0" w:space="0" w:color="auto"/>
                    <w:bottom w:val="none" w:sz="0" w:space="0" w:color="auto"/>
                    <w:right w:val="none" w:sz="0" w:space="0" w:color="auto"/>
                  </w:divBdr>
                  <w:divsChild>
                    <w:div w:id="66867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076783">
      <w:bodyDiv w:val="1"/>
      <w:marLeft w:val="0"/>
      <w:marRight w:val="0"/>
      <w:marTop w:val="0"/>
      <w:marBottom w:val="0"/>
      <w:divBdr>
        <w:top w:val="none" w:sz="0" w:space="0" w:color="auto"/>
        <w:left w:val="none" w:sz="0" w:space="0" w:color="auto"/>
        <w:bottom w:val="none" w:sz="0" w:space="0" w:color="auto"/>
        <w:right w:val="none" w:sz="0" w:space="0" w:color="auto"/>
      </w:divBdr>
    </w:div>
    <w:div w:id="1792895727">
      <w:bodyDiv w:val="1"/>
      <w:marLeft w:val="0"/>
      <w:marRight w:val="0"/>
      <w:marTop w:val="0"/>
      <w:marBottom w:val="0"/>
      <w:divBdr>
        <w:top w:val="none" w:sz="0" w:space="0" w:color="auto"/>
        <w:left w:val="none" w:sz="0" w:space="0" w:color="auto"/>
        <w:bottom w:val="none" w:sz="0" w:space="0" w:color="auto"/>
        <w:right w:val="none" w:sz="0" w:space="0" w:color="auto"/>
      </w:divBdr>
      <w:divsChild>
        <w:div w:id="1131898486">
          <w:marLeft w:val="0"/>
          <w:marRight w:val="0"/>
          <w:marTop w:val="0"/>
          <w:marBottom w:val="0"/>
          <w:divBdr>
            <w:top w:val="none" w:sz="0" w:space="0" w:color="auto"/>
            <w:left w:val="none" w:sz="0" w:space="0" w:color="auto"/>
            <w:bottom w:val="none" w:sz="0" w:space="0" w:color="auto"/>
            <w:right w:val="none" w:sz="0" w:space="0" w:color="auto"/>
          </w:divBdr>
          <w:divsChild>
            <w:div w:id="2122339866">
              <w:marLeft w:val="0"/>
              <w:marRight w:val="0"/>
              <w:marTop w:val="0"/>
              <w:marBottom w:val="0"/>
              <w:divBdr>
                <w:top w:val="none" w:sz="0" w:space="0" w:color="auto"/>
                <w:left w:val="none" w:sz="0" w:space="0" w:color="auto"/>
                <w:bottom w:val="none" w:sz="0" w:space="0" w:color="auto"/>
                <w:right w:val="none" w:sz="0" w:space="0" w:color="auto"/>
              </w:divBdr>
              <w:divsChild>
                <w:div w:id="248272475">
                  <w:marLeft w:val="0"/>
                  <w:marRight w:val="0"/>
                  <w:marTop w:val="0"/>
                  <w:marBottom w:val="150"/>
                  <w:divBdr>
                    <w:top w:val="none" w:sz="0" w:space="0" w:color="auto"/>
                    <w:left w:val="none" w:sz="0" w:space="0" w:color="auto"/>
                    <w:bottom w:val="none" w:sz="0" w:space="0" w:color="auto"/>
                    <w:right w:val="none" w:sz="0" w:space="0" w:color="auto"/>
                  </w:divBdr>
                  <w:divsChild>
                    <w:div w:id="1189568335">
                      <w:marLeft w:val="0"/>
                      <w:marRight w:val="0"/>
                      <w:marTop w:val="0"/>
                      <w:marBottom w:val="0"/>
                      <w:divBdr>
                        <w:top w:val="none" w:sz="0" w:space="0" w:color="auto"/>
                        <w:left w:val="none" w:sz="0" w:space="0" w:color="auto"/>
                        <w:bottom w:val="none" w:sz="0" w:space="0" w:color="auto"/>
                        <w:right w:val="none" w:sz="0" w:space="0" w:color="auto"/>
                      </w:divBdr>
                      <w:divsChild>
                        <w:div w:id="679936960">
                          <w:marLeft w:val="0"/>
                          <w:marRight w:val="0"/>
                          <w:marTop w:val="0"/>
                          <w:marBottom w:val="0"/>
                          <w:divBdr>
                            <w:top w:val="none" w:sz="0" w:space="0" w:color="auto"/>
                            <w:left w:val="none" w:sz="0" w:space="0" w:color="auto"/>
                            <w:bottom w:val="none" w:sz="0" w:space="0" w:color="auto"/>
                            <w:right w:val="none" w:sz="0" w:space="0" w:color="auto"/>
                          </w:divBdr>
                          <w:divsChild>
                            <w:div w:id="1154567658">
                              <w:marLeft w:val="0"/>
                              <w:marRight w:val="0"/>
                              <w:marTop w:val="0"/>
                              <w:marBottom w:val="0"/>
                              <w:divBdr>
                                <w:top w:val="none" w:sz="0" w:space="0" w:color="auto"/>
                                <w:left w:val="none" w:sz="0" w:space="0" w:color="auto"/>
                                <w:bottom w:val="none" w:sz="0" w:space="0" w:color="auto"/>
                                <w:right w:val="none" w:sz="0" w:space="0" w:color="auto"/>
                              </w:divBdr>
                              <w:divsChild>
                                <w:div w:id="70471341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2106340798">
      <w:bodyDiv w:val="1"/>
      <w:marLeft w:val="0"/>
      <w:marRight w:val="0"/>
      <w:marTop w:val="0"/>
      <w:marBottom w:val="0"/>
      <w:divBdr>
        <w:top w:val="none" w:sz="0" w:space="0" w:color="auto"/>
        <w:left w:val="none" w:sz="0" w:space="0" w:color="auto"/>
        <w:bottom w:val="none" w:sz="0" w:space="0" w:color="auto"/>
        <w:right w:val="none" w:sz="0" w:space="0" w:color="auto"/>
      </w:divBdr>
      <w:divsChild>
        <w:div w:id="2128772698">
          <w:marLeft w:val="0"/>
          <w:marRight w:val="0"/>
          <w:marTop w:val="0"/>
          <w:marBottom w:val="0"/>
          <w:divBdr>
            <w:top w:val="none" w:sz="0" w:space="0" w:color="auto"/>
            <w:left w:val="none" w:sz="0" w:space="0" w:color="auto"/>
            <w:bottom w:val="none" w:sz="0" w:space="0" w:color="auto"/>
            <w:right w:val="none" w:sz="0" w:space="0" w:color="auto"/>
          </w:divBdr>
          <w:divsChild>
            <w:div w:id="1161772847">
              <w:marLeft w:val="0"/>
              <w:marRight w:val="0"/>
              <w:marTop w:val="0"/>
              <w:marBottom w:val="0"/>
              <w:divBdr>
                <w:top w:val="none" w:sz="0" w:space="0" w:color="auto"/>
                <w:left w:val="none" w:sz="0" w:space="0" w:color="auto"/>
                <w:bottom w:val="none" w:sz="0" w:space="0" w:color="auto"/>
                <w:right w:val="none" w:sz="0" w:space="0" w:color="auto"/>
              </w:divBdr>
              <w:divsChild>
                <w:div w:id="675810517">
                  <w:marLeft w:val="0"/>
                  <w:marRight w:val="0"/>
                  <w:marTop w:val="0"/>
                  <w:marBottom w:val="150"/>
                  <w:divBdr>
                    <w:top w:val="none" w:sz="0" w:space="0" w:color="auto"/>
                    <w:left w:val="none" w:sz="0" w:space="0" w:color="auto"/>
                    <w:bottom w:val="none" w:sz="0" w:space="0" w:color="auto"/>
                    <w:right w:val="none" w:sz="0" w:space="0" w:color="auto"/>
                  </w:divBdr>
                  <w:divsChild>
                    <w:div w:id="120006253">
                      <w:marLeft w:val="0"/>
                      <w:marRight w:val="0"/>
                      <w:marTop w:val="0"/>
                      <w:marBottom w:val="0"/>
                      <w:divBdr>
                        <w:top w:val="none" w:sz="0" w:space="0" w:color="auto"/>
                        <w:left w:val="none" w:sz="0" w:space="0" w:color="auto"/>
                        <w:bottom w:val="none" w:sz="0" w:space="0" w:color="auto"/>
                        <w:right w:val="none" w:sz="0" w:space="0" w:color="auto"/>
                      </w:divBdr>
                      <w:divsChild>
                        <w:div w:id="2034110637">
                          <w:marLeft w:val="0"/>
                          <w:marRight w:val="0"/>
                          <w:marTop w:val="0"/>
                          <w:marBottom w:val="0"/>
                          <w:divBdr>
                            <w:top w:val="none" w:sz="0" w:space="0" w:color="auto"/>
                            <w:left w:val="none" w:sz="0" w:space="0" w:color="auto"/>
                            <w:bottom w:val="none" w:sz="0" w:space="0" w:color="auto"/>
                            <w:right w:val="none" w:sz="0" w:space="0" w:color="auto"/>
                          </w:divBdr>
                          <w:divsChild>
                            <w:div w:id="19876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901850">
      <w:bodyDiv w:val="1"/>
      <w:marLeft w:val="0"/>
      <w:marRight w:val="0"/>
      <w:marTop w:val="0"/>
      <w:marBottom w:val="0"/>
      <w:divBdr>
        <w:top w:val="none" w:sz="0" w:space="0" w:color="auto"/>
        <w:left w:val="none" w:sz="0" w:space="0" w:color="auto"/>
        <w:bottom w:val="none" w:sz="0" w:space="0" w:color="auto"/>
        <w:right w:val="none" w:sz="0" w:space="0" w:color="auto"/>
      </w:divBdr>
    </w:div>
    <w:div w:id="2129810915">
      <w:bodyDiv w:val="1"/>
      <w:marLeft w:val="0"/>
      <w:marRight w:val="0"/>
      <w:marTop w:val="0"/>
      <w:marBottom w:val="0"/>
      <w:divBdr>
        <w:top w:val="none" w:sz="0" w:space="0" w:color="auto"/>
        <w:left w:val="none" w:sz="0" w:space="0" w:color="auto"/>
        <w:bottom w:val="none" w:sz="0" w:space="0" w:color="auto"/>
        <w:right w:val="none" w:sz="0" w:space="0" w:color="auto"/>
      </w:divBdr>
      <w:divsChild>
        <w:div w:id="1563101061">
          <w:marLeft w:val="0"/>
          <w:marRight w:val="0"/>
          <w:marTop w:val="0"/>
          <w:marBottom w:val="0"/>
          <w:divBdr>
            <w:top w:val="none" w:sz="0" w:space="0" w:color="auto"/>
            <w:left w:val="none" w:sz="0" w:space="0" w:color="auto"/>
            <w:bottom w:val="none" w:sz="0" w:space="0" w:color="auto"/>
            <w:right w:val="none" w:sz="0" w:space="0" w:color="auto"/>
          </w:divBdr>
          <w:divsChild>
            <w:div w:id="1222247467">
              <w:marLeft w:val="0"/>
              <w:marRight w:val="0"/>
              <w:marTop w:val="0"/>
              <w:marBottom w:val="0"/>
              <w:divBdr>
                <w:top w:val="none" w:sz="0" w:space="0" w:color="auto"/>
                <w:left w:val="none" w:sz="0" w:space="0" w:color="auto"/>
                <w:bottom w:val="none" w:sz="0" w:space="0" w:color="auto"/>
                <w:right w:val="none" w:sz="0" w:space="0" w:color="auto"/>
              </w:divBdr>
              <w:divsChild>
                <w:div w:id="668678563">
                  <w:marLeft w:val="0"/>
                  <w:marRight w:val="0"/>
                  <w:marTop w:val="0"/>
                  <w:marBottom w:val="150"/>
                  <w:divBdr>
                    <w:top w:val="none" w:sz="0" w:space="0" w:color="auto"/>
                    <w:left w:val="none" w:sz="0" w:space="0" w:color="auto"/>
                    <w:bottom w:val="none" w:sz="0" w:space="0" w:color="auto"/>
                    <w:right w:val="none" w:sz="0" w:space="0" w:color="auto"/>
                  </w:divBdr>
                  <w:divsChild>
                    <w:div w:id="194781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42B667F5B09746A6A15F11E3DE4FC2" ma:contentTypeVersion="11" ma:contentTypeDescription="Create a new document." ma:contentTypeScope="" ma:versionID="8afc620f0d2dfb8125bdabb22351cdf4">
  <xsd:schema xmlns:xsd="http://www.w3.org/2001/XMLSchema" xmlns:xs="http://www.w3.org/2001/XMLSchema" xmlns:p="http://schemas.microsoft.com/office/2006/metadata/properties" xmlns:ns3="24e22c8c-566f-4e67-afe5-f954cee86b05" xmlns:ns4="c78f9aa3-3d15-47b1-b9f3-968f22737f17" targetNamespace="http://schemas.microsoft.com/office/2006/metadata/properties" ma:root="true" ma:fieldsID="712e5c4dbef6cdf94a6bbcc8c0940928" ns3:_="" ns4:_="">
    <xsd:import namespace="24e22c8c-566f-4e67-afe5-f954cee86b05"/>
    <xsd:import namespace="c78f9aa3-3d15-47b1-b9f3-968f22737f1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e22c8c-566f-4e67-afe5-f954cee86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8f9aa3-3d15-47b1-b9f3-968f22737f1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8EA880-9084-478C-995E-98D821B60ADE}">
  <ds:schemaRefs>
    <ds:schemaRef ds:uri="http://schemas.microsoft.com/sharepoint/v3/contenttype/forms"/>
  </ds:schemaRefs>
</ds:datastoreItem>
</file>

<file path=customXml/itemProps2.xml><?xml version="1.0" encoding="utf-8"?>
<ds:datastoreItem xmlns:ds="http://schemas.openxmlformats.org/officeDocument/2006/customXml" ds:itemID="{EA25E77F-393E-4F26-BB37-3EA1F00DC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e22c8c-566f-4e67-afe5-f954cee86b05"/>
    <ds:schemaRef ds:uri="c78f9aa3-3d15-47b1-b9f3-968f22737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35BF27-8CA0-46F9-BCC2-9B37440903B1}">
  <ds:schemaRefs>
    <ds:schemaRef ds:uri="http://schemas.openxmlformats.org/officeDocument/2006/bibliography"/>
  </ds:schemaRefs>
</ds:datastoreItem>
</file>

<file path=customXml/itemProps4.xml><?xml version="1.0" encoding="utf-8"?>
<ds:datastoreItem xmlns:ds="http://schemas.openxmlformats.org/officeDocument/2006/customXml" ds:itemID="{8736FCD9-ED8C-432E-8E49-678FEE91E5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957</Words>
  <Characters>5456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Amanda.Wilkinson@cleveland.police.uk</dc:creator>
  <cp:lastModifiedBy>EVANS, Elizabeth (C7916)</cp:lastModifiedBy>
  <cp:revision>1</cp:revision>
  <cp:lastPrinted>2014-09-16T11:29:00Z</cp:lastPrinted>
  <dcterms:created xsi:type="dcterms:W3CDTF">2022-09-26T14:14:00Z</dcterms:created>
  <dcterms:modified xsi:type="dcterms:W3CDTF">2022-09-26T14:14:00Z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1b7639-1bea-4e62-9a4e-16db8092c254_Enabled">
    <vt:lpwstr>true</vt:lpwstr>
  </property>
  <property fmtid="{D5CDD505-2E9C-101B-9397-08002B2CF9AE}" pid="3" name="MSIP_Label_431b7639-1bea-4e62-9a4e-16db8092c254_SetDate">
    <vt:lpwstr>2021-09-06T12:07:43Z</vt:lpwstr>
  </property>
  <property fmtid="{D5CDD505-2E9C-101B-9397-08002B2CF9AE}" pid="4" name="MSIP_Label_431b7639-1bea-4e62-9a4e-16db8092c254_Method">
    <vt:lpwstr>Standard</vt:lpwstr>
  </property>
  <property fmtid="{D5CDD505-2E9C-101B-9397-08002B2CF9AE}" pid="5" name="MSIP_Label_431b7639-1bea-4e62-9a4e-16db8092c254_Name">
    <vt:lpwstr>OFFICIAL</vt:lpwstr>
  </property>
  <property fmtid="{D5CDD505-2E9C-101B-9397-08002B2CF9AE}" pid="6" name="MSIP_Label_431b7639-1bea-4e62-9a4e-16db8092c254_SiteId">
    <vt:lpwstr>d9f19db2-65c6-4c0b-aecf-45abeba37c6f</vt:lpwstr>
  </property>
  <property fmtid="{D5CDD505-2E9C-101B-9397-08002B2CF9AE}" pid="7" name="MSIP_Label_431b7639-1bea-4e62-9a4e-16db8092c254_ActionId">
    <vt:lpwstr>95fa8bba-89b2-4a4d-aa14-ae52223d9ebc</vt:lpwstr>
  </property>
  <property fmtid="{D5CDD505-2E9C-101B-9397-08002B2CF9AE}" pid="8" name="MSIP_Label_431b7639-1bea-4e62-9a4e-16db8092c254_ContentBits">
    <vt:lpwstr>0</vt:lpwstr>
  </property>
  <property fmtid="{D5CDD505-2E9C-101B-9397-08002B2CF9AE}" pid="9" name="ContentTypeId">
    <vt:lpwstr>0x010100E142B667F5B09746A6A15F11E3DE4FC2</vt:lpwstr>
  </property>
</Properties>
</file>