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397"/>
        <w:gridCol w:w="8379"/>
        <w:gridCol w:w="1418"/>
      </w:tblGrid>
      <w:tr w:rsidR="00657498" w14:paraId="7AF3E798" w14:textId="6F3DC641" w:rsidTr="004D525E">
        <w:tc>
          <w:tcPr>
            <w:tcW w:w="1397" w:type="dxa"/>
            <w:shd w:val="clear" w:color="auto" w:fill="8EAADB" w:themeFill="accent1" w:themeFillTint="99"/>
          </w:tcPr>
          <w:p w14:paraId="5712DC62" w14:textId="3462319F" w:rsidR="00657498" w:rsidRPr="004D525E" w:rsidRDefault="00EF2CC1">
            <w:pPr>
              <w:rPr>
                <w:b/>
                <w:bCs/>
              </w:rPr>
            </w:pPr>
            <w:r w:rsidRPr="004D525E">
              <w:rPr>
                <w:b/>
                <w:bCs/>
              </w:rPr>
              <w:t xml:space="preserve">Meeting </w:t>
            </w:r>
            <w:r w:rsidR="004D525E" w:rsidRPr="004D525E">
              <w:rPr>
                <w:b/>
                <w:bCs/>
              </w:rPr>
              <w:t>2022/23</w:t>
            </w:r>
          </w:p>
        </w:tc>
        <w:tc>
          <w:tcPr>
            <w:tcW w:w="8379" w:type="dxa"/>
            <w:shd w:val="clear" w:color="auto" w:fill="8EAADB" w:themeFill="accent1" w:themeFillTint="99"/>
          </w:tcPr>
          <w:p w14:paraId="099D8494" w14:textId="2A53C943" w:rsidR="00657498" w:rsidRPr="004D525E" w:rsidRDefault="004D525E">
            <w:pPr>
              <w:rPr>
                <w:b/>
                <w:bCs/>
              </w:rPr>
            </w:pPr>
            <w:r w:rsidRPr="004D525E">
              <w:rPr>
                <w:b/>
                <w:bCs/>
              </w:rPr>
              <w:t>Issue Covered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2FEB90B1" w14:textId="457DA792" w:rsidR="00657498" w:rsidRPr="004D525E" w:rsidRDefault="004D525E">
            <w:pPr>
              <w:rPr>
                <w:b/>
                <w:bCs/>
              </w:rPr>
            </w:pPr>
            <w:r w:rsidRPr="004D525E">
              <w:rPr>
                <w:b/>
                <w:bCs/>
              </w:rPr>
              <w:t>Level of Assurance</w:t>
            </w:r>
          </w:p>
        </w:tc>
      </w:tr>
      <w:tr w:rsidR="00657498" w14:paraId="0DAE7770" w14:textId="49991BD3" w:rsidTr="004D525E">
        <w:tc>
          <w:tcPr>
            <w:tcW w:w="1397" w:type="dxa"/>
          </w:tcPr>
          <w:p w14:paraId="7A08BD82" w14:textId="511DA21A" w:rsidR="00657498" w:rsidRDefault="00657498">
            <w:r>
              <w:t>April</w:t>
            </w:r>
          </w:p>
        </w:tc>
        <w:tc>
          <w:tcPr>
            <w:tcW w:w="8379" w:type="dxa"/>
          </w:tcPr>
          <w:p w14:paraId="4F7D9759" w14:textId="156D4E32" w:rsidR="00657498" w:rsidRDefault="00657498">
            <w:r w:rsidRPr="005C65A6">
              <w:rPr>
                <w:b/>
                <w:bCs/>
              </w:rPr>
              <w:t>Force Control Room</w:t>
            </w:r>
            <w:r w:rsidR="00D00D5D">
              <w:t xml:space="preserve"> – performance, vacancies, shift pattern, </w:t>
            </w:r>
            <w:r w:rsidR="00AE67A3">
              <w:t xml:space="preserve">staff support and retention, </w:t>
            </w:r>
            <w:r w:rsidR="00B61C25">
              <w:t>quality.</w:t>
            </w:r>
          </w:p>
          <w:p w14:paraId="3C5B17D7" w14:textId="6B023A25" w:rsidR="00B61C25" w:rsidRDefault="00B61C25"/>
        </w:tc>
        <w:tc>
          <w:tcPr>
            <w:tcW w:w="1418" w:type="dxa"/>
            <w:shd w:val="clear" w:color="auto" w:fill="FFC000"/>
          </w:tcPr>
          <w:p w14:paraId="11CD3EA7" w14:textId="2D161813" w:rsidR="00657498" w:rsidRDefault="005669A2">
            <w:r>
              <w:t>Partly Assured</w:t>
            </w:r>
          </w:p>
        </w:tc>
      </w:tr>
      <w:tr w:rsidR="00657498" w14:paraId="50E448CA" w14:textId="5EB71922" w:rsidTr="004D525E">
        <w:tc>
          <w:tcPr>
            <w:tcW w:w="1397" w:type="dxa"/>
            <w:shd w:val="clear" w:color="auto" w:fill="auto"/>
          </w:tcPr>
          <w:p w14:paraId="7928BF7A" w14:textId="1CD5FD15" w:rsidR="00657498" w:rsidRPr="004D525E" w:rsidRDefault="005669A2">
            <w:r w:rsidRPr="004D525E">
              <w:t>May</w:t>
            </w:r>
            <w:r w:rsidR="00016718">
              <w:t xml:space="preserve"> - Quarterly Performance</w:t>
            </w:r>
          </w:p>
        </w:tc>
        <w:tc>
          <w:tcPr>
            <w:tcW w:w="8379" w:type="dxa"/>
          </w:tcPr>
          <w:p w14:paraId="2B46A993" w14:textId="7F7C84E2" w:rsidR="00B61C25" w:rsidRPr="00E110A4" w:rsidRDefault="00657498" w:rsidP="00F97752">
            <w:r w:rsidRPr="005C65A6">
              <w:rPr>
                <w:b/>
                <w:bCs/>
              </w:rPr>
              <w:t>Off Road Motor Bikes and Vehicle Crime</w:t>
            </w:r>
            <w:r w:rsidR="00E110A4">
              <w:rPr>
                <w:b/>
                <w:bCs/>
              </w:rPr>
              <w:t xml:space="preserve"> - </w:t>
            </w:r>
            <w:r w:rsidR="00D06551" w:rsidRPr="00D06551">
              <w:t>how the Force is tackling the nuisance of off-road motor vehicles including operational performance and the impact that performance is making</w:t>
            </w:r>
            <w:r w:rsidR="00D06551">
              <w:t>, plans to address the rise in vehicle crime</w:t>
            </w:r>
            <w:r w:rsidR="004F5D52">
              <w:t xml:space="preserve">, </w:t>
            </w:r>
            <w:r w:rsidR="004F5D52" w:rsidRPr="004F5D52">
              <w:t xml:space="preserve">plans to address the key indicators within the performance measures for neighbourhood </w:t>
            </w:r>
            <w:r w:rsidR="00B61C25" w:rsidRPr="004F5D52">
              <w:t>crime.</w:t>
            </w:r>
          </w:p>
        </w:tc>
        <w:tc>
          <w:tcPr>
            <w:tcW w:w="1418" w:type="dxa"/>
            <w:shd w:val="clear" w:color="auto" w:fill="FFC000"/>
          </w:tcPr>
          <w:p w14:paraId="314C1906" w14:textId="489EF9C1" w:rsidR="00657498" w:rsidRDefault="00E03B18">
            <w:r>
              <w:t>Partly Assured</w:t>
            </w:r>
          </w:p>
        </w:tc>
      </w:tr>
      <w:tr w:rsidR="00DC5335" w14:paraId="7EBFB1B4" w14:textId="7C9D37D0" w:rsidTr="004D525E">
        <w:tc>
          <w:tcPr>
            <w:tcW w:w="1397" w:type="dxa"/>
            <w:vMerge w:val="restart"/>
          </w:tcPr>
          <w:p w14:paraId="60C945CC" w14:textId="4323E257" w:rsidR="00DC5335" w:rsidRDefault="00DC5335">
            <w:r>
              <w:t>June</w:t>
            </w:r>
          </w:p>
        </w:tc>
        <w:tc>
          <w:tcPr>
            <w:tcW w:w="8379" w:type="dxa"/>
          </w:tcPr>
          <w:p w14:paraId="65F50A9C" w14:textId="744DB0D8" w:rsidR="00DC5335" w:rsidRDefault="00DC5335">
            <w:r w:rsidRPr="005C65A6">
              <w:rPr>
                <w:b/>
                <w:bCs/>
              </w:rPr>
              <w:t>Enabling Services</w:t>
            </w:r>
            <w:r>
              <w:t xml:space="preserve"> – Attraction Strategy and Vetting</w:t>
            </w:r>
            <w:r w:rsidR="00B61C25">
              <w:t>.</w:t>
            </w:r>
          </w:p>
          <w:p w14:paraId="248789D7" w14:textId="0B0550AF" w:rsidR="00B61C25" w:rsidRDefault="00B61C25"/>
        </w:tc>
        <w:tc>
          <w:tcPr>
            <w:tcW w:w="1418" w:type="dxa"/>
            <w:shd w:val="clear" w:color="auto" w:fill="FF0000"/>
          </w:tcPr>
          <w:p w14:paraId="36731E86" w14:textId="6B637134" w:rsidR="00DC5335" w:rsidRDefault="005669A2">
            <w:r>
              <w:t>Not assured</w:t>
            </w:r>
          </w:p>
        </w:tc>
      </w:tr>
      <w:tr w:rsidR="00DC5335" w14:paraId="0237052F" w14:textId="77777777" w:rsidTr="004D525E">
        <w:tc>
          <w:tcPr>
            <w:tcW w:w="1397" w:type="dxa"/>
            <w:vMerge/>
          </w:tcPr>
          <w:p w14:paraId="44093496" w14:textId="77777777" w:rsidR="00DC5335" w:rsidRDefault="00DC5335"/>
        </w:tc>
        <w:tc>
          <w:tcPr>
            <w:tcW w:w="8379" w:type="dxa"/>
          </w:tcPr>
          <w:p w14:paraId="477DB34A" w14:textId="63863532" w:rsidR="00DC5335" w:rsidRDefault="00DC5335">
            <w:r w:rsidRPr="005C65A6">
              <w:rPr>
                <w:b/>
                <w:bCs/>
              </w:rPr>
              <w:t>Enabling Services</w:t>
            </w:r>
            <w:r>
              <w:t xml:space="preserve"> </w:t>
            </w:r>
            <w:r w:rsidR="000F0893">
              <w:t>–</w:t>
            </w:r>
            <w:r>
              <w:t xml:space="preserve"> </w:t>
            </w:r>
            <w:r w:rsidR="000F0893">
              <w:t>Transfers, Best Evidence Suites, Drones</w:t>
            </w:r>
            <w:r w:rsidR="004C5F6E">
              <w:t xml:space="preserve">, </w:t>
            </w:r>
            <w:r w:rsidR="00FF5FF4">
              <w:t>NEP Roll out</w:t>
            </w:r>
            <w:r w:rsidR="00B61C25">
              <w:t>.</w:t>
            </w:r>
          </w:p>
          <w:p w14:paraId="30332620" w14:textId="04A4F5FE" w:rsidR="00B61C25" w:rsidRDefault="00B61C25"/>
        </w:tc>
        <w:tc>
          <w:tcPr>
            <w:tcW w:w="1418" w:type="dxa"/>
            <w:shd w:val="clear" w:color="auto" w:fill="FFC000"/>
          </w:tcPr>
          <w:p w14:paraId="354A65FA" w14:textId="15E04EA9" w:rsidR="00DC5335" w:rsidRDefault="00E03B18">
            <w:r>
              <w:t>Partly Assured</w:t>
            </w:r>
          </w:p>
        </w:tc>
      </w:tr>
      <w:tr w:rsidR="004B59BB" w14:paraId="0E306A44" w14:textId="77777777" w:rsidTr="004D525E">
        <w:tc>
          <w:tcPr>
            <w:tcW w:w="1397" w:type="dxa"/>
          </w:tcPr>
          <w:p w14:paraId="1682DF39" w14:textId="7AE48D78" w:rsidR="004B59BB" w:rsidRDefault="004B59BB" w:rsidP="004B59BB">
            <w:r>
              <w:t>July</w:t>
            </w:r>
          </w:p>
        </w:tc>
        <w:tc>
          <w:tcPr>
            <w:tcW w:w="8379" w:type="dxa"/>
          </w:tcPr>
          <w:p w14:paraId="3260C560" w14:textId="2EB39A34" w:rsidR="004B59BB" w:rsidRDefault="004B59BB" w:rsidP="004B59BB">
            <w:r w:rsidRPr="003A1DEF">
              <w:rPr>
                <w:b/>
                <w:bCs/>
              </w:rPr>
              <w:t>Update on Enabling Services</w:t>
            </w:r>
            <w:r w:rsidR="005C65A6">
              <w:t xml:space="preserve"> </w:t>
            </w:r>
            <w:r w:rsidR="00C10CC6">
              <w:t>–</w:t>
            </w:r>
            <w:r w:rsidR="005C65A6">
              <w:t xml:space="preserve"> </w:t>
            </w:r>
            <w:r w:rsidR="00C10CC6">
              <w:t>Attraction Strategy, Vetting, Best Evidence Suites, NEP Roll out</w:t>
            </w:r>
            <w:r w:rsidR="00B61C25">
              <w:t>.</w:t>
            </w:r>
          </w:p>
          <w:p w14:paraId="35BA47B4" w14:textId="77777777" w:rsidR="004B59BB" w:rsidRDefault="004B59BB" w:rsidP="004B59BB"/>
        </w:tc>
        <w:tc>
          <w:tcPr>
            <w:tcW w:w="1418" w:type="dxa"/>
            <w:shd w:val="clear" w:color="auto" w:fill="FFC000"/>
          </w:tcPr>
          <w:p w14:paraId="465D8E7F" w14:textId="5936724C" w:rsidR="004B59BB" w:rsidRDefault="00E03B18" w:rsidP="004B59BB">
            <w:r>
              <w:t>Partly Assured</w:t>
            </w:r>
          </w:p>
        </w:tc>
      </w:tr>
      <w:tr w:rsidR="004B59BB" w14:paraId="4A2AA96C" w14:textId="03BE1105" w:rsidTr="004D525E">
        <w:tc>
          <w:tcPr>
            <w:tcW w:w="1397" w:type="dxa"/>
          </w:tcPr>
          <w:p w14:paraId="1B1133DD" w14:textId="0AFEFEDD" w:rsidR="004B59BB" w:rsidRDefault="009020F4" w:rsidP="004B59BB">
            <w:r>
              <w:t>July</w:t>
            </w:r>
          </w:p>
        </w:tc>
        <w:tc>
          <w:tcPr>
            <w:tcW w:w="8379" w:type="dxa"/>
          </w:tcPr>
          <w:p w14:paraId="58C50DDF" w14:textId="3EC0727E" w:rsidR="004B59BB" w:rsidRDefault="004B59BB" w:rsidP="004B59BB">
            <w:r w:rsidRPr="003A1DEF">
              <w:rPr>
                <w:b/>
                <w:bCs/>
              </w:rPr>
              <w:t>Drugs and Gangs</w:t>
            </w:r>
            <w:r w:rsidR="005F69AD">
              <w:t xml:space="preserve"> </w:t>
            </w:r>
            <w:r w:rsidR="00542431">
              <w:t xml:space="preserve">– resources to </w:t>
            </w:r>
            <w:r w:rsidR="006A7F55">
              <w:t>deal with</w:t>
            </w:r>
            <w:r w:rsidR="005F69AD">
              <w:t xml:space="preserve"> demand, </w:t>
            </w:r>
            <w:r w:rsidR="003A1DEF">
              <w:t xml:space="preserve">positive reassurance, impact of drug </w:t>
            </w:r>
            <w:r w:rsidR="008E1C58">
              <w:t>en</w:t>
            </w:r>
            <w:r w:rsidR="003A1DEF">
              <w:t>forcement team</w:t>
            </w:r>
            <w:r w:rsidR="00B61C25">
              <w:t>.</w:t>
            </w:r>
          </w:p>
          <w:p w14:paraId="7DFF674B" w14:textId="49F50B73" w:rsidR="00B61C25" w:rsidRDefault="00B61C25" w:rsidP="004B59BB"/>
        </w:tc>
        <w:tc>
          <w:tcPr>
            <w:tcW w:w="1418" w:type="dxa"/>
            <w:shd w:val="clear" w:color="auto" w:fill="92D050"/>
          </w:tcPr>
          <w:p w14:paraId="2D9F9667" w14:textId="5F188A99" w:rsidR="004B59BB" w:rsidRDefault="005669A2" w:rsidP="004B59BB">
            <w:r>
              <w:t xml:space="preserve">Assured </w:t>
            </w:r>
          </w:p>
        </w:tc>
      </w:tr>
      <w:tr w:rsidR="004B59BB" w14:paraId="0245707C" w14:textId="5DFD9A4C" w:rsidTr="004D525E">
        <w:tc>
          <w:tcPr>
            <w:tcW w:w="1397" w:type="dxa"/>
            <w:shd w:val="clear" w:color="auto" w:fill="auto"/>
          </w:tcPr>
          <w:p w14:paraId="61B273C4" w14:textId="66BFBA5E" w:rsidR="004B59BB" w:rsidRDefault="004B59BB" w:rsidP="004B59BB">
            <w:r>
              <w:t>August</w:t>
            </w:r>
            <w:r w:rsidR="00B75899">
              <w:t xml:space="preserve"> – Quarterly Performance</w:t>
            </w:r>
          </w:p>
        </w:tc>
        <w:tc>
          <w:tcPr>
            <w:tcW w:w="8379" w:type="dxa"/>
          </w:tcPr>
          <w:p w14:paraId="161016C0" w14:textId="29F309E9" w:rsidR="004B59BB" w:rsidRDefault="004B59BB" w:rsidP="004B59BB">
            <w:r w:rsidRPr="003A1DEF">
              <w:rPr>
                <w:b/>
                <w:bCs/>
              </w:rPr>
              <w:t>Serious Violence</w:t>
            </w:r>
            <w:r w:rsidR="003A1DEF">
              <w:t xml:space="preserve"> – knife crime, proactive </w:t>
            </w:r>
            <w:proofErr w:type="gramStart"/>
            <w:r w:rsidR="003A1DEF">
              <w:t>engagement</w:t>
            </w:r>
            <w:proofErr w:type="gramEnd"/>
            <w:r w:rsidR="003A1DEF">
              <w:t xml:space="preserve"> and hot spot policing</w:t>
            </w:r>
            <w:r w:rsidR="00B61C25">
              <w:t>.</w:t>
            </w:r>
          </w:p>
        </w:tc>
        <w:tc>
          <w:tcPr>
            <w:tcW w:w="1418" w:type="dxa"/>
            <w:shd w:val="clear" w:color="auto" w:fill="FFC000"/>
          </w:tcPr>
          <w:p w14:paraId="65154C38" w14:textId="18CBC3B3" w:rsidR="004B59BB" w:rsidRDefault="00E03B18" w:rsidP="004B59BB">
            <w:r>
              <w:t>Partly Assured</w:t>
            </w:r>
          </w:p>
        </w:tc>
      </w:tr>
      <w:tr w:rsidR="00D82F91" w14:paraId="7AA7C47C" w14:textId="4EEA4EC8" w:rsidTr="004D525E">
        <w:tc>
          <w:tcPr>
            <w:tcW w:w="1397" w:type="dxa"/>
            <w:vMerge w:val="restart"/>
            <w:shd w:val="clear" w:color="auto" w:fill="auto"/>
          </w:tcPr>
          <w:p w14:paraId="3CF90962" w14:textId="4F805C5D" w:rsidR="00D82F91" w:rsidRDefault="00D82F91" w:rsidP="004B59BB">
            <w:r>
              <w:t>September</w:t>
            </w:r>
          </w:p>
        </w:tc>
        <w:tc>
          <w:tcPr>
            <w:tcW w:w="8379" w:type="dxa"/>
          </w:tcPr>
          <w:p w14:paraId="7F51AF90" w14:textId="6BD003DD" w:rsidR="00D82F91" w:rsidRDefault="00D82F91" w:rsidP="004B59BB">
            <w:r w:rsidRPr="003A1DEF">
              <w:rPr>
                <w:b/>
                <w:bCs/>
              </w:rPr>
              <w:t>Update on Enabling Services</w:t>
            </w:r>
            <w:r>
              <w:t xml:space="preserve"> – Vetting and Attraction Strategy</w:t>
            </w:r>
            <w:r w:rsidR="00B61C25">
              <w:t>.</w:t>
            </w:r>
          </w:p>
          <w:p w14:paraId="38E9C142" w14:textId="2A9461CB" w:rsidR="00D82F91" w:rsidRDefault="00D82F91" w:rsidP="004B59BB"/>
        </w:tc>
        <w:tc>
          <w:tcPr>
            <w:tcW w:w="1418" w:type="dxa"/>
            <w:shd w:val="clear" w:color="auto" w:fill="FFC000"/>
          </w:tcPr>
          <w:p w14:paraId="0DDD3E27" w14:textId="5C1F67B1" w:rsidR="00D82F91" w:rsidRDefault="00E03B18" w:rsidP="004B59BB">
            <w:r>
              <w:t>Partly Assured</w:t>
            </w:r>
          </w:p>
        </w:tc>
      </w:tr>
      <w:tr w:rsidR="00D82F91" w14:paraId="5C8590FA" w14:textId="77777777" w:rsidTr="004D525E">
        <w:tc>
          <w:tcPr>
            <w:tcW w:w="1397" w:type="dxa"/>
            <w:vMerge/>
            <w:shd w:val="clear" w:color="auto" w:fill="auto"/>
          </w:tcPr>
          <w:p w14:paraId="22A7C6F4" w14:textId="77777777" w:rsidR="00D82F91" w:rsidRDefault="00D82F91" w:rsidP="004B59BB"/>
        </w:tc>
        <w:tc>
          <w:tcPr>
            <w:tcW w:w="8379" w:type="dxa"/>
          </w:tcPr>
          <w:p w14:paraId="42B9FE7B" w14:textId="2631156C" w:rsidR="00D82F91" w:rsidRDefault="00D82F91" w:rsidP="004B59BB">
            <w:r w:rsidRPr="003A1DEF">
              <w:rPr>
                <w:b/>
                <w:bCs/>
              </w:rPr>
              <w:t>Update on Enabling Services</w:t>
            </w:r>
            <w:r>
              <w:t xml:space="preserve"> – Best Evidence Suites and NEP Roll out</w:t>
            </w:r>
            <w:r w:rsidR="00B61C25">
              <w:t>.</w:t>
            </w:r>
          </w:p>
          <w:p w14:paraId="198852A3" w14:textId="4787E070" w:rsidR="00B61C25" w:rsidRDefault="00B61C25" w:rsidP="004B59BB"/>
        </w:tc>
        <w:tc>
          <w:tcPr>
            <w:tcW w:w="1418" w:type="dxa"/>
            <w:shd w:val="clear" w:color="auto" w:fill="92D050"/>
          </w:tcPr>
          <w:p w14:paraId="1DD70272" w14:textId="6E3B3818" w:rsidR="00D82F91" w:rsidRDefault="00E03B18" w:rsidP="004B59BB">
            <w:r>
              <w:t>Assured</w:t>
            </w:r>
          </w:p>
        </w:tc>
      </w:tr>
      <w:tr w:rsidR="00D82F91" w14:paraId="4E5CE687" w14:textId="77777777" w:rsidTr="004D525E">
        <w:tc>
          <w:tcPr>
            <w:tcW w:w="1397" w:type="dxa"/>
            <w:vMerge/>
            <w:shd w:val="clear" w:color="auto" w:fill="auto"/>
          </w:tcPr>
          <w:p w14:paraId="43E0DCB3" w14:textId="77777777" w:rsidR="00D82F91" w:rsidRDefault="00D82F91" w:rsidP="004B59BB"/>
        </w:tc>
        <w:tc>
          <w:tcPr>
            <w:tcW w:w="8379" w:type="dxa"/>
          </w:tcPr>
          <w:p w14:paraId="509CDDC6" w14:textId="440F8582" w:rsidR="00D82F91" w:rsidRDefault="00D82F91" w:rsidP="004B59BB">
            <w:r w:rsidRPr="00D82F91">
              <w:rPr>
                <w:b/>
                <w:bCs/>
              </w:rPr>
              <w:t>Rural Crime</w:t>
            </w:r>
            <w:r>
              <w:t xml:space="preserve"> </w:t>
            </w:r>
            <w:r w:rsidR="003E6A0B">
              <w:t>–</w:t>
            </w:r>
            <w:r>
              <w:t xml:space="preserve"> </w:t>
            </w:r>
            <w:r w:rsidR="003E6A0B">
              <w:t>ability to tackle rural crime, rural crime survey and action plan</w:t>
            </w:r>
            <w:r w:rsidR="00B61C25">
              <w:t>.</w:t>
            </w:r>
          </w:p>
          <w:p w14:paraId="247FA2E9" w14:textId="74648DB2" w:rsidR="00B61C25" w:rsidRDefault="00B61C25" w:rsidP="004B59BB"/>
        </w:tc>
        <w:tc>
          <w:tcPr>
            <w:tcW w:w="1418" w:type="dxa"/>
            <w:shd w:val="clear" w:color="auto" w:fill="92D050"/>
          </w:tcPr>
          <w:p w14:paraId="4F997CFD" w14:textId="0E2521F6" w:rsidR="00D82F91" w:rsidRDefault="00E03B18" w:rsidP="004B59BB">
            <w:r>
              <w:t>Assured</w:t>
            </w:r>
          </w:p>
        </w:tc>
      </w:tr>
      <w:tr w:rsidR="006D7048" w14:paraId="2DD56D42" w14:textId="70F5C8D4" w:rsidTr="004D525E">
        <w:tc>
          <w:tcPr>
            <w:tcW w:w="1397" w:type="dxa"/>
            <w:vMerge w:val="restart"/>
            <w:shd w:val="clear" w:color="auto" w:fill="auto"/>
          </w:tcPr>
          <w:p w14:paraId="1129BC24" w14:textId="408D6E79" w:rsidR="006D7048" w:rsidRDefault="006D7048" w:rsidP="004B59BB">
            <w:r>
              <w:t>October</w:t>
            </w:r>
          </w:p>
        </w:tc>
        <w:tc>
          <w:tcPr>
            <w:tcW w:w="8379" w:type="dxa"/>
          </w:tcPr>
          <w:p w14:paraId="6C182610" w14:textId="2281ABB0" w:rsidR="006D7048" w:rsidRDefault="006D7048" w:rsidP="004B59BB">
            <w:r w:rsidRPr="006D7048">
              <w:rPr>
                <w:b/>
                <w:bCs/>
              </w:rPr>
              <w:t>Retail Crime</w:t>
            </w:r>
            <w:r>
              <w:t xml:space="preserve"> </w:t>
            </w:r>
            <w:r w:rsidR="00006007">
              <w:t>–</w:t>
            </w:r>
            <w:r>
              <w:t xml:space="preserve"> </w:t>
            </w:r>
            <w:r w:rsidR="00006007">
              <w:t>Trends, cost of living crisis, petrol station crime</w:t>
            </w:r>
            <w:r w:rsidR="00542431">
              <w:t>, town centre crime and partnership working</w:t>
            </w:r>
            <w:r w:rsidR="00B61C25">
              <w:t>.</w:t>
            </w:r>
          </w:p>
          <w:p w14:paraId="0923648F" w14:textId="29011017" w:rsidR="006D7048" w:rsidRDefault="006D7048" w:rsidP="004B59BB"/>
        </w:tc>
        <w:tc>
          <w:tcPr>
            <w:tcW w:w="1418" w:type="dxa"/>
            <w:shd w:val="clear" w:color="auto" w:fill="92D050"/>
          </w:tcPr>
          <w:p w14:paraId="202658C4" w14:textId="265BE74D" w:rsidR="006D7048" w:rsidRDefault="00E03B18" w:rsidP="004B59BB">
            <w:r>
              <w:t>Assured</w:t>
            </w:r>
          </w:p>
        </w:tc>
      </w:tr>
      <w:tr w:rsidR="00E03B18" w14:paraId="5A21364A" w14:textId="77777777" w:rsidTr="004D525E">
        <w:tc>
          <w:tcPr>
            <w:tcW w:w="1397" w:type="dxa"/>
            <w:vMerge/>
            <w:shd w:val="clear" w:color="auto" w:fill="auto"/>
          </w:tcPr>
          <w:p w14:paraId="5C02636E" w14:textId="77777777" w:rsidR="00E03B18" w:rsidRDefault="00E03B18" w:rsidP="00E03B18"/>
        </w:tc>
        <w:tc>
          <w:tcPr>
            <w:tcW w:w="8379" w:type="dxa"/>
          </w:tcPr>
          <w:p w14:paraId="47AA21DC" w14:textId="63A44225" w:rsidR="00E03B18" w:rsidRDefault="00E03B18" w:rsidP="00E03B18">
            <w:r w:rsidRPr="006D7048">
              <w:rPr>
                <w:b/>
                <w:bCs/>
              </w:rPr>
              <w:t>Enabling Services</w:t>
            </w:r>
            <w:r>
              <w:t xml:space="preserve"> – Vetting and Attraction Strategy.</w:t>
            </w:r>
          </w:p>
          <w:p w14:paraId="62AD56C3" w14:textId="2CF4D55D" w:rsidR="00E03B18" w:rsidRDefault="00E03B18" w:rsidP="00E03B18"/>
        </w:tc>
        <w:tc>
          <w:tcPr>
            <w:tcW w:w="1418" w:type="dxa"/>
            <w:shd w:val="clear" w:color="auto" w:fill="FFC000"/>
          </w:tcPr>
          <w:p w14:paraId="2EE674F2" w14:textId="5D0692DD" w:rsidR="00E03B18" w:rsidRDefault="00E03B18" w:rsidP="00E03B18">
            <w:r>
              <w:t>Partly Assured</w:t>
            </w:r>
          </w:p>
        </w:tc>
      </w:tr>
      <w:tr w:rsidR="00E03B18" w14:paraId="6AE0194D" w14:textId="79946A44" w:rsidTr="004D525E">
        <w:tc>
          <w:tcPr>
            <w:tcW w:w="1397" w:type="dxa"/>
            <w:shd w:val="clear" w:color="auto" w:fill="auto"/>
          </w:tcPr>
          <w:p w14:paraId="51F9EECE" w14:textId="78173C5F" w:rsidR="00E03B18" w:rsidRDefault="00E03B18" w:rsidP="00E03B18">
            <w:r>
              <w:t>November – Quarterly Performance</w:t>
            </w:r>
          </w:p>
        </w:tc>
        <w:tc>
          <w:tcPr>
            <w:tcW w:w="8379" w:type="dxa"/>
          </w:tcPr>
          <w:p w14:paraId="7C4B2BE6" w14:textId="43591B3B" w:rsidR="00E03B18" w:rsidRDefault="00E03B18" w:rsidP="00E03B18">
            <w:r>
              <w:rPr>
                <w:b/>
                <w:bCs/>
              </w:rPr>
              <w:t xml:space="preserve">Violence Against Women and Girls - </w:t>
            </w:r>
            <w:r w:rsidRPr="005E7DC3">
              <w:rPr>
                <w:b/>
                <w:bCs/>
              </w:rPr>
              <w:t>Domestic Abuse –</w:t>
            </w:r>
            <w:r>
              <w:t xml:space="preserve"> trends, understanding the rise and victim satisfaction.</w:t>
            </w:r>
          </w:p>
        </w:tc>
        <w:tc>
          <w:tcPr>
            <w:tcW w:w="1418" w:type="dxa"/>
            <w:shd w:val="clear" w:color="auto" w:fill="FFC000"/>
          </w:tcPr>
          <w:p w14:paraId="4DBDB5E7" w14:textId="603D10A9" w:rsidR="00E03B18" w:rsidRDefault="00E03B18" w:rsidP="00E03B18">
            <w:r>
              <w:t>Partly Assured</w:t>
            </w:r>
          </w:p>
        </w:tc>
      </w:tr>
      <w:tr w:rsidR="00E03B18" w14:paraId="53C8B62E" w14:textId="5611EC22" w:rsidTr="004D525E">
        <w:tc>
          <w:tcPr>
            <w:tcW w:w="1397" w:type="dxa"/>
            <w:shd w:val="clear" w:color="auto" w:fill="auto"/>
          </w:tcPr>
          <w:p w14:paraId="37ADB4A6" w14:textId="1189A1BE" w:rsidR="00E03B18" w:rsidRDefault="00E03B18" w:rsidP="00E03B18">
            <w:r>
              <w:t>December</w:t>
            </w:r>
          </w:p>
        </w:tc>
        <w:tc>
          <w:tcPr>
            <w:tcW w:w="8379" w:type="dxa"/>
          </w:tcPr>
          <w:p w14:paraId="4319BF4B" w14:textId="5F74D8D8" w:rsidR="00E03B18" w:rsidRDefault="00E03B18" w:rsidP="00E03B18">
            <w:r w:rsidRPr="0068036B">
              <w:rPr>
                <w:b/>
                <w:bCs/>
              </w:rPr>
              <w:t xml:space="preserve">Violence </w:t>
            </w:r>
            <w:r>
              <w:rPr>
                <w:b/>
                <w:bCs/>
              </w:rPr>
              <w:t>A</w:t>
            </w:r>
            <w:r w:rsidRPr="0068036B">
              <w:rPr>
                <w:b/>
                <w:bCs/>
              </w:rPr>
              <w:t>gainst Women and Girls</w:t>
            </w:r>
            <w:r>
              <w:t xml:space="preserve"> – Delivery against the NPCC performance and outcomes framework and women’s safety.</w:t>
            </w:r>
          </w:p>
          <w:p w14:paraId="1DF825A4" w14:textId="64E1BCED" w:rsidR="00E03B18" w:rsidRDefault="00E03B18" w:rsidP="00E03B18"/>
        </w:tc>
        <w:tc>
          <w:tcPr>
            <w:tcW w:w="1418" w:type="dxa"/>
            <w:shd w:val="clear" w:color="auto" w:fill="92D050"/>
          </w:tcPr>
          <w:p w14:paraId="089CC413" w14:textId="2994730B" w:rsidR="00E03B18" w:rsidRDefault="00E03B18" w:rsidP="00E03B18">
            <w:r>
              <w:t>Assured</w:t>
            </w:r>
          </w:p>
        </w:tc>
      </w:tr>
      <w:tr w:rsidR="00E03B18" w14:paraId="2612B4D6" w14:textId="0AC165C5" w:rsidTr="00444B1D">
        <w:tc>
          <w:tcPr>
            <w:tcW w:w="1397" w:type="dxa"/>
            <w:shd w:val="clear" w:color="auto" w:fill="auto"/>
          </w:tcPr>
          <w:p w14:paraId="0408B0C6" w14:textId="3A5E864D" w:rsidR="00E03B18" w:rsidRDefault="00E03B18" w:rsidP="00E03B18">
            <w:r>
              <w:t>January</w:t>
            </w:r>
          </w:p>
        </w:tc>
        <w:tc>
          <w:tcPr>
            <w:tcW w:w="8379" w:type="dxa"/>
          </w:tcPr>
          <w:p w14:paraId="35E50D27" w14:textId="20AFD147" w:rsidR="00E03B18" w:rsidRDefault="00E03B18" w:rsidP="00E03B18">
            <w:r w:rsidRPr="005C31A2">
              <w:rPr>
                <w:b/>
                <w:bCs/>
              </w:rPr>
              <w:t>Effective Policing and Criminal Justice</w:t>
            </w:r>
            <w:r>
              <w:t xml:space="preserve"> - </w:t>
            </w:r>
            <w:r w:rsidRPr="007A5966">
              <w:t xml:space="preserve">preparedness </w:t>
            </w:r>
            <w:r>
              <w:t>for</w:t>
            </w:r>
            <w:r w:rsidRPr="007A5966">
              <w:t xml:space="preserve"> the Out of Court Disposal National Strategy</w:t>
            </w:r>
            <w:r>
              <w:t>, standards in case files, positive outcomes for neighbourhood crime.</w:t>
            </w:r>
          </w:p>
          <w:p w14:paraId="5C72401E" w14:textId="4DCC6900" w:rsidR="00E03B18" w:rsidRDefault="00E03B18" w:rsidP="00E03B18"/>
        </w:tc>
        <w:tc>
          <w:tcPr>
            <w:tcW w:w="1418" w:type="dxa"/>
            <w:shd w:val="clear" w:color="auto" w:fill="FFC000"/>
          </w:tcPr>
          <w:p w14:paraId="3869EEFD" w14:textId="5EE75294" w:rsidR="00E03B18" w:rsidRDefault="00E03B18" w:rsidP="00E03B18">
            <w:r>
              <w:t>Partly Assured</w:t>
            </w:r>
          </w:p>
        </w:tc>
      </w:tr>
      <w:tr w:rsidR="00E03B18" w14:paraId="7050C059" w14:textId="73D51332" w:rsidTr="004D525E">
        <w:tc>
          <w:tcPr>
            <w:tcW w:w="1397" w:type="dxa"/>
            <w:shd w:val="clear" w:color="auto" w:fill="auto"/>
          </w:tcPr>
          <w:p w14:paraId="31D45BEC" w14:textId="4CA38C16" w:rsidR="00E03B18" w:rsidRDefault="00E03B18" w:rsidP="00E03B18">
            <w:r>
              <w:t xml:space="preserve">February – Quarterly Performance </w:t>
            </w:r>
          </w:p>
        </w:tc>
        <w:tc>
          <w:tcPr>
            <w:tcW w:w="8379" w:type="dxa"/>
          </w:tcPr>
          <w:p w14:paraId="3AD74A78" w14:textId="13FC5F78" w:rsidR="00E03B18" w:rsidRDefault="00E03B18" w:rsidP="00E03B18">
            <w:r>
              <w:rPr>
                <w:b/>
                <w:bCs/>
              </w:rPr>
              <w:t xml:space="preserve">Ongoing </w:t>
            </w:r>
            <w:r w:rsidRPr="00EB6E6C">
              <w:rPr>
                <w:b/>
                <w:bCs/>
              </w:rPr>
              <w:t>Force Performance Analysis</w:t>
            </w:r>
            <w:r>
              <w:t xml:space="preserve"> - How will the new delivery model drive performance.</w:t>
            </w:r>
          </w:p>
        </w:tc>
        <w:tc>
          <w:tcPr>
            <w:tcW w:w="1418" w:type="dxa"/>
            <w:shd w:val="clear" w:color="auto" w:fill="92D050"/>
          </w:tcPr>
          <w:p w14:paraId="504E5508" w14:textId="35EC4BA7" w:rsidR="00E03B18" w:rsidRDefault="00E03B18" w:rsidP="00E03B18">
            <w:r>
              <w:t>Assured</w:t>
            </w:r>
          </w:p>
        </w:tc>
      </w:tr>
      <w:tr w:rsidR="00E03B18" w14:paraId="15A47DEB" w14:textId="3AAAC420" w:rsidTr="004D525E">
        <w:tc>
          <w:tcPr>
            <w:tcW w:w="1397" w:type="dxa"/>
            <w:vMerge w:val="restart"/>
          </w:tcPr>
          <w:p w14:paraId="6DE62634" w14:textId="28FE3BEF" w:rsidR="00E03B18" w:rsidRDefault="00E03B18" w:rsidP="00E03B18">
            <w:r>
              <w:t>March</w:t>
            </w:r>
          </w:p>
        </w:tc>
        <w:tc>
          <w:tcPr>
            <w:tcW w:w="8379" w:type="dxa"/>
          </w:tcPr>
          <w:p w14:paraId="315499FE" w14:textId="53E74DCB" w:rsidR="00E03B18" w:rsidRDefault="00E03B18" w:rsidP="00E03B18">
            <w:r w:rsidRPr="005C31A2">
              <w:rPr>
                <w:b/>
                <w:bCs/>
              </w:rPr>
              <w:t>Police Perpetrated Domestic Abuse</w:t>
            </w:r>
            <w:r>
              <w:t xml:space="preserve"> – resources, outcomes, communication strategies.</w:t>
            </w:r>
          </w:p>
        </w:tc>
        <w:tc>
          <w:tcPr>
            <w:tcW w:w="1418" w:type="dxa"/>
            <w:shd w:val="clear" w:color="auto" w:fill="92D050"/>
          </w:tcPr>
          <w:p w14:paraId="4432CC34" w14:textId="25E6CFEC" w:rsidR="00E03B18" w:rsidRDefault="00E03B18" w:rsidP="00E03B18">
            <w:r>
              <w:t>Assured</w:t>
            </w:r>
          </w:p>
        </w:tc>
      </w:tr>
      <w:tr w:rsidR="00E03B18" w14:paraId="652127EA" w14:textId="77777777" w:rsidTr="004D525E">
        <w:tc>
          <w:tcPr>
            <w:tcW w:w="1397" w:type="dxa"/>
            <w:vMerge/>
          </w:tcPr>
          <w:p w14:paraId="2F9E906D" w14:textId="77777777" w:rsidR="00E03B18" w:rsidRDefault="00E03B18" w:rsidP="00E03B18"/>
        </w:tc>
        <w:tc>
          <w:tcPr>
            <w:tcW w:w="8379" w:type="dxa"/>
          </w:tcPr>
          <w:p w14:paraId="033EF555" w14:textId="08760E84" w:rsidR="00E03B18" w:rsidRPr="005C31A2" w:rsidRDefault="00E03B18" w:rsidP="00E03B18">
            <w:pPr>
              <w:rPr>
                <w:b/>
                <w:bCs/>
              </w:rPr>
            </w:pPr>
            <w:r w:rsidRPr="005C31A2">
              <w:rPr>
                <w:b/>
                <w:bCs/>
              </w:rPr>
              <w:t>Enabling Services – Vetting</w:t>
            </w:r>
          </w:p>
          <w:p w14:paraId="71175FE4" w14:textId="25927E41" w:rsidR="00E03B18" w:rsidRDefault="00E03B18" w:rsidP="00E03B18">
            <w:r>
              <w:t xml:space="preserve">Current position, check </w:t>
            </w:r>
            <w:r w:rsidRPr="000F37AC">
              <w:t xml:space="preserve">recommendations </w:t>
            </w:r>
            <w:r>
              <w:t>from the</w:t>
            </w:r>
            <w:r w:rsidRPr="000F37AC">
              <w:t xml:space="preserve"> HMRCFRS report – An inspection of vetting, misconduct and misogyny in the police service </w:t>
            </w:r>
            <w:r>
              <w:t>were</w:t>
            </w:r>
            <w:r w:rsidRPr="000F37AC">
              <w:t xml:space="preserve"> being actioned</w:t>
            </w:r>
            <w:r>
              <w:t xml:space="preserve"> and implemented within </w:t>
            </w:r>
            <w:r w:rsidRPr="000F37AC">
              <w:t>timescales</w:t>
            </w:r>
            <w:r>
              <w:t>.</w:t>
            </w:r>
          </w:p>
        </w:tc>
        <w:tc>
          <w:tcPr>
            <w:tcW w:w="1418" w:type="dxa"/>
            <w:shd w:val="clear" w:color="auto" w:fill="92D050"/>
          </w:tcPr>
          <w:p w14:paraId="28C693CF" w14:textId="1411CD63" w:rsidR="00E03B18" w:rsidRDefault="00E03B18" w:rsidP="00E03B18">
            <w:r>
              <w:t xml:space="preserve">Assured </w:t>
            </w:r>
          </w:p>
        </w:tc>
      </w:tr>
    </w:tbl>
    <w:p w14:paraId="4FBD9BBF" w14:textId="54CB941A" w:rsidR="007B31DD" w:rsidRDefault="007B31DD" w:rsidP="00B75899">
      <w:r>
        <w:t xml:space="preserve"> </w:t>
      </w:r>
    </w:p>
    <w:sectPr w:rsidR="007B31DD" w:rsidSect="00B61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EE029"/>
    <w:rsid w:val="00006007"/>
    <w:rsid w:val="00016718"/>
    <w:rsid w:val="000F0893"/>
    <w:rsid w:val="000F37AC"/>
    <w:rsid w:val="001032AF"/>
    <w:rsid w:val="001509F9"/>
    <w:rsid w:val="001B2482"/>
    <w:rsid w:val="002B24B4"/>
    <w:rsid w:val="002C0DF6"/>
    <w:rsid w:val="002C417D"/>
    <w:rsid w:val="003A1DEF"/>
    <w:rsid w:val="003E6A0B"/>
    <w:rsid w:val="00444B1D"/>
    <w:rsid w:val="004B59BB"/>
    <w:rsid w:val="004C5F6E"/>
    <w:rsid w:val="004D525E"/>
    <w:rsid w:val="004F5D52"/>
    <w:rsid w:val="00542431"/>
    <w:rsid w:val="005669A2"/>
    <w:rsid w:val="005C31A2"/>
    <w:rsid w:val="005C65A6"/>
    <w:rsid w:val="005D1501"/>
    <w:rsid w:val="005E7DC3"/>
    <w:rsid w:val="005F69AD"/>
    <w:rsid w:val="00657498"/>
    <w:rsid w:val="0068036B"/>
    <w:rsid w:val="006A7F55"/>
    <w:rsid w:val="006D45CD"/>
    <w:rsid w:val="006D7048"/>
    <w:rsid w:val="006F352F"/>
    <w:rsid w:val="00710FA8"/>
    <w:rsid w:val="0077492B"/>
    <w:rsid w:val="007A45AF"/>
    <w:rsid w:val="007A5966"/>
    <w:rsid w:val="007B0FDA"/>
    <w:rsid w:val="007B31DD"/>
    <w:rsid w:val="007D64B8"/>
    <w:rsid w:val="007E2BDC"/>
    <w:rsid w:val="008443AD"/>
    <w:rsid w:val="008E1C58"/>
    <w:rsid w:val="009020F4"/>
    <w:rsid w:val="00980643"/>
    <w:rsid w:val="00AE67A3"/>
    <w:rsid w:val="00B54208"/>
    <w:rsid w:val="00B61C25"/>
    <w:rsid w:val="00B75899"/>
    <w:rsid w:val="00C10CC6"/>
    <w:rsid w:val="00D00D5D"/>
    <w:rsid w:val="00D06551"/>
    <w:rsid w:val="00D82F91"/>
    <w:rsid w:val="00DC5335"/>
    <w:rsid w:val="00E03B18"/>
    <w:rsid w:val="00E110A4"/>
    <w:rsid w:val="00E43911"/>
    <w:rsid w:val="00E74F93"/>
    <w:rsid w:val="00EB6E6C"/>
    <w:rsid w:val="00EB77E3"/>
    <w:rsid w:val="00EF2CC1"/>
    <w:rsid w:val="00F97752"/>
    <w:rsid w:val="00FF5FF4"/>
    <w:rsid w:val="28DEE029"/>
    <w:rsid w:val="36A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E029"/>
  <w15:chartTrackingRefBased/>
  <w15:docId w15:val="{3B6C77B2-5C1C-4667-B7A6-25F1B22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6A6147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6A6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6A614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6A614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6A614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6A61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6A614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6A614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6A61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6A614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36A6147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6A6147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6A614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6A6147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6A614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6A6147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6A6147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6A6147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6A6147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6A6147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6A6147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6A6147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6A6147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6A6147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6A6147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6A6147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6A6147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6A6147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6A6147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6A6147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6A6147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6A6147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6A6147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6A6147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6A6147E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6A614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6A6147E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6A614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6A6147E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6A614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6A6147E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9d988-5cac-43f5-bc00-ab052aa50804" xsi:nil="true"/>
    <lcf76f155ced4ddcb4097134ff3c332f xmlns="5b8fbc58-6ffa-40f7-9ef1-d91232141c9e">
      <Terms xmlns="http://schemas.microsoft.com/office/infopath/2007/PartnerControls"/>
    </lcf76f155ced4ddcb4097134ff3c332f>
    <SharedWithUsers xmlns="4039d988-5cac-43f5-bc00-ab052aa50804">
      <UserInfo>
        <DisplayName>SMITH, Hannah (C7478)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17E0B9C7EF348AFDDE981802833D2" ma:contentTypeVersion="14" ma:contentTypeDescription="Create a new document." ma:contentTypeScope="" ma:versionID="8c38f34456e180920249a7899d71ba18">
  <xsd:schema xmlns:xsd="http://www.w3.org/2001/XMLSchema" xmlns:xs="http://www.w3.org/2001/XMLSchema" xmlns:p="http://schemas.microsoft.com/office/2006/metadata/properties" xmlns:ns2="5b8fbc58-6ffa-40f7-9ef1-d91232141c9e" xmlns:ns3="4039d988-5cac-43f5-bc00-ab052aa50804" targetNamespace="http://schemas.microsoft.com/office/2006/metadata/properties" ma:root="true" ma:fieldsID="d570355fa6fa9a968c9daa3c9c83cc96" ns2:_="" ns3:_="">
    <xsd:import namespace="5b8fbc58-6ffa-40f7-9ef1-d91232141c9e"/>
    <xsd:import namespace="4039d988-5cac-43f5-bc00-ab052aa50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bc58-6ffa-40f7-9ef1-d91232141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baf0a1-c071-47d3-9ad9-65ac1334d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9d988-5cac-43f5-bc00-ab052aa50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42d771-622d-4807-8959-ce3610e2cb81}" ma:internalName="TaxCatchAll" ma:showField="CatchAllData" ma:web="4039d988-5cac-43f5-bc00-ab052aa50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4396C-CB81-4C05-9B0C-6238092F17BB}">
  <ds:schemaRefs>
    <ds:schemaRef ds:uri="4039d988-5cac-43f5-bc00-ab052aa5080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5b8fbc58-6ffa-40f7-9ef1-d91232141c9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4E987E-A8E8-4199-91F8-321128AA7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C9395-419D-4337-BFAC-C3E9DA65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fbc58-6ffa-40f7-9ef1-d91232141c9e"/>
    <ds:schemaRef ds:uri="4039d988-5cac-43f5-bc00-ab052aa50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POUT, Elise (C8670)</dc:creator>
  <cp:keywords/>
  <dc:description/>
  <cp:lastModifiedBy>POUT, Elise (C8670)</cp:lastModifiedBy>
  <cp:revision>61</cp:revision>
  <dcterms:created xsi:type="dcterms:W3CDTF">2023-02-27T21:21:00Z</dcterms:created>
  <dcterms:modified xsi:type="dcterms:W3CDTF">2023-09-26T12:44:00Z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b7639-1bea-4e62-9a4e-16db8092c254_Enabled">
    <vt:lpwstr>true</vt:lpwstr>
  </property>
  <property fmtid="{D5CDD505-2E9C-101B-9397-08002B2CF9AE}" pid="3" name="MSIP_Label_431b7639-1bea-4e62-9a4e-16db8092c254_SetDate">
    <vt:lpwstr>2023-02-27T13:21:29Z</vt:lpwstr>
  </property>
  <property fmtid="{D5CDD505-2E9C-101B-9397-08002B2CF9AE}" pid="4" name="MSIP_Label_431b7639-1bea-4e62-9a4e-16db8092c254_Method">
    <vt:lpwstr>Standard</vt:lpwstr>
  </property>
  <property fmtid="{D5CDD505-2E9C-101B-9397-08002B2CF9AE}" pid="5" name="MSIP_Label_431b7639-1bea-4e62-9a4e-16db8092c254_Name">
    <vt:lpwstr>OFFICIAL</vt:lpwstr>
  </property>
  <property fmtid="{D5CDD505-2E9C-101B-9397-08002B2CF9AE}" pid="6" name="MSIP_Label_431b7639-1bea-4e62-9a4e-16db8092c254_SiteId">
    <vt:lpwstr>d9f19db2-65c6-4c0b-aecf-45abeba37c6f</vt:lpwstr>
  </property>
  <property fmtid="{D5CDD505-2E9C-101B-9397-08002B2CF9AE}" pid="7" name="MSIP_Label_431b7639-1bea-4e62-9a4e-16db8092c254_ActionId">
    <vt:lpwstr>88d21158-c491-48e4-8937-31417584d696</vt:lpwstr>
  </property>
  <property fmtid="{D5CDD505-2E9C-101B-9397-08002B2CF9AE}" pid="8" name="MSIP_Label_431b7639-1bea-4e62-9a4e-16db8092c254_ContentBits">
    <vt:lpwstr>0</vt:lpwstr>
  </property>
  <property fmtid="{D5CDD505-2E9C-101B-9397-08002B2CF9AE}" pid="9" name="ContentTypeId">
    <vt:lpwstr>0x01010074A17E0B9C7EF348AFDDE981802833D2</vt:lpwstr>
  </property>
  <property fmtid="{D5CDD505-2E9C-101B-9397-08002B2CF9AE}" pid="10" name="MediaServiceImageTags">
    <vt:lpwstr/>
  </property>
</Properties>
</file>