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1679" w14:textId="1D4B2B58" w:rsidR="001B4117" w:rsidRPr="00F752FF" w:rsidRDefault="002A315D" w:rsidP="00126205">
      <w:pPr>
        <w:pStyle w:val="NoSpacing"/>
        <w:jc w:val="center"/>
        <w:rPr>
          <w:rFonts w:ascii="Arial" w:hAnsi="Arial" w:cs="Arial"/>
          <w:b/>
          <w:bCs/>
          <w:u w:val="single"/>
        </w:rPr>
      </w:pPr>
      <w:r w:rsidRPr="00F752FF">
        <w:rPr>
          <w:rFonts w:ascii="Arial" w:hAnsi="Arial" w:cs="Arial"/>
          <w:b/>
          <w:bCs/>
          <w:u w:val="single"/>
        </w:rPr>
        <w:t>N</w:t>
      </w:r>
      <w:r w:rsidR="00836D86" w:rsidRPr="00F752FF">
        <w:rPr>
          <w:rFonts w:ascii="Arial" w:hAnsi="Arial" w:cs="Arial"/>
          <w:b/>
          <w:bCs/>
          <w:u w:val="single"/>
        </w:rPr>
        <w:t>OTES - SCRUTINY MEETING</w:t>
      </w:r>
      <w:r w:rsidR="00F35C98" w:rsidRPr="00F752FF">
        <w:rPr>
          <w:rFonts w:ascii="Arial" w:hAnsi="Arial" w:cs="Arial"/>
          <w:b/>
          <w:bCs/>
          <w:u w:val="single"/>
        </w:rPr>
        <w:t xml:space="preserve"> </w:t>
      </w:r>
      <w:r w:rsidR="00836D86" w:rsidRPr="00F752FF">
        <w:rPr>
          <w:rFonts w:ascii="Arial" w:hAnsi="Arial" w:cs="Arial"/>
          <w:b/>
          <w:bCs/>
          <w:u w:val="single"/>
        </w:rPr>
        <w:t>(</w:t>
      </w:r>
      <w:r w:rsidR="003D0DB1" w:rsidRPr="00F752FF">
        <w:rPr>
          <w:rFonts w:ascii="Arial" w:hAnsi="Arial" w:cs="Arial"/>
          <w:b/>
          <w:bCs/>
          <w:u w:val="single"/>
        </w:rPr>
        <w:t xml:space="preserve">PUBLIC TRUST AND CONFIDENCE &amp; RIGHT CARE RIGHT </w:t>
      </w:r>
      <w:r w:rsidR="00B77BF9" w:rsidRPr="00F752FF">
        <w:rPr>
          <w:rFonts w:ascii="Arial" w:hAnsi="Arial" w:cs="Arial"/>
          <w:b/>
          <w:bCs/>
          <w:u w:val="single"/>
        </w:rPr>
        <w:t>PERSON - AN</w:t>
      </w:r>
      <w:r w:rsidR="003D0DB1" w:rsidRPr="00F752FF">
        <w:rPr>
          <w:rFonts w:ascii="Arial" w:hAnsi="Arial" w:cs="Arial"/>
          <w:b/>
          <w:bCs/>
          <w:u w:val="single"/>
        </w:rPr>
        <w:t xml:space="preserve"> UPDATE</w:t>
      </w:r>
      <w:r w:rsidR="00F35C98" w:rsidRPr="00F752FF">
        <w:rPr>
          <w:rFonts w:ascii="Arial" w:hAnsi="Arial" w:cs="Arial"/>
          <w:b/>
          <w:bCs/>
          <w:u w:val="single"/>
        </w:rPr>
        <w:t>)</w:t>
      </w:r>
      <w:r w:rsidR="00126205" w:rsidRPr="00F752FF">
        <w:rPr>
          <w:rFonts w:ascii="Arial" w:hAnsi="Arial" w:cs="Arial"/>
          <w:b/>
          <w:bCs/>
          <w:u w:val="single"/>
        </w:rPr>
        <w:t xml:space="preserve"> - </w:t>
      </w:r>
      <w:r w:rsidR="00B77BF9" w:rsidRPr="00F752FF">
        <w:rPr>
          <w:rFonts w:ascii="Arial" w:hAnsi="Arial" w:cs="Arial"/>
          <w:b/>
          <w:bCs/>
          <w:u w:val="single"/>
        </w:rPr>
        <w:t>18 MARCH</w:t>
      </w:r>
      <w:r w:rsidR="000B4C6A" w:rsidRPr="00F752FF">
        <w:rPr>
          <w:rFonts w:ascii="Arial" w:hAnsi="Arial" w:cs="Arial"/>
          <w:b/>
          <w:bCs/>
          <w:u w:val="single"/>
        </w:rPr>
        <w:t xml:space="preserve"> </w:t>
      </w:r>
      <w:r w:rsidR="00836D86" w:rsidRPr="00F752FF">
        <w:rPr>
          <w:rFonts w:ascii="Arial" w:hAnsi="Arial" w:cs="Arial"/>
          <w:b/>
          <w:bCs/>
          <w:u w:val="single"/>
        </w:rPr>
        <w:t>202</w:t>
      </w:r>
      <w:r w:rsidR="000B4C6A" w:rsidRPr="00F752FF">
        <w:rPr>
          <w:rFonts w:ascii="Arial" w:hAnsi="Arial" w:cs="Arial"/>
          <w:b/>
          <w:bCs/>
          <w:u w:val="single"/>
        </w:rPr>
        <w:t>6</w:t>
      </w:r>
    </w:p>
    <w:p w14:paraId="324A6FE5" w14:textId="77777777" w:rsidR="00627EB7" w:rsidRPr="00F752FF" w:rsidRDefault="00627EB7" w:rsidP="00607451">
      <w:pPr>
        <w:pStyle w:val="ListParagraph"/>
        <w:spacing w:after="0" w:line="240" w:lineRule="auto"/>
        <w:jc w:val="both"/>
        <w:rPr>
          <w:rFonts w:ascii="Arial" w:eastAsia="Times New Roman" w:hAnsi="Arial" w:cs="Arial"/>
          <w:lang w:eastAsia="en-GB"/>
        </w:rPr>
      </w:pPr>
    </w:p>
    <w:tbl>
      <w:tblPr>
        <w:tblStyle w:val="TableGrid"/>
        <w:tblW w:w="15446" w:type="dxa"/>
        <w:jc w:val="center"/>
        <w:tblLook w:val="04A0" w:firstRow="1" w:lastRow="0" w:firstColumn="1" w:lastColumn="0" w:noHBand="0" w:noVBand="1"/>
      </w:tblPr>
      <w:tblGrid>
        <w:gridCol w:w="2972"/>
        <w:gridCol w:w="8930"/>
        <w:gridCol w:w="3544"/>
      </w:tblGrid>
      <w:tr w:rsidR="00CB42B1" w:rsidRPr="00F752FF" w14:paraId="029A755E" w14:textId="77777777" w:rsidTr="00CE7AAA">
        <w:trPr>
          <w:jc w:val="center"/>
        </w:trPr>
        <w:tc>
          <w:tcPr>
            <w:tcW w:w="2972" w:type="dxa"/>
            <w:shd w:val="clear" w:color="auto" w:fill="D9D9D9" w:themeFill="background1" w:themeFillShade="D9"/>
          </w:tcPr>
          <w:p w14:paraId="498FD948" w14:textId="70B4291D" w:rsidR="00836D86" w:rsidRPr="00F752FF" w:rsidRDefault="00836D86" w:rsidP="00836D86">
            <w:pPr>
              <w:jc w:val="center"/>
              <w:rPr>
                <w:rFonts w:ascii="Arial" w:hAnsi="Arial" w:cs="Arial"/>
              </w:rPr>
            </w:pPr>
            <w:r w:rsidRPr="00F752FF">
              <w:rPr>
                <w:rFonts w:ascii="Arial" w:hAnsi="Arial" w:cs="Arial"/>
                <w:b/>
                <w:bCs/>
              </w:rPr>
              <w:t>Question</w:t>
            </w:r>
          </w:p>
        </w:tc>
        <w:tc>
          <w:tcPr>
            <w:tcW w:w="8930" w:type="dxa"/>
            <w:shd w:val="clear" w:color="auto" w:fill="D9D9D9" w:themeFill="background1" w:themeFillShade="D9"/>
          </w:tcPr>
          <w:p w14:paraId="2E8F6D28" w14:textId="4A9A2636" w:rsidR="00836D86" w:rsidRPr="00F752FF" w:rsidRDefault="00836D86" w:rsidP="00E3604F">
            <w:pPr>
              <w:jc w:val="center"/>
              <w:rPr>
                <w:rFonts w:ascii="Arial" w:hAnsi="Arial" w:cs="Arial"/>
              </w:rPr>
            </w:pPr>
            <w:r w:rsidRPr="00F752FF">
              <w:rPr>
                <w:rFonts w:ascii="Arial" w:hAnsi="Arial" w:cs="Arial"/>
                <w:b/>
                <w:bCs/>
              </w:rPr>
              <w:t>Brief Summary of Evidence</w:t>
            </w:r>
          </w:p>
        </w:tc>
        <w:tc>
          <w:tcPr>
            <w:tcW w:w="3544" w:type="dxa"/>
            <w:shd w:val="clear" w:color="auto" w:fill="D9D9D9" w:themeFill="background1" w:themeFillShade="D9"/>
          </w:tcPr>
          <w:p w14:paraId="4F5B74BE" w14:textId="16B8B605" w:rsidR="00836D86" w:rsidRPr="00F752FF" w:rsidRDefault="00836D86" w:rsidP="00836D86">
            <w:pPr>
              <w:jc w:val="center"/>
              <w:rPr>
                <w:rFonts w:ascii="Arial" w:hAnsi="Arial" w:cs="Arial"/>
              </w:rPr>
            </w:pPr>
            <w:r w:rsidRPr="00F752FF">
              <w:rPr>
                <w:rFonts w:ascii="Arial" w:hAnsi="Arial" w:cs="Arial"/>
                <w:b/>
                <w:bCs/>
              </w:rPr>
              <w:t>Decision of PCC</w:t>
            </w:r>
          </w:p>
        </w:tc>
      </w:tr>
      <w:tr w:rsidR="0095163F" w:rsidRPr="00F752FF" w14:paraId="6743E90A" w14:textId="77777777" w:rsidTr="00CE7AAA">
        <w:trPr>
          <w:jc w:val="center"/>
        </w:trPr>
        <w:tc>
          <w:tcPr>
            <w:tcW w:w="2972" w:type="dxa"/>
          </w:tcPr>
          <w:p w14:paraId="7A95508A" w14:textId="4A07ACC4" w:rsidR="00772DA7" w:rsidRPr="00F752FF" w:rsidRDefault="00B77BF9" w:rsidP="00B77BF9">
            <w:pPr>
              <w:pStyle w:val="ListParagraph"/>
              <w:numPr>
                <w:ilvl w:val="0"/>
                <w:numId w:val="1"/>
              </w:numPr>
              <w:ind w:left="457"/>
              <w:rPr>
                <w:rFonts w:ascii="Arial" w:eastAsia="Times New Roman" w:hAnsi="Arial" w:cs="Arial"/>
                <w:b/>
                <w:bCs/>
                <w:color w:val="000000" w:themeColor="text1"/>
              </w:rPr>
            </w:pPr>
            <w:r w:rsidRPr="00F752FF">
              <w:rPr>
                <w:rFonts w:ascii="Arial" w:eastAsia="Times New Roman" w:hAnsi="Arial" w:cs="Arial"/>
                <w:b/>
                <w:bCs/>
                <w:color w:val="000000" w:themeColor="text1"/>
              </w:rPr>
              <w:t>How is the Force meeting its statutory duty to engage with the public, including the arrangements in place to gather local views and share policing information, and how is the effectiveness of this engagement assessed?</w:t>
            </w:r>
          </w:p>
        </w:tc>
        <w:tc>
          <w:tcPr>
            <w:tcW w:w="8930" w:type="dxa"/>
          </w:tcPr>
          <w:p w14:paraId="1CEDAEF4" w14:textId="0A30ADCA" w:rsidR="00D0341A" w:rsidRPr="00F752FF" w:rsidRDefault="00D0341A" w:rsidP="00D0341A">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The Force’s core statutory responsibilities include:</w:t>
            </w:r>
          </w:p>
          <w:p w14:paraId="655D9730" w14:textId="0887C187"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Obtaining the views of the public to understand their needs and expectations.</w:t>
            </w:r>
          </w:p>
          <w:p w14:paraId="527DF064" w14:textId="357E0738"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Providing clear and accessible information, ensuring a two</w:t>
            </w:r>
            <w:r w:rsidRPr="00F752FF">
              <w:rPr>
                <w:rFonts w:ascii="Cambria Math" w:eastAsia="Times New Roman" w:hAnsi="Cambria Math" w:cs="Cambria Math"/>
                <w:lang w:eastAsia="en-GB"/>
              </w:rPr>
              <w:t>‑</w:t>
            </w:r>
            <w:r w:rsidRPr="00F752FF">
              <w:rPr>
                <w:rFonts w:ascii="Arial" w:eastAsia="Times New Roman" w:hAnsi="Arial" w:cs="Arial"/>
                <w:lang w:eastAsia="en-GB"/>
              </w:rPr>
              <w:t>way flow of communication.</w:t>
            </w:r>
          </w:p>
          <w:p w14:paraId="447C1202" w14:textId="3EE7AFDB"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Holding regular meetings, such as community surgeries and formal boards, to maintain dialogue and transparency.</w:t>
            </w:r>
          </w:p>
          <w:p w14:paraId="66CB9CDB" w14:textId="457266BB"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Ensuring accountability through scrutiny processes, audits, and oversight mechanisms.</w:t>
            </w:r>
          </w:p>
          <w:p w14:paraId="2C4D7E5D" w14:textId="50DBFCFB" w:rsidR="00D0341A" w:rsidRPr="00F752FF" w:rsidRDefault="00D0341A" w:rsidP="00D0341A">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In terms of local delivery:</w:t>
            </w:r>
          </w:p>
          <w:p w14:paraId="33F5727A" w14:textId="22851C5A"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The Neighbourhood Policing Strategy has been refreshed and aligns with the national Neighbourhood Policing Guarantee, increasing capacity and strengthening local presence.</w:t>
            </w:r>
          </w:p>
          <w:p w14:paraId="6A35911A" w14:textId="679D6323"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The Engagement Strategy has been updated to support more meaningful and consistent interaction with communities.</w:t>
            </w:r>
          </w:p>
          <w:p w14:paraId="240C8A08" w14:textId="1BF129A2"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The National Culture and Inclusion Strategy is being implemented locally, helping the Force to better understand and work with diverse communities.</w:t>
            </w:r>
          </w:p>
          <w:p w14:paraId="4150B994" w14:textId="52BCA5CD" w:rsidR="00D0341A" w:rsidRPr="00F752FF" w:rsidRDefault="00D0341A" w:rsidP="00D0341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The Corporate Communications Strategy supports effective communication with internal staff and partners, as well as external stakeholders and the wider public.</w:t>
            </w:r>
          </w:p>
          <w:p w14:paraId="613FBB89" w14:textId="77777777" w:rsidR="000E1F0A" w:rsidRPr="00F752FF" w:rsidRDefault="000E1F0A" w:rsidP="000E1F0A">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To support effective information sharing, the Force utilises several key digital platforms:</w:t>
            </w:r>
          </w:p>
          <w:p w14:paraId="650A5B52" w14:textId="40D39D92" w:rsidR="000E1F0A" w:rsidRPr="00F752FF" w:rsidRDefault="000E1F0A" w:rsidP="000E1F0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Single Online Home, allowing the public to report crimes online any time of day.</w:t>
            </w:r>
          </w:p>
          <w:p w14:paraId="595E4FD9" w14:textId="1150B1D3" w:rsidR="000E1F0A" w:rsidRPr="00F752FF" w:rsidRDefault="000E1F0A" w:rsidP="000E1F0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Cleveland Connected, a neighbourhood</w:t>
            </w:r>
            <w:r w:rsidRPr="00F752FF">
              <w:rPr>
                <w:rFonts w:ascii="Cambria Math" w:eastAsia="Times New Roman" w:hAnsi="Cambria Math" w:cs="Cambria Math"/>
                <w:lang w:eastAsia="en-GB"/>
              </w:rPr>
              <w:t>‑</w:t>
            </w:r>
            <w:r w:rsidRPr="00F752FF">
              <w:rPr>
                <w:rFonts w:ascii="Arial" w:eastAsia="Times New Roman" w:hAnsi="Arial" w:cs="Arial"/>
                <w:lang w:eastAsia="en-GB"/>
              </w:rPr>
              <w:t>focused engagement tool that strengthens local communication.</w:t>
            </w:r>
          </w:p>
          <w:p w14:paraId="5B181541" w14:textId="152A75F9" w:rsidR="00D0341A" w:rsidRPr="00F752FF" w:rsidRDefault="000E1F0A" w:rsidP="000E1F0A">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 xml:space="preserve">Salesforce and the Victims Portal, which </w:t>
            </w:r>
            <w:r w:rsidR="0070287F" w:rsidRPr="00F752FF">
              <w:rPr>
                <w:rFonts w:ascii="Arial" w:eastAsia="Times New Roman" w:hAnsi="Arial" w:cs="Arial"/>
                <w:lang w:eastAsia="en-GB"/>
              </w:rPr>
              <w:t xml:space="preserve">aim to </w:t>
            </w:r>
            <w:r w:rsidRPr="00F752FF">
              <w:rPr>
                <w:rFonts w:ascii="Arial" w:eastAsia="Times New Roman" w:hAnsi="Arial" w:cs="Arial"/>
                <w:lang w:eastAsia="en-GB"/>
              </w:rPr>
              <w:t>enhance communication, improve victim engagement and enha</w:t>
            </w:r>
            <w:r w:rsidR="0070287F" w:rsidRPr="00F752FF">
              <w:rPr>
                <w:rFonts w:ascii="Arial" w:eastAsia="Times New Roman" w:hAnsi="Arial" w:cs="Arial"/>
                <w:lang w:eastAsia="en-GB"/>
              </w:rPr>
              <w:t xml:space="preserve">nce </w:t>
            </w:r>
            <w:r w:rsidRPr="00F752FF">
              <w:rPr>
                <w:rFonts w:ascii="Arial" w:eastAsia="Times New Roman" w:hAnsi="Arial" w:cs="Arial"/>
                <w:lang w:eastAsia="en-GB"/>
              </w:rPr>
              <w:t>transparency.</w:t>
            </w:r>
          </w:p>
          <w:p w14:paraId="748D25CC" w14:textId="77777777" w:rsidR="00BC77DF" w:rsidRPr="00F752FF" w:rsidRDefault="00BC77DF" w:rsidP="00BC77DF">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In seeking community views and holding regular meetings, the Force engages through a range of established forums, including:</w:t>
            </w:r>
          </w:p>
          <w:p w14:paraId="4437822A" w14:textId="77777777" w:rsidR="00547F7F" w:rsidRPr="00F752FF" w:rsidRDefault="00547F7F" w:rsidP="00547F7F">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Safer</w:t>
            </w:r>
            <w:r w:rsidR="00BC77DF" w:rsidRPr="00F752FF">
              <w:rPr>
                <w:rFonts w:ascii="Arial" w:eastAsia="Times New Roman" w:hAnsi="Arial" w:cs="Arial"/>
                <w:lang w:eastAsia="en-GB"/>
              </w:rPr>
              <w:t xml:space="preserve"> Partnerships, which bring together key agencies to address local priorities.</w:t>
            </w:r>
          </w:p>
          <w:p w14:paraId="3E82389E" w14:textId="77777777" w:rsidR="00547F7F" w:rsidRPr="00F752FF" w:rsidRDefault="00BC77DF" w:rsidP="00547F7F">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Children and Adult Safeguarding Boards, ensuring multi</w:t>
            </w:r>
            <w:r w:rsidRPr="00F752FF">
              <w:rPr>
                <w:rFonts w:ascii="Cambria Math" w:eastAsia="Times New Roman" w:hAnsi="Cambria Math" w:cs="Cambria Math"/>
                <w:lang w:eastAsia="en-GB"/>
              </w:rPr>
              <w:t>‑</w:t>
            </w:r>
            <w:r w:rsidRPr="00F752FF">
              <w:rPr>
                <w:rFonts w:ascii="Arial" w:eastAsia="Times New Roman" w:hAnsi="Arial" w:cs="Arial"/>
                <w:lang w:eastAsia="en-GB"/>
              </w:rPr>
              <w:t>agency oversight of vulnerability and protection.</w:t>
            </w:r>
          </w:p>
          <w:p w14:paraId="30B1C936" w14:textId="4804D260" w:rsidR="00547F7F" w:rsidRPr="00F752FF" w:rsidRDefault="00BC77DF" w:rsidP="00547F7F">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lastRenderedPageBreak/>
              <w:t xml:space="preserve">Public meetings </w:t>
            </w:r>
            <w:r w:rsidR="00547F7F" w:rsidRPr="00F752FF">
              <w:rPr>
                <w:rFonts w:ascii="Arial" w:eastAsia="Times New Roman" w:hAnsi="Arial" w:cs="Arial"/>
                <w:lang w:eastAsia="en-GB"/>
              </w:rPr>
              <w:t>involving</w:t>
            </w:r>
            <w:r w:rsidRPr="00F752FF">
              <w:rPr>
                <w:rFonts w:ascii="Arial" w:eastAsia="Times New Roman" w:hAnsi="Arial" w:cs="Arial"/>
                <w:lang w:eastAsia="en-GB"/>
              </w:rPr>
              <w:t xml:space="preserve"> Neighbourhood Policing Teams and </w:t>
            </w:r>
            <w:r w:rsidR="0070287F" w:rsidRPr="00F752FF">
              <w:rPr>
                <w:rFonts w:ascii="Arial" w:eastAsia="Times New Roman" w:hAnsi="Arial" w:cs="Arial"/>
                <w:lang w:eastAsia="en-GB"/>
              </w:rPr>
              <w:t>Police Community Support Officers (</w:t>
            </w:r>
            <w:r w:rsidRPr="00F752FF">
              <w:rPr>
                <w:rFonts w:ascii="Arial" w:eastAsia="Times New Roman" w:hAnsi="Arial" w:cs="Arial"/>
                <w:lang w:eastAsia="en-GB"/>
              </w:rPr>
              <w:t>PCSOs</w:t>
            </w:r>
            <w:r w:rsidR="0070287F" w:rsidRPr="00F752FF">
              <w:rPr>
                <w:rFonts w:ascii="Arial" w:eastAsia="Times New Roman" w:hAnsi="Arial" w:cs="Arial"/>
                <w:lang w:eastAsia="en-GB"/>
              </w:rPr>
              <w:t>)</w:t>
            </w:r>
            <w:r w:rsidRPr="00F752FF">
              <w:rPr>
                <w:rFonts w:ascii="Arial" w:eastAsia="Times New Roman" w:hAnsi="Arial" w:cs="Arial"/>
                <w:lang w:eastAsia="en-GB"/>
              </w:rPr>
              <w:t xml:space="preserve"> to maintain direct contact with local communities.</w:t>
            </w:r>
          </w:p>
          <w:p w14:paraId="28748343" w14:textId="77777777" w:rsidR="00D0341A" w:rsidRPr="00F752FF" w:rsidRDefault="00BC77DF" w:rsidP="00547F7F">
            <w:pPr>
              <w:pStyle w:val="NoSpacing"/>
              <w:numPr>
                <w:ilvl w:val="1"/>
                <w:numId w:val="7"/>
              </w:numPr>
              <w:jc w:val="both"/>
              <w:rPr>
                <w:rFonts w:ascii="Arial" w:eastAsia="Times New Roman" w:hAnsi="Arial" w:cs="Arial"/>
                <w:lang w:eastAsia="en-GB"/>
              </w:rPr>
            </w:pPr>
            <w:r w:rsidRPr="00F752FF">
              <w:rPr>
                <w:rFonts w:ascii="Arial" w:eastAsia="Times New Roman" w:hAnsi="Arial" w:cs="Arial"/>
                <w:lang w:eastAsia="en-GB"/>
              </w:rPr>
              <w:t>District and Strategic Independent Advisory Groups (IAGs), providing independent community insight, challenge, and advice.</w:t>
            </w:r>
          </w:p>
          <w:p w14:paraId="4615F174" w14:textId="77777777" w:rsidR="00B11D93" w:rsidRPr="00F752FF" w:rsidRDefault="00DD3712" w:rsidP="00DD3712">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Accountability is delivered through IAGs, independent scrutiny panels, ‘Face the Public’ events, and oversight from the Office of the Police and Crime Commissioner (OPCC).</w:t>
            </w:r>
          </w:p>
          <w:p w14:paraId="4D3FC395" w14:textId="7926EA75" w:rsidR="006F029A" w:rsidRPr="00F752FF" w:rsidRDefault="006F029A" w:rsidP="00DD3712">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In terms of the Crime Survey for England and Wales (</w:t>
            </w:r>
            <w:r w:rsidR="20A59DBA" w:rsidRPr="1BFE7150">
              <w:rPr>
                <w:rFonts w:ascii="Arial" w:eastAsia="Times New Roman" w:hAnsi="Arial" w:cs="Arial"/>
                <w:lang w:eastAsia="en-GB"/>
              </w:rPr>
              <w:t>CSEW)</w:t>
            </w:r>
            <w:r w:rsidR="38D799EE" w:rsidRPr="1BFE7150">
              <w:rPr>
                <w:rFonts w:ascii="Arial" w:eastAsia="Times New Roman" w:hAnsi="Arial" w:cs="Arial"/>
                <w:lang w:eastAsia="en-GB"/>
              </w:rPr>
              <w:t xml:space="preserve"> (</w:t>
            </w:r>
            <w:r w:rsidRPr="00F752FF">
              <w:rPr>
                <w:rFonts w:ascii="Arial" w:eastAsia="Times New Roman" w:hAnsi="Arial" w:cs="Arial"/>
                <w:lang w:eastAsia="en-GB"/>
              </w:rPr>
              <w:t>September 2025), for community understanding, the Force is performing slightly better at 61.3%, compared with 59.9% across England and Wales and 60.5% within its Most Similar Group (MSG).</w:t>
            </w:r>
          </w:p>
        </w:tc>
        <w:tc>
          <w:tcPr>
            <w:tcW w:w="3544" w:type="dxa"/>
            <w:vMerge w:val="restart"/>
            <w:shd w:val="clear" w:color="auto" w:fill="FFC000"/>
          </w:tcPr>
          <w:p w14:paraId="35835B96" w14:textId="5864CE46" w:rsidR="00A144A2" w:rsidRPr="00F752FF" w:rsidRDefault="00B77BF9" w:rsidP="00A144A2">
            <w:pPr>
              <w:jc w:val="center"/>
              <w:rPr>
                <w:rFonts w:ascii="Arial" w:hAnsi="Arial" w:cs="Arial"/>
                <w:b/>
                <w:bCs/>
              </w:rPr>
            </w:pPr>
            <w:r w:rsidRPr="00F752FF">
              <w:rPr>
                <w:rFonts w:ascii="Arial" w:hAnsi="Arial" w:cs="Arial"/>
                <w:b/>
                <w:bCs/>
              </w:rPr>
              <w:lastRenderedPageBreak/>
              <w:t xml:space="preserve">Partly </w:t>
            </w:r>
            <w:r w:rsidR="00A144A2" w:rsidRPr="00F752FF">
              <w:rPr>
                <w:rFonts w:ascii="Arial" w:hAnsi="Arial" w:cs="Arial"/>
                <w:b/>
                <w:bCs/>
              </w:rPr>
              <w:t>Assured</w:t>
            </w:r>
          </w:p>
          <w:p w14:paraId="209F4B16" w14:textId="593BEFA2" w:rsidR="00B77BF9" w:rsidRPr="00F752FF" w:rsidRDefault="00B77BF9" w:rsidP="000F2F96">
            <w:pPr>
              <w:jc w:val="center"/>
              <w:textAlignment w:val="baseline"/>
              <w:rPr>
                <w:rFonts w:ascii="Arial" w:eastAsia="Times New Roman" w:hAnsi="Arial" w:cs="Arial"/>
                <w:i/>
                <w:iCs/>
                <w:color w:val="000000"/>
                <w:lang w:eastAsia="en-GB"/>
              </w:rPr>
            </w:pPr>
            <w:r w:rsidRPr="00F752FF">
              <w:rPr>
                <w:rFonts w:ascii="Arial" w:eastAsia="Times New Roman" w:hAnsi="Arial" w:cs="Arial"/>
                <w:i/>
                <w:iCs/>
                <w:color w:val="000000"/>
                <w:lang w:eastAsia="en-GB"/>
              </w:rPr>
              <w:t>The PCC identified a disconnect between the improvements made to police performance and current levels of public confidence. The expectation is that future confidence levels should more accurately reflect the positive work undertaken by the Force to address the key factors influencing public trust and confidence.</w:t>
            </w:r>
          </w:p>
          <w:p w14:paraId="1A104A03" w14:textId="77777777" w:rsidR="00B77BF9" w:rsidRPr="00F752FF" w:rsidRDefault="00B77BF9" w:rsidP="00B77BF9">
            <w:pPr>
              <w:jc w:val="center"/>
              <w:textAlignment w:val="baseline"/>
              <w:rPr>
                <w:rFonts w:ascii="Arial" w:eastAsia="Times New Roman" w:hAnsi="Arial" w:cs="Arial"/>
                <w:i/>
                <w:iCs/>
                <w:color w:val="000000"/>
                <w:lang w:eastAsia="en-GB"/>
              </w:rPr>
            </w:pPr>
          </w:p>
          <w:p w14:paraId="7DF41659" w14:textId="77777777" w:rsidR="00B77BF9" w:rsidRPr="00F752FF" w:rsidRDefault="00B77BF9" w:rsidP="00B77BF9">
            <w:pPr>
              <w:jc w:val="center"/>
              <w:textAlignment w:val="baseline"/>
              <w:rPr>
                <w:rFonts w:ascii="Arial" w:eastAsia="Times New Roman" w:hAnsi="Arial" w:cs="Arial"/>
                <w:i/>
                <w:iCs/>
                <w:color w:val="000000"/>
                <w:lang w:eastAsia="en-GB"/>
              </w:rPr>
            </w:pPr>
            <w:r w:rsidRPr="00F752FF">
              <w:rPr>
                <w:rFonts w:ascii="Arial" w:eastAsia="Times New Roman" w:hAnsi="Arial" w:cs="Arial"/>
                <w:i/>
                <w:iCs/>
                <w:color w:val="000000"/>
                <w:lang w:eastAsia="en-GB"/>
              </w:rPr>
              <w:t>The PCC will revisit this topic in a year’s time, by which point an increase in public confidence should be evident. The Force will also be expected to demonstrate how the engagement strategy, community strategy, and social media strategy have been embedded in practice, supported by clear evidence of their impact.</w:t>
            </w:r>
          </w:p>
          <w:p w14:paraId="180A5C8E" w14:textId="77777777" w:rsidR="00B77BF9" w:rsidRPr="00F752FF" w:rsidRDefault="00B77BF9" w:rsidP="00B77BF9">
            <w:pPr>
              <w:jc w:val="center"/>
              <w:textAlignment w:val="baseline"/>
              <w:rPr>
                <w:rFonts w:ascii="Arial" w:eastAsia="Times New Roman" w:hAnsi="Arial" w:cs="Arial"/>
                <w:i/>
                <w:iCs/>
                <w:color w:val="000000"/>
                <w:lang w:eastAsia="en-GB"/>
              </w:rPr>
            </w:pPr>
          </w:p>
          <w:p w14:paraId="3319E3B1" w14:textId="608D6FC0" w:rsidR="003C5BDD" w:rsidRPr="00F752FF" w:rsidRDefault="00B77BF9" w:rsidP="00B77BF9">
            <w:pPr>
              <w:jc w:val="center"/>
              <w:rPr>
                <w:rFonts w:ascii="Arial" w:hAnsi="Arial" w:cs="Arial"/>
                <w:b/>
                <w:bCs/>
              </w:rPr>
            </w:pPr>
            <w:r w:rsidRPr="00F752FF">
              <w:rPr>
                <w:rFonts w:ascii="Arial" w:eastAsia="Times New Roman" w:hAnsi="Arial" w:cs="Arial"/>
                <w:i/>
                <w:iCs/>
                <w:color w:val="000000"/>
                <w:lang w:eastAsia="en-GB"/>
              </w:rPr>
              <w:t>Although the Force undertakes a substantial amount of public engagement, the outcomes of this activity - and the positive actions taken as a result - need to be communicated more effectively to communities. A stronger and more visible ‘you said, we did’ approach is required to show how public feedback directly informs and shapes policing activity.</w:t>
            </w:r>
          </w:p>
          <w:p w14:paraId="147EB9F2" w14:textId="77777777" w:rsidR="007D607B" w:rsidRPr="00F752FF" w:rsidRDefault="007D607B" w:rsidP="00A144A2">
            <w:pPr>
              <w:jc w:val="center"/>
              <w:rPr>
                <w:rFonts w:ascii="Arial" w:hAnsi="Arial" w:cs="Arial"/>
                <w:b/>
                <w:bCs/>
              </w:rPr>
            </w:pPr>
          </w:p>
          <w:p w14:paraId="179ED23A" w14:textId="77777777" w:rsidR="00A144A2" w:rsidRPr="00F752FF" w:rsidRDefault="00A144A2" w:rsidP="00A144A2">
            <w:pPr>
              <w:jc w:val="center"/>
              <w:rPr>
                <w:rFonts w:ascii="Arial" w:hAnsi="Arial" w:cs="Arial"/>
              </w:rPr>
            </w:pPr>
          </w:p>
          <w:p w14:paraId="223F08DE" w14:textId="3C6FDC49" w:rsidR="0095163F" w:rsidRPr="00F752FF" w:rsidRDefault="0095163F" w:rsidP="00A144A2">
            <w:pPr>
              <w:jc w:val="center"/>
              <w:rPr>
                <w:rFonts w:ascii="Arial" w:hAnsi="Arial" w:cs="Arial"/>
                <w:i/>
                <w:iCs/>
              </w:rPr>
            </w:pPr>
          </w:p>
        </w:tc>
      </w:tr>
      <w:tr w:rsidR="0095163F" w:rsidRPr="00F752FF" w14:paraId="66AF45BB" w14:textId="77777777" w:rsidTr="1BFE7150">
        <w:trPr>
          <w:trHeight w:val="1691"/>
          <w:jc w:val="center"/>
        </w:trPr>
        <w:tc>
          <w:tcPr>
            <w:tcW w:w="2972" w:type="dxa"/>
          </w:tcPr>
          <w:p w14:paraId="33500DE8" w14:textId="73977CE8" w:rsidR="0095163F" w:rsidRPr="00F752FF" w:rsidRDefault="00B77BF9" w:rsidP="00B77BF9">
            <w:pPr>
              <w:pStyle w:val="ListParagraph"/>
              <w:numPr>
                <w:ilvl w:val="0"/>
                <w:numId w:val="1"/>
              </w:numPr>
              <w:ind w:left="457"/>
              <w:rPr>
                <w:rFonts w:ascii="Arial" w:hAnsi="Arial" w:cs="Arial"/>
                <w:b/>
                <w:bCs/>
                <w:color w:val="000000" w:themeColor="text1"/>
              </w:rPr>
            </w:pPr>
            <w:r w:rsidRPr="00F752FF">
              <w:rPr>
                <w:rFonts w:ascii="Arial" w:hAnsi="Arial" w:cs="Arial"/>
                <w:b/>
                <w:bCs/>
                <w:color w:val="000000" w:themeColor="text1"/>
              </w:rPr>
              <w:lastRenderedPageBreak/>
              <w:t>What factors are impacting current levels of public trust and confidence, and how is the Force addressing these factors while mitigating future risk</w:t>
            </w:r>
            <w:r w:rsidR="005A19C6" w:rsidRPr="00F752FF">
              <w:rPr>
                <w:rFonts w:ascii="Arial" w:hAnsi="Arial" w:cs="Arial"/>
                <w:b/>
                <w:bCs/>
                <w:color w:val="000000" w:themeColor="text1"/>
              </w:rPr>
              <w:t>s?</w:t>
            </w:r>
          </w:p>
        </w:tc>
        <w:tc>
          <w:tcPr>
            <w:tcW w:w="8930" w:type="dxa"/>
          </w:tcPr>
          <w:p w14:paraId="686A6FC6" w14:textId="001023FF" w:rsidR="00D82DFB" w:rsidRPr="00F752FF" w:rsidRDefault="0C043B48" w:rsidP="00D82DFB">
            <w:pPr>
              <w:pStyle w:val="ListParagraph"/>
              <w:numPr>
                <w:ilvl w:val="0"/>
                <w:numId w:val="4"/>
              </w:numPr>
              <w:jc w:val="both"/>
              <w:rPr>
                <w:rFonts w:ascii="Arial" w:hAnsi="Arial" w:cs="Arial"/>
                <w:lang w:eastAsia="en-GB"/>
              </w:rPr>
            </w:pPr>
            <w:r w:rsidRPr="1BFE7150">
              <w:rPr>
                <w:rFonts w:ascii="Arial" w:hAnsi="Arial" w:cs="Arial"/>
                <w:lang w:eastAsia="en-GB"/>
              </w:rPr>
              <w:t xml:space="preserve">CSEW data indicates that </w:t>
            </w:r>
            <w:r w:rsidR="73C60B56" w:rsidRPr="1BFE7150">
              <w:rPr>
                <w:rFonts w:ascii="Arial" w:hAnsi="Arial" w:cs="Arial"/>
                <w:lang w:eastAsia="en-GB"/>
              </w:rPr>
              <w:t xml:space="preserve">although </w:t>
            </w:r>
            <w:r w:rsidRPr="1BFE7150">
              <w:rPr>
                <w:rFonts w:ascii="Arial" w:hAnsi="Arial" w:cs="Arial"/>
                <w:lang w:eastAsia="en-GB"/>
              </w:rPr>
              <w:t xml:space="preserve">public confidence in Cleveland Police </w:t>
            </w:r>
            <w:r w:rsidR="6E7B0A14" w:rsidRPr="1BFE7150">
              <w:rPr>
                <w:rFonts w:ascii="Arial" w:hAnsi="Arial" w:cs="Arial"/>
                <w:lang w:eastAsia="en-GB"/>
              </w:rPr>
              <w:t>is</w:t>
            </w:r>
            <w:r w:rsidRPr="1BFE7150">
              <w:rPr>
                <w:rFonts w:ascii="Arial" w:hAnsi="Arial" w:cs="Arial"/>
                <w:lang w:eastAsia="en-GB"/>
              </w:rPr>
              <w:t xml:space="preserve"> stable, it </w:t>
            </w:r>
            <w:r w:rsidR="51EB8B7B" w:rsidRPr="1BFE7150">
              <w:rPr>
                <w:rFonts w:ascii="Arial" w:hAnsi="Arial" w:cs="Arial"/>
                <w:lang w:eastAsia="en-GB"/>
              </w:rPr>
              <w:t>remains</w:t>
            </w:r>
            <w:r w:rsidRPr="1BFE7150">
              <w:rPr>
                <w:rFonts w:ascii="Arial" w:hAnsi="Arial" w:cs="Arial"/>
                <w:lang w:eastAsia="en-GB"/>
              </w:rPr>
              <w:t xml:space="preserve"> below the national average</w:t>
            </w:r>
            <w:r w:rsidR="49F28B70" w:rsidRPr="1BFE7150">
              <w:rPr>
                <w:rFonts w:ascii="Arial" w:hAnsi="Arial" w:cs="Arial"/>
                <w:lang w:eastAsia="en-GB"/>
              </w:rPr>
              <w:t>.</w:t>
            </w:r>
          </w:p>
          <w:p w14:paraId="5A4893D3" w14:textId="73546A1D" w:rsidR="00D82DFB" w:rsidRPr="00F752FF" w:rsidRDefault="00D82DFB" w:rsidP="00D82DFB">
            <w:pPr>
              <w:pStyle w:val="ListParagraph"/>
              <w:numPr>
                <w:ilvl w:val="0"/>
                <w:numId w:val="4"/>
              </w:numPr>
              <w:jc w:val="both"/>
              <w:rPr>
                <w:rFonts w:ascii="Arial" w:hAnsi="Arial" w:cs="Arial"/>
                <w:lang w:eastAsia="en-GB"/>
              </w:rPr>
            </w:pPr>
            <w:r w:rsidRPr="00F752FF">
              <w:rPr>
                <w:rFonts w:ascii="Arial" w:hAnsi="Arial" w:cs="Arial"/>
                <w:lang w:eastAsia="en-GB"/>
              </w:rPr>
              <w:t>Recent trends in public confidence show a largely static picture during the Covid-19 period, followed by a decline in 2022, a peak in 2024, and another fall in 2025.</w:t>
            </w:r>
          </w:p>
          <w:p w14:paraId="3B097A62" w14:textId="5A91B5E3" w:rsidR="00D82DFB" w:rsidRPr="00F752FF" w:rsidRDefault="00D82DFB" w:rsidP="00803D25">
            <w:pPr>
              <w:pStyle w:val="ListParagraph"/>
              <w:numPr>
                <w:ilvl w:val="0"/>
                <w:numId w:val="4"/>
              </w:numPr>
              <w:jc w:val="both"/>
              <w:rPr>
                <w:rFonts w:ascii="Arial" w:hAnsi="Arial" w:cs="Arial"/>
                <w:lang w:eastAsia="en-GB"/>
              </w:rPr>
            </w:pPr>
            <w:r w:rsidRPr="00F752FF">
              <w:rPr>
                <w:rFonts w:ascii="Arial" w:hAnsi="Arial" w:cs="Arial"/>
                <w:lang w:eastAsia="en-GB"/>
              </w:rPr>
              <w:t>The Force is aware that there is a clear need to deepen its understanding of the factors driving these fluctuations.</w:t>
            </w:r>
            <w:r w:rsidR="00803D25" w:rsidRPr="00F752FF">
              <w:rPr>
                <w:rFonts w:ascii="Arial" w:hAnsi="Arial" w:cs="Arial"/>
                <w:lang w:eastAsia="en-GB"/>
              </w:rPr>
              <w:t xml:space="preserve"> </w:t>
            </w:r>
          </w:p>
          <w:p w14:paraId="75A8CF13" w14:textId="3BF7EB27" w:rsidR="00D82DFB" w:rsidRPr="00F752FF" w:rsidRDefault="00D82DFB" w:rsidP="00D82DFB">
            <w:pPr>
              <w:pStyle w:val="ListParagraph"/>
              <w:numPr>
                <w:ilvl w:val="0"/>
                <w:numId w:val="4"/>
              </w:numPr>
              <w:jc w:val="both"/>
              <w:rPr>
                <w:rFonts w:ascii="Arial" w:hAnsi="Arial" w:cs="Arial"/>
                <w:lang w:eastAsia="en-GB"/>
              </w:rPr>
            </w:pPr>
            <w:r w:rsidRPr="00F752FF">
              <w:rPr>
                <w:rFonts w:ascii="Arial" w:hAnsi="Arial" w:cs="Arial"/>
                <w:lang w:eastAsia="en-GB"/>
              </w:rPr>
              <w:t xml:space="preserve">Over the long term, there appears to be no consistent correlation between police performance and public confidence, </w:t>
            </w:r>
            <w:r w:rsidR="00B00B84" w:rsidRPr="00F752FF">
              <w:rPr>
                <w:rFonts w:ascii="Arial" w:hAnsi="Arial" w:cs="Arial"/>
                <w:lang w:eastAsia="en-GB"/>
              </w:rPr>
              <w:t>f</w:t>
            </w:r>
            <w:r w:rsidR="00803D25" w:rsidRPr="00F752FF">
              <w:rPr>
                <w:rFonts w:ascii="Arial" w:hAnsi="Arial" w:cs="Arial"/>
                <w:lang w:eastAsia="en-GB"/>
              </w:rPr>
              <w:t>or example, Humberside Police remain one of the stronger performing forces nationally</w:t>
            </w:r>
            <w:r w:rsidR="00E66CC7" w:rsidRPr="00F752FF">
              <w:rPr>
                <w:rFonts w:ascii="Arial" w:hAnsi="Arial" w:cs="Arial"/>
                <w:lang w:eastAsia="en-GB"/>
              </w:rPr>
              <w:t>,</w:t>
            </w:r>
            <w:r w:rsidR="00803D25" w:rsidRPr="00F752FF">
              <w:rPr>
                <w:rFonts w:ascii="Arial" w:hAnsi="Arial" w:cs="Arial"/>
                <w:lang w:eastAsia="en-GB"/>
              </w:rPr>
              <w:t xml:space="preserve"> however, its public confidence levels continue to sit among the lowest in England and Wales.</w:t>
            </w:r>
          </w:p>
          <w:p w14:paraId="412F70AF" w14:textId="13CEF865" w:rsidR="00B00B84" w:rsidRPr="00F752FF" w:rsidRDefault="006B7B04" w:rsidP="00D82DFB">
            <w:pPr>
              <w:pStyle w:val="ListParagraph"/>
              <w:numPr>
                <w:ilvl w:val="0"/>
                <w:numId w:val="4"/>
              </w:numPr>
              <w:jc w:val="both"/>
              <w:rPr>
                <w:rFonts w:ascii="Arial" w:hAnsi="Arial" w:cs="Arial"/>
                <w:lang w:eastAsia="en-GB"/>
              </w:rPr>
            </w:pPr>
            <w:r w:rsidRPr="00F752FF">
              <w:rPr>
                <w:rFonts w:ascii="Arial" w:hAnsi="Arial" w:cs="Arial"/>
                <w:lang w:eastAsia="en-GB"/>
              </w:rPr>
              <w:t>Unfortunately,</w:t>
            </w:r>
            <w:r w:rsidR="00B00B84" w:rsidRPr="00F752FF">
              <w:rPr>
                <w:rFonts w:ascii="Arial" w:hAnsi="Arial" w:cs="Arial"/>
                <w:lang w:eastAsia="en-GB"/>
              </w:rPr>
              <w:t xml:space="preserve"> national issues outside the Force’s control can significantly influence </w:t>
            </w:r>
            <w:r w:rsidRPr="00F752FF">
              <w:rPr>
                <w:rFonts w:ascii="Arial" w:hAnsi="Arial" w:cs="Arial"/>
                <w:lang w:eastAsia="en-GB"/>
              </w:rPr>
              <w:t xml:space="preserve">levels of </w:t>
            </w:r>
            <w:r w:rsidR="00B00B84" w:rsidRPr="00F752FF">
              <w:rPr>
                <w:rFonts w:ascii="Arial" w:hAnsi="Arial" w:cs="Arial"/>
                <w:lang w:eastAsia="en-GB"/>
              </w:rPr>
              <w:t>public trust and confidence.</w:t>
            </w:r>
          </w:p>
          <w:p w14:paraId="12D557FF" w14:textId="789F128D" w:rsidR="00E66CC7" w:rsidRPr="00F752FF" w:rsidRDefault="00E66CC7" w:rsidP="00D82DFB">
            <w:pPr>
              <w:pStyle w:val="ListParagraph"/>
              <w:numPr>
                <w:ilvl w:val="0"/>
                <w:numId w:val="4"/>
              </w:numPr>
              <w:jc w:val="both"/>
              <w:rPr>
                <w:rFonts w:ascii="Arial" w:hAnsi="Arial" w:cs="Arial"/>
                <w:lang w:eastAsia="en-GB"/>
              </w:rPr>
            </w:pPr>
            <w:r w:rsidRPr="00F752FF">
              <w:rPr>
                <w:rFonts w:ascii="Arial" w:hAnsi="Arial" w:cs="Arial"/>
                <w:lang w:eastAsia="en-GB"/>
              </w:rPr>
              <w:t>The Force has identified several key factors that influence public confidence. These include service behaviours (improved public interactions and strengthened handling of misconduct allegations); service effectiveness (notably stronger call</w:t>
            </w:r>
            <w:r w:rsidRPr="00F752FF">
              <w:rPr>
                <w:rFonts w:ascii="Cambria Math" w:hAnsi="Cambria Math" w:cs="Cambria Math"/>
                <w:lang w:eastAsia="en-GB"/>
              </w:rPr>
              <w:t>‑</w:t>
            </w:r>
            <w:r w:rsidRPr="00F752FF">
              <w:rPr>
                <w:rFonts w:ascii="Arial" w:hAnsi="Arial" w:cs="Arial"/>
                <w:lang w:eastAsia="en-GB"/>
              </w:rPr>
              <w:t>handling and response performance, now at its highest level in several years); engagement and visibility (enhanced neighbourhood patrols, proactive policing in the night</w:t>
            </w:r>
            <w:r w:rsidRPr="00F752FF">
              <w:rPr>
                <w:rFonts w:ascii="Cambria Math" w:hAnsi="Cambria Math" w:cs="Cambria Math"/>
                <w:lang w:eastAsia="en-GB"/>
              </w:rPr>
              <w:t>‑</w:t>
            </w:r>
            <w:r w:rsidRPr="00F752FF">
              <w:rPr>
                <w:rFonts w:ascii="Arial" w:hAnsi="Arial" w:cs="Arial"/>
                <w:lang w:eastAsia="en-GB"/>
              </w:rPr>
              <w:t>time economy and town centres, the impact of Op Artemis, and delivery of a comprehensive engagement strategy); and problem</w:t>
            </w:r>
            <w:r w:rsidRPr="00F752FF">
              <w:rPr>
                <w:rFonts w:ascii="Cambria Math" w:hAnsi="Cambria Math" w:cs="Cambria Math"/>
                <w:lang w:eastAsia="en-GB"/>
              </w:rPr>
              <w:t>‑</w:t>
            </w:r>
            <w:r w:rsidRPr="00F752FF">
              <w:rPr>
                <w:rFonts w:ascii="Arial" w:hAnsi="Arial" w:cs="Arial"/>
                <w:lang w:eastAsia="en-GB"/>
              </w:rPr>
              <w:t>solving (structured, audited plans at all levels, focused on high</w:t>
            </w:r>
            <w:r w:rsidRPr="00F752FF">
              <w:rPr>
                <w:rFonts w:ascii="Cambria Math" w:hAnsi="Cambria Math" w:cs="Cambria Math"/>
                <w:lang w:eastAsia="en-GB"/>
              </w:rPr>
              <w:t>‑</w:t>
            </w:r>
            <w:r w:rsidRPr="00F752FF">
              <w:rPr>
                <w:rFonts w:ascii="Arial" w:hAnsi="Arial" w:cs="Arial"/>
                <w:lang w:eastAsia="en-GB"/>
              </w:rPr>
              <w:t>harm and high</w:t>
            </w:r>
            <w:r w:rsidRPr="00F752FF">
              <w:rPr>
                <w:rFonts w:ascii="Cambria Math" w:hAnsi="Cambria Math" w:cs="Cambria Math"/>
                <w:lang w:eastAsia="en-GB"/>
              </w:rPr>
              <w:t>‑</w:t>
            </w:r>
            <w:r w:rsidRPr="00F752FF">
              <w:rPr>
                <w:rFonts w:ascii="Arial" w:hAnsi="Arial" w:cs="Arial"/>
                <w:lang w:eastAsia="en-GB"/>
              </w:rPr>
              <w:t>risk issues, supported by 15-17 strategic plans and around 30 tactical plans that provide clarity, coordination and confidence for staff).</w:t>
            </w:r>
          </w:p>
          <w:p w14:paraId="30F19DDA" w14:textId="4FC88BD4" w:rsidR="006E4686" w:rsidRPr="00F752FF" w:rsidRDefault="006E4686" w:rsidP="006E4686">
            <w:pPr>
              <w:pStyle w:val="ListParagraph"/>
              <w:numPr>
                <w:ilvl w:val="0"/>
                <w:numId w:val="4"/>
              </w:numPr>
              <w:jc w:val="both"/>
              <w:rPr>
                <w:rFonts w:ascii="Arial" w:hAnsi="Arial" w:cs="Arial"/>
                <w:lang w:eastAsia="en-GB"/>
              </w:rPr>
            </w:pPr>
            <w:r w:rsidRPr="00F752FF">
              <w:rPr>
                <w:rFonts w:ascii="Arial" w:hAnsi="Arial" w:cs="Arial"/>
                <w:lang w:eastAsia="en-GB"/>
              </w:rPr>
              <w:t xml:space="preserve">In terms of CSEW diagnostic measures, although levels of public confidence are at a good level in terms of the Force’s understanding community concerns, there has been a dip in levels of public confidence in terms of effectiveness and dealing with community issues. </w:t>
            </w:r>
          </w:p>
          <w:p w14:paraId="2D536487" w14:textId="77777777" w:rsidR="006E4686" w:rsidRPr="00F752FF" w:rsidRDefault="006E4686" w:rsidP="00F42106">
            <w:pPr>
              <w:pStyle w:val="ListParagraph"/>
              <w:numPr>
                <w:ilvl w:val="0"/>
                <w:numId w:val="4"/>
              </w:numPr>
              <w:jc w:val="both"/>
              <w:rPr>
                <w:rFonts w:ascii="Arial" w:hAnsi="Arial" w:cs="Arial"/>
                <w:lang w:eastAsia="en-GB"/>
              </w:rPr>
            </w:pPr>
            <w:r w:rsidRPr="00F752FF">
              <w:rPr>
                <w:rFonts w:ascii="Arial" w:hAnsi="Arial" w:cs="Arial"/>
                <w:lang w:eastAsia="en-GB"/>
              </w:rPr>
              <w:lastRenderedPageBreak/>
              <w:t>The Force’s automation work is improving the speed, reliability and consistency of information flow, enabling more timely public updates and helping to strengthen public confidence.</w:t>
            </w:r>
          </w:p>
          <w:p w14:paraId="0A265679" w14:textId="12BDB939" w:rsidR="006E4686" w:rsidRPr="00F752FF" w:rsidRDefault="006E4686" w:rsidP="00D742A0">
            <w:pPr>
              <w:pStyle w:val="ListParagraph"/>
              <w:numPr>
                <w:ilvl w:val="0"/>
                <w:numId w:val="4"/>
              </w:numPr>
              <w:jc w:val="both"/>
              <w:rPr>
                <w:rFonts w:ascii="Arial" w:hAnsi="Arial" w:cs="Arial"/>
                <w:lang w:eastAsia="en-GB"/>
              </w:rPr>
            </w:pPr>
            <w:r w:rsidRPr="00F752FF">
              <w:rPr>
                <w:rFonts w:ascii="Arial" w:hAnsi="Arial" w:cs="Arial"/>
                <w:lang w:eastAsia="en-GB"/>
              </w:rPr>
              <w:t>The findings from the CSEW should be interpreted with caution, as the survey does not specifically target people who have had direct contact with the Force. Therefore, the results may not fully reflect the views of those with firsthand experience of Cleveland Police.</w:t>
            </w:r>
          </w:p>
          <w:p w14:paraId="2699464B" w14:textId="55CE6294" w:rsidR="006E4686" w:rsidRPr="00F752FF" w:rsidRDefault="006E4686" w:rsidP="00D742A0">
            <w:pPr>
              <w:pStyle w:val="ListParagraph"/>
              <w:numPr>
                <w:ilvl w:val="0"/>
                <w:numId w:val="4"/>
              </w:numPr>
              <w:jc w:val="both"/>
              <w:rPr>
                <w:rFonts w:ascii="Arial" w:hAnsi="Arial" w:cs="Arial"/>
                <w:lang w:eastAsia="en-GB"/>
              </w:rPr>
            </w:pPr>
            <w:r w:rsidRPr="00F752FF">
              <w:rPr>
                <w:rFonts w:ascii="Arial" w:hAnsi="Arial" w:cs="Arial"/>
                <w:lang w:eastAsia="en-GB"/>
              </w:rPr>
              <w:t>Although the Force has made clear improvements in the areas that influence public trust and confidence, these gains are not yet reflected in current CSEW results. Given the survey’s timing and reporting cycles, it is reasonable to expect these improvements to appear in future results.</w:t>
            </w:r>
          </w:p>
          <w:p w14:paraId="0CB071C7" w14:textId="0C61FFA6" w:rsidR="00B71266" w:rsidRPr="00F752FF" w:rsidRDefault="00B71266" w:rsidP="006E4686">
            <w:pPr>
              <w:pStyle w:val="ListParagraph"/>
              <w:numPr>
                <w:ilvl w:val="0"/>
                <w:numId w:val="4"/>
              </w:numPr>
              <w:jc w:val="both"/>
              <w:rPr>
                <w:rFonts w:ascii="Arial" w:hAnsi="Arial" w:cs="Arial"/>
                <w:lang w:eastAsia="en-GB"/>
              </w:rPr>
            </w:pPr>
            <w:r w:rsidRPr="00F752FF">
              <w:rPr>
                <w:rFonts w:ascii="Arial" w:hAnsi="Arial" w:cs="Arial"/>
                <w:lang w:eastAsia="en-GB"/>
              </w:rPr>
              <w:t>The Force acknowledges the need to more effectively communicate its commitment to being there for the public.</w:t>
            </w:r>
          </w:p>
          <w:p w14:paraId="0819A87A" w14:textId="77777777" w:rsidR="00B71266" w:rsidRPr="00F752FF" w:rsidRDefault="00B71266" w:rsidP="006E4686">
            <w:pPr>
              <w:pStyle w:val="ListParagraph"/>
              <w:numPr>
                <w:ilvl w:val="0"/>
                <w:numId w:val="4"/>
              </w:numPr>
              <w:jc w:val="both"/>
              <w:rPr>
                <w:rFonts w:ascii="Arial" w:hAnsi="Arial" w:cs="Arial"/>
                <w:lang w:eastAsia="en-GB"/>
              </w:rPr>
            </w:pPr>
            <w:r w:rsidRPr="00F752FF">
              <w:rPr>
                <w:rFonts w:ascii="Arial" w:hAnsi="Arial" w:cs="Arial"/>
                <w:lang w:eastAsia="en-GB"/>
              </w:rPr>
              <w:t>The Force is dedicated to improving its understanding of public confidence and strengthening its ability to positively influence it.</w:t>
            </w:r>
          </w:p>
          <w:p w14:paraId="21325EFD" w14:textId="3FE28241" w:rsidR="00B71266" w:rsidRPr="00F752FF" w:rsidRDefault="006E4686" w:rsidP="006E4686">
            <w:pPr>
              <w:pStyle w:val="ListParagraph"/>
              <w:numPr>
                <w:ilvl w:val="0"/>
                <w:numId w:val="4"/>
              </w:numPr>
              <w:jc w:val="both"/>
              <w:rPr>
                <w:rFonts w:ascii="Arial" w:hAnsi="Arial" w:cs="Arial"/>
                <w:lang w:eastAsia="en-GB"/>
              </w:rPr>
            </w:pPr>
            <w:r w:rsidRPr="00F752FF">
              <w:rPr>
                <w:rFonts w:ascii="Arial" w:hAnsi="Arial" w:cs="Arial"/>
                <w:lang w:eastAsia="en-GB"/>
              </w:rPr>
              <w:t>The Force will continue to prioritise effective service delivery, visibility and meaningful engagement.</w:t>
            </w:r>
          </w:p>
        </w:tc>
        <w:tc>
          <w:tcPr>
            <w:tcW w:w="3544" w:type="dxa"/>
            <w:vMerge/>
          </w:tcPr>
          <w:p w14:paraId="2472E45B" w14:textId="77777777" w:rsidR="0095163F" w:rsidRPr="00F752FF" w:rsidRDefault="0095163F" w:rsidP="00836D86">
            <w:pPr>
              <w:rPr>
                <w:rFonts w:ascii="Arial" w:hAnsi="Arial" w:cs="Arial"/>
              </w:rPr>
            </w:pPr>
          </w:p>
        </w:tc>
      </w:tr>
      <w:tr w:rsidR="0095163F" w:rsidRPr="00F752FF" w14:paraId="01726A96" w14:textId="77777777" w:rsidTr="1BFE7150">
        <w:trPr>
          <w:trHeight w:val="224"/>
          <w:jc w:val="center"/>
        </w:trPr>
        <w:tc>
          <w:tcPr>
            <w:tcW w:w="2972" w:type="dxa"/>
          </w:tcPr>
          <w:p w14:paraId="5A5A0D29" w14:textId="2A75150B" w:rsidR="0095163F" w:rsidRPr="00F752FF" w:rsidRDefault="00B77BF9" w:rsidP="00B77BF9">
            <w:pPr>
              <w:pStyle w:val="ListParagraph"/>
              <w:numPr>
                <w:ilvl w:val="0"/>
                <w:numId w:val="1"/>
              </w:numPr>
              <w:ind w:left="457"/>
              <w:rPr>
                <w:rFonts w:ascii="Arial" w:hAnsi="Arial" w:cs="Arial"/>
                <w:b/>
                <w:bCs/>
              </w:rPr>
            </w:pPr>
            <w:r w:rsidRPr="00F752FF">
              <w:rPr>
                <w:rFonts w:ascii="Arial" w:hAnsi="Arial" w:cs="Arial"/>
                <w:b/>
                <w:bCs/>
              </w:rPr>
              <w:t>How does the Force engage meaningfully and consistently with communities that have lower trust in policing, which groups show the lowest confidence, and what targeted actions are being taken to improve confidence in these areas?</w:t>
            </w:r>
          </w:p>
        </w:tc>
        <w:tc>
          <w:tcPr>
            <w:tcW w:w="8930" w:type="dxa"/>
          </w:tcPr>
          <w:p w14:paraId="542B8343" w14:textId="23E1BBE5" w:rsidR="00023835" w:rsidRPr="00F752FF" w:rsidRDefault="00023835" w:rsidP="00023835">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 xml:space="preserve">A range of factors influence public confidence, including several that are outside the Force’s direct control. However, the Force recognises that meaningful community engagement is an area where it can make a significant and positive </w:t>
            </w:r>
            <w:r w:rsidR="0029062C" w:rsidRPr="00F752FF">
              <w:rPr>
                <w:rFonts w:ascii="Arial" w:eastAsia="Times New Roman" w:hAnsi="Arial" w:cs="Arial"/>
                <w:lang w:eastAsia="en-GB"/>
              </w:rPr>
              <w:t>impact</w:t>
            </w:r>
            <w:r w:rsidRPr="00F752FF">
              <w:rPr>
                <w:rFonts w:ascii="Arial" w:eastAsia="Times New Roman" w:hAnsi="Arial" w:cs="Arial"/>
                <w:lang w:eastAsia="en-GB"/>
              </w:rPr>
              <w:t>.</w:t>
            </w:r>
          </w:p>
          <w:p w14:paraId="4DCC23E9" w14:textId="155A3BD6" w:rsidR="00023835" w:rsidRPr="00F752FF" w:rsidRDefault="00023835" w:rsidP="0029062C">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 xml:space="preserve">To support this, the Force has developed a comprehensive Engagement Strategy and Delivery </w:t>
            </w:r>
            <w:r w:rsidR="0029062C" w:rsidRPr="00F752FF">
              <w:rPr>
                <w:rFonts w:ascii="Arial" w:eastAsia="Times New Roman" w:hAnsi="Arial" w:cs="Arial"/>
                <w:lang w:eastAsia="en-GB"/>
              </w:rPr>
              <w:t>Plan. The</w:t>
            </w:r>
            <w:r w:rsidRPr="00F752FF">
              <w:rPr>
                <w:rFonts w:ascii="Arial" w:eastAsia="Times New Roman" w:hAnsi="Arial" w:cs="Arial"/>
                <w:lang w:eastAsia="en-GB"/>
              </w:rPr>
              <w:t xml:space="preserve"> plan sets out five strategic objectives supported by 70 individual actions.</w:t>
            </w:r>
            <w:r w:rsidR="0029062C" w:rsidRPr="00F752FF">
              <w:rPr>
                <w:rFonts w:ascii="Arial" w:eastAsia="Times New Roman" w:hAnsi="Arial" w:cs="Arial"/>
                <w:lang w:eastAsia="en-GB"/>
              </w:rPr>
              <w:t xml:space="preserve"> </w:t>
            </w:r>
            <w:r w:rsidRPr="00F752FF">
              <w:rPr>
                <w:rFonts w:ascii="Arial" w:eastAsia="Times New Roman" w:hAnsi="Arial" w:cs="Arial"/>
                <w:lang w:eastAsia="en-GB"/>
              </w:rPr>
              <w:t>The five objectives are:</w:t>
            </w:r>
          </w:p>
          <w:p w14:paraId="2B8A6D66" w14:textId="1497225B" w:rsidR="00023835" w:rsidRPr="00F752FF" w:rsidRDefault="00023835"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Improve public confidence and trust across all communities</w:t>
            </w:r>
          </w:p>
          <w:p w14:paraId="7893AE07" w14:textId="050DBA6E" w:rsidR="00023835" w:rsidRPr="00F752FF" w:rsidRDefault="00023835"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Increase transparency around Force activities and priorities</w:t>
            </w:r>
          </w:p>
          <w:p w14:paraId="548849CA" w14:textId="7AB5C3DE" w:rsidR="00023835" w:rsidRPr="00F752FF" w:rsidRDefault="00023835"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Gather a broad range of perspectives through listening and consultation to inform improvements</w:t>
            </w:r>
          </w:p>
          <w:p w14:paraId="0B839EFB" w14:textId="2A282328" w:rsidR="00023835" w:rsidRPr="00F752FF" w:rsidRDefault="00023835"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Empower communities to actively participate in matters that affect them</w:t>
            </w:r>
          </w:p>
          <w:p w14:paraId="5376B96E" w14:textId="60D98F5E" w:rsidR="00023835" w:rsidRPr="00F752FF" w:rsidRDefault="00023835"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Strengthen relationships and understanding between the police, partners, and communities</w:t>
            </w:r>
          </w:p>
          <w:p w14:paraId="40DD172C" w14:textId="77777777" w:rsidR="00023835" w:rsidRPr="00F752FF" w:rsidRDefault="00023835" w:rsidP="00023835">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In February, analysis showed that the Force dedicated approximately 800 hours solely to engagement activity. Over the past three months, 361 hours have been invested in formal engagement sessions.</w:t>
            </w:r>
          </w:p>
          <w:p w14:paraId="2F18018B" w14:textId="1B9C7EBE" w:rsidR="008919B3" w:rsidRPr="00F752FF" w:rsidRDefault="008919B3" w:rsidP="008919B3">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The data collected through the CSEW does not identify which specific communities or demographic groups have lower levels of confidence</w:t>
            </w:r>
            <w:r w:rsidR="0029062C" w:rsidRPr="00F752FF">
              <w:rPr>
                <w:rFonts w:ascii="Arial" w:eastAsia="Times New Roman" w:hAnsi="Arial" w:cs="Arial"/>
                <w:lang w:eastAsia="en-GB"/>
              </w:rPr>
              <w:t xml:space="preserve"> in policing</w:t>
            </w:r>
            <w:r w:rsidRPr="00F752FF">
              <w:rPr>
                <w:rFonts w:ascii="Arial" w:eastAsia="Times New Roman" w:hAnsi="Arial" w:cs="Arial"/>
                <w:lang w:eastAsia="en-GB"/>
              </w:rPr>
              <w:t>. To address this gap, the Force relies on intelligence data, which indicates that confidence levels are lower among BAME communities and women.</w:t>
            </w:r>
          </w:p>
          <w:p w14:paraId="47000783" w14:textId="72E0AF2A" w:rsidR="008919B3" w:rsidRPr="00F752FF" w:rsidRDefault="008919B3" w:rsidP="008919B3">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lastRenderedPageBreak/>
              <w:t>Ward profiles have been developed using profiling data and operational insight. These profiles are used to:</w:t>
            </w:r>
          </w:p>
          <w:p w14:paraId="672D1A82" w14:textId="3F44E34D" w:rsidR="008919B3" w:rsidRPr="00F752FF" w:rsidRDefault="008919B3"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Build a stronger understanding of local communities and their needs</w:t>
            </w:r>
          </w:p>
          <w:p w14:paraId="485ED8F9" w14:textId="04BFFF12" w:rsidR="008919B3" w:rsidRPr="00F752FF" w:rsidRDefault="008919B3"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Identify localities or groups that may present engagement challenges or demonstrate lower levels of trust and confidence</w:t>
            </w:r>
            <w:r w:rsidR="00700F60" w:rsidRPr="00F752FF">
              <w:rPr>
                <w:rFonts w:ascii="Arial" w:eastAsia="Times New Roman" w:hAnsi="Arial" w:cs="Arial"/>
                <w:lang w:eastAsia="en-GB"/>
              </w:rPr>
              <w:t xml:space="preserve"> - </w:t>
            </w:r>
            <w:r w:rsidRPr="00F752FF">
              <w:rPr>
                <w:rFonts w:ascii="Arial" w:eastAsia="Times New Roman" w:hAnsi="Arial" w:cs="Arial"/>
                <w:lang w:eastAsia="en-GB"/>
              </w:rPr>
              <w:t>often referred to as engagement deserts</w:t>
            </w:r>
          </w:p>
          <w:p w14:paraId="79B6A9EF" w14:textId="3E7603D4" w:rsidR="008919B3" w:rsidRPr="00F752FF" w:rsidRDefault="008919B3" w:rsidP="008919B3">
            <w:pPr>
              <w:pStyle w:val="ListParagraph"/>
              <w:numPr>
                <w:ilvl w:val="1"/>
                <w:numId w:val="5"/>
              </w:numPr>
              <w:jc w:val="both"/>
              <w:rPr>
                <w:rFonts w:ascii="Arial" w:eastAsia="Times New Roman" w:hAnsi="Arial" w:cs="Arial"/>
                <w:lang w:eastAsia="en-GB"/>
              </w:rPr>
            </w:pPr>
            <w:r w:rsidRPr="00F752FF">
              <w:rPr>
                <w:rFonts w:ascii="Arial" w:eastAsia="Times New Roman" w:hAnsi="Arial" w:cs="Arial"/>
                <w:lang w:eastAsia="en-GB"/>
              </w:rPr>
              <w:t xml:space="preserve">Inform the Engagement Delivery Plan and </w:t>
            </w:r>
            <w:r w:rsidR="006B253B" w:rsidRPr="00F752FF">
              <w:rPr>
                <w:rFonts w:ascii="Arial" w:eastAsia="Times New Roman" w:hAnsi="Arial" w:cs="Arial"/>
                <w:lang w:eastAsia="en-GB"/>
              </w:rPr>
              <w:t xml:space="preserve">drive </w:t>
            </w:r>
            <w:r w:rsidRPr="00F752FF">
              <w:rPr>
                <w:rFonts w:ascii="Arial" w:eastAsia="Times New Roman" w:hAnsi="Arial" w:cs="Arial"/>
                <w:lang w:eastAsia="en-GB"/>
              </w:rPr>
              <w:t>Neighbourhood Policing Team (NPT) engagement activity</w:t>
            </w:r>
          </w:p>
          <w:p w14:paraId="0A9CEFD7" w14:textId="66D1D3F2" w:rsidR="000D179A" w:rsidRPr="00F752FF" w:rsidRDefault="000D179A" w:rsidP="008919B3">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PCSOs have access to a wide range of data sources, enabling them to build a detailed understanding of the communities they serve.</w:t>
            </w:r>
          </w:p>
          <w:p w14:paraId="0DB03700" w14:textId="2A1EED2F" w:rsidR="00781BD3" w:rsidRPr="00F752FF" w:rsidRDefault="00781BD3" w:rsidP="008919B3">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The Force has invested in Acorn, a tool that provides detailed insight into geographic areas and their demographic characteristics. It helps to indicate how confident different groups may feel in the police and how likely they are to score on key confidence metrics. While Acorn offers useful assumptions and predictive indicators, it does not provide definitive or community</w:t>
            </w:r>
            <w:r w:rsidRPr="00F752FF">
              <w:rPr>
                <w:rFonts w:ascii="Cambria Math" w:eastAsia="Times New Roman" w:hAnsi="Cambria Math" w:cs="Cambria Math"/>
                <w:lang w:eastAsia="en-GB"/>
              </w:rPr>
              <w:t>‑</w:t>
            </w:r>
            <w:r w:rsidRPr="00F752FF">
              <w:rPr>
                <w:rFonts w:ascii="Arial" w:eastAsia="Times New Roman" w:hAnsi="Arial" w:cs="Arial"/>
                <w:lang w:eastAsia="en-GB"/>
              </w:rPr>
              <w:t>specific conclusions.</w:t>
            </w:r>
          </w:p>
          <w:p w14:paraId="3DC40EA4" w14:textId="1A994B65" w:rsidR="00592F72" w:rsidRPr="00F752FF" w:rsidRDefault="00AF4B51" w:rsidP="008919B3">
            <w:pPr>
              <w:pStyle w:val="ListParagraph"/>
              <w:numPr>
                <w:ilvl w:val="0"/>
                <w:numId w:val="5"/>
              </w:numPr>
              <w:jc w:val="both"/>
              <w:rPr>
                <w:rFonts w:ascii="Arial" w:eastAsia="Times New Roman" w:hAnsi="Arial" w:cs="Arial"/>
                <w:lang w:eastAsia="en-GB"/>
              </w:rPr>
            </w:pPr>
            <w:r w:rsidRPr="00F752FF">
              <w:rPr>
                <w:rFonts w:ascii="Arial" w:eastAsia="Times New Roman" w:hAnsi="Arial" w:cs="Arial"/>
                <w:lang w:eastAsia="en-GB"/>
              </w:rPr>
              <w:t>Unfortunately, despite the Force’s high levels of engagement activity, this has not yet resulted in increased levels of public confidence. The effectiveness of this activity cannot currently be measured, as the Force lacks the capability to track outcomes. The</w:t>
            </w:r>
            <w:r w:rsidR="004B4AFE" w:rsidRPr="00F752FF">
              <w:rPr>
                <w:rFonts w:ascii="Arial" w:eastAsia="Times New Roman" w:hAnsi="Arial" w:cs="Arial"/>
                <w:lang w:eastAsia="en-GB"/>
              </w:rPr>
              <w:t xml:space="preserve"> Force acknowledges that there i</w:t>
            </w:r>
            <w:r w:rsidRPr="00F752FF">
              <w:rPr>
                <w:rFonts w:ascii="Arial" w:eastAsia="Times New Roman" w:hAnsi="Arial" w:cs="Arial"/>
                <w:lang w:eastAsia="en-GB"/>
              </w:rPr>
              <w:t>s a clear need to better capture interactions, analyse them, and use the insights to drive more purposeful work within communities.</w:t>
            </w:r>
          </w:p>
          <w:p w14:paraId="4BB7C093" w14:textId="5CAC925C" w:rsidR="004B4AFE" w:rsidRPr="00F752FF" w:rsidRDefault="004B4AFE" w:rsidP="004B4AFE">
            <w:pPr>
              <w:pStyle w:val="ListParagraph"/>
              <w:numPr>
                <w:ilvl w:val="0"/>
                <w:numId w:val="5"/>
              </w:numPr>
              <w:rPr>
                <w:rFonts w:ascii="Arial" w:eastAsia="Times New Roman" w:hAnsi="Arial" w:cs="Arial"/>
                <w:lang w:eastAsia="en-GB"/>
              </w:rPr>
            </w:pPr>
            <w:r w:rsidRPr="00F752FF">
              <w:rPr>
                <w:rFonts w:ascii="Arial" w:eastAsia="Times New Roman" w:hAnsi="Arial" w:cs="Arial"/>
                <w:lang w:eastAsia="en-GB"/>
              </w:rPr>
              <w:t>A recent example of targeted engagement is the Celebrating Black Excellence event, which was designed to strengthen relationships and improve confidence within Black communities.</w:t>
            </w:r>
          </w:p>
        </w:tc>
        <w:tc>
          <w:tcPr>
            <w:tcW w:w="3544" w:type="dxa"/>
            <w:vMerge/>
          </w:tcPr>
          <w:p w14:paraId="6363A9B5" w14:textId="77777777" w:rsidR="0095163F" w:rsidRPr="00F752FF" w:rsidRDefault="0095163F" w:rsidP="00836D86">
            <w:pPr>
              <w:rPr>
                <w:rFonts w:ascii="Arial" w:hAnsi="Arial" w:cs="Arial"/>
              </w:rPr>
            </w:pPr>
          </w:p>
        </w:tc>
      </w:tr>
      <w:tr w:rsidR="0095163F" w:rsidRPr="00F752FF" w14:paraId="7A2DCE8A" w14:textId="77777777" w:rsidTr="1BFE7150">
        <w:trPr>
          <w:trHeight w:val="557"/>
          <w:jc w:val="center"/>
        </w:trPr>
        <w:tc>
          <w:tcPr>
            <w:tcW w:w="2972" w:type="dxa"/>
          </w:tcPr>
          <w:p w14:paraId="5D056802" w14:textId="77777777" w:rsidR="00B77BF9" w:rsidRPr="00F752FF" w:rsidRDefault="00B77BF9" w:rsidP="00B77BF9">
            <w:pPr>
              <w:pStyle w:val="ListParagraph"/>
              <w:numPr>
                <w:ilvl w:val="0"/>
                <w:numId w:val="1"/>
              </w:numPr>
              <w:ind w:left="457"/>
              <w:rPr>
                <w:rFonts w:ascii="Arial" w:hAnsi="Arial" w:cs="Arial"/>
                <w:b/>
                <w:bCs/>
                <w:color w:val="000000" w:themeColor="text1"/>
              </w:rPr>
            </w:pPr>
            <w:r w:rsidRPr="00F752FF">
              <w:rPr>
                <w:rFonts w:ascii="Arial" w:hAnsi="Arial" w:cs="Arial"/>
                <w:b/>
                <w:bCs/>
                <w:color w:val="000000" w:themeColor="text1"/>
              </w:rPr>
              <w:t>How is the Force aligning its priorities with what the public says matters most, and what tangible changes and evidence demonstrate this?</w:t>
            </w:r>
          </w:p>
          <w:p w14:paraId="5D5C525C" w14:textId="32435AF6" w:rsidR="0095163F" w:rsidRPr="00F752FF" w:rsidRDefault="0095163F" w:rsidP="00B77BF9">
            <w:pPr>
              <w:ind w:left="360"/>
              <w:rPr>
                <w:rFonts w:ascii="Arial" w:hAnsi="Arial" w:cs="Arial"/>
                <w:b/>
                <w:bCs/>
                <w:color w:val="000000" w:themeColor="text1"/>
              </w:rPr>
            </w:pPr>
          </w:p>
        </w:tc>
        <w:tc>
          <w:tcPr>
            <w:tcW w:w="8930" w:type="dxa"/>
          </w:tcPr>
          <w:p w14:paraId="7BD14342" w14:textId="7091725C" w:rsidR="000B7964" w:rsidRPr="00F752FF" w:rsidRDefault="000B7964" w:rsidP="000B7964">
            <w:pPr>
              <w:pStyle w:val="ListParagraph"/>
              <w:numPr>
                <w:ilvl w:val="0"/>
                <w:numId w:val="5"/>
              </w:numPr>
              <w:jc w:val="both"/>
              <w:rPr>
                <w:rFonts w:ascii="Arial" w:hAnsi="Arial" w:cs="Arial"/>
              </w:rPr>
            </w:pPr>
            <w:r w:rsidRPr="00F752FF">
              <w:rPr>
                <w:rFonts w:ascii="Arial" w:hAnsi="Arial" w:cs="Arial"/>
              </w:rPr>
              <w:t>The Force’s Strategic Plan has been refreshed and is due for publication in April 2026. The plan places a strong emphasis on protecting communities and safeguarding people, with clear buy</w:t>
            </w:r>
            <w:r w:rsidRPr="00F752FF">
              <w:rPr>
                <w:rFonts w:ascii="Cambria Math" w:hAnsi="Cambria Math" w:cs="Cambria Math"/>
              </w:rPr>
              <w:t>‑</w:t>
            </w:r>
            <w:r w:rsidRPr="00F752FF">
              <w:rPr>
                <w:rFonts w:ascii="Arial" w:hAnsi="Arial" w:cs="Arial"/>
              </w:rPr>
              <w:t>in from partners and staff.</w:t>
            </w:r>
          </w:p>
          <w:p w14:paraId="2AF3D717" w14:textId="77777777" w:rsidR="000B7964" w:rsidRPr="00F752FF" w:rsidRDefault="000B7964" w:rsidP="000B7964">
            <w:pPr>
              <w:pStyle w:val="ListParagraph"/>
              <w:numPr>
                <w:ilvl w:val="0"/>
                <w:numId w:val="16"/>
              </w:numPr>
              <w:jc w:val="both"/>
              <w:rPr>
                <w:rFonts w:ascii="Arial" w:hAnsi="Arial" w:cs="Arial"/>
              </w:rPr>
            </w:pPr>
            <w:r w:rsidRPr="00F752FF">
              <w:rPr>
                <w:rFonts w:ascii="Arial" w:hAnsi="Arial" w:cs="Arial"/>
              </w:rPr>
              <w:t>Building trust and confidence is a core theme embedded throughout the Chief Constable’s Strategic Plan.</w:t>
            </w:r>
          </w:p>
          <w:p w14:paraId="2BF86C6A" w14:textId="77777777" w:rsidR="000B7964" w:rsidRPr="00F752FF" w:rsidRDefault="000B7964" w:rsidP="000B7964">
            <w:pPr>
              <w:pStyle w:val="ListParagraph"/>
              <w:numPr>
                <w:ilvl w:val="0"/>
                <w:numId w:val="16"/>
              </w:numPr>
              <w:jc w:val="both"/>
              <w:rPr>
                <w:rFonts w:ascii="Arial" w:hAnsi="Arial" w:cs="Arial"/>
              </w:rPr>
            </w:pPr>
            <w:r w:rsidRPr="00F752FF">
              <w:rPr>
                <w:rFonts w:ascii="Arial" w:hAnsi="Arial" w:cs="Arial"/>
              </w:rPr>
              <w:t>The Force is committed to strengthening public confidence by continually improving the way policing is delivered across Cleveland.</w:t>
            </w:r>
          </w:p>
          <w:p w14:paraId="4905B566" w14:textId="4712BA3A" w:rsidR="000B7964" w:rsidRPr="00F752FF" w:rsidRDefault="000B7964" w:rsidP="000B7964">
            <w:pPr>
              <w:pStyle w:val="ListParagraph"/>
              <w:numPr>
                <w:ilvl w:val="0"/>
                <w:numId w:val="16"/>
              </w:numPr>
              <w:jc w:val="both"/>
              <w:rPr>
                <w:rFonts w:ascii="Arial" w:hAnsi="Arial" w:cs="Arial"/>
              </w:rPr>
            </w:pPr>
            <w:r w:rsidRPr="00F752FF">
              <w:rPr>
                <w:rFonts w:ascii="Arial" w:hAnsi="Arial" w:cs="Arial"/>
              </w:rPr>
              <w:t xml:space="preserve">A dedicated Confidence and Legitimacy Board, chaired by the Assistant Chief Constable, provides oversight and reports </w:t>
            </w:r>
            <w:r w:rsidR="004B4AFE" w:rsidRPr="00F752FF">
              <w:rPr>
                <w:rFonts w:ascii="Arial" w:hAnsi="Arial" w:cs="Arial"/>
              </w:rPr>
              <w:t>into the</w:t>
            </w:r>
            <w:r w:rsidRPr="00F752FF">
              <w:rPr>
                <w:rFonts w:ascii="Arial" w:hAnsi="Arial" w:cs="Arial"/>
              </w:rPr>
              <w:t xml:space="preserve"> Force IMPACT Board and subsequently the Executive Management Board.</w:t>
            </w:r>
          </w:p>
          <w:p w14:paraId="4D817357" w14:textId="77777777" w:rsidR="000B7964" w:rsidRPr="00F752FF" w:rsidRDefault="000B7964" w:rsidP="000B7964">
            <w:pPr>
              <w:pStyle w:val="ListParagraph"/>
              <w:numPr>
                <w:ilvl w:val="0"/>
                <w:numId w:val="16"/>
              </w:numPr>
              <w:jc w:val="both"/>
              <w:rPr>
                <w:rFonts w:ascii="Arial" w:hAnsi="Arial" w:cs="Arial"/>
              </w:rPr>
            </w:pPr>
            <w:r w:rsidRPr="00F752FF">
              <w:rPr>
                <w:rFonts w:ascii="Arial" w:hAnsi="Arial" w:cs="Arial"/>
              </w:rPr>
              <w:t>The Confidence and Legitimacy Board maintains strong links with the Independent Ethics Committee, as well as both tactical and strategic organisational learning boards.</w:t>
            </w:r>
          </w:p>
          <w:p w14:paraId="06679F2D" w14:textId="77777777" w:rsidR="000B7964" w:rsidRPr="00F752FF" w:rsidRDefault="000B7964" w:rsidP="000B7964">
            <w:pPr>
              <w:pStyle w:val="ListParagraph"/>
              <w:numPr>
                <w:ilvl w:val="0"/>
                <w:numId w:val="16"/>
              </w:numPr>
              <w:jc w:val="both"/>
              <w:rPr>
                <w:rFonts w:ascii="Arial" w:hAnsi="Arial" w:cs="Arial"/>
              </w:rPr>
            </w:pPr>
            <w:r w:rsidRPr="00F752FF">
              <w:rPr>
                <w:rFonts w:ascii="Arial" w:hAnsi="Arial" w:cs="Arial"/>
              </w:rPr>
              <w:lastRenderedPageBreak/>
              <w:t>A range of external scrutiny panels, tactical groups, and the Standards and Ethics Board feed directly into the Confidence and Legitimacy Board, ensuring robust challenge and transparency.</w:t>
            </w:r>
          </w:p>
          <w:p w14:paraId="089785ED" w14:textId="77777777" w:rsidR="000B7964" w:rsidRPr="00F752FF" w:rsidRDefault="000B7964" w:rsidP="000B7964">
            <w:pPr>
              <w:pStyle w:val="ListParagraph"/>
              <w:numPr>
                <w:ilvl w:val="0"/>
                <w:numId w:val="16"/>
              </w:numPr>
              <w:jc w:val="both"/>
              <w:rPr>
                <w:rFonts w:ascii="Arial" w:hAnsi="Arial" w:cs="Arial"/>
              </w:rPr>
            </w:pPr>
            <w:r w:rsidRPr="00F752FF">
              <w:rPr>
                <w:rFonts w:ascii="Arial" w:hAnsi="Arial" w:cs="Arial"/>
              </w:rPr>
              <w:t>The Force’s governance structure collectively supports its ambition to build and trust and confidence within the communities it serves.</w:t>
            </w:r>
          </w:p>
          <w:p w14:paraId="39D08C0F" w14:textId="4B56C1C6" w:rsidR="004D7561" w:rsidRPr="00F752FF" w:rsidRDefault="000B7964" w:rsidP="000B7964">
            <w:pPr>
              <w:pStyle w:val="ListParagraph"/>
              <w:numPr>
                <w:ilvl w:val="0"/>
                <w:numId w:val="16"/>
              </w:numPr>
              <w:jc w:val="both"/>
              <w:rPr>
                <w:rFonts w:ascii="Arial" w:hAnsi="Arial" w:cs="Arial"/>
              </w:rPr>
            </w:pPr>
            <w:r w:rsidRPr="00F752FF">
              <w:rPr>
                <w:rFonts w:ascii="Arial" w:hAnsi="Arial" w:cs="Arial"/>
              </w:rPr>
              <w:t>Issues relating to trust and confidence are routinely incorporated into local performance discussions at both team and individual levels.</w:t>
            </w:r>
          </w:p>
        </w:tc>
        <w:tc>
          <w:tcPr>
            <w:tcW w:w="3544" w:type="dxa"/>
            <w:vMerge/>
          </w:tcPr>
          <w:p w14:paraId="1099DFDD" w14:textId="77777777" w:rsidR="0095163F" w:rsidRPr="00F752FF" w:rsidRDefault="0095163F" w:rsidP="00836D86">
            <w:pPr>
              <w:rPr>
                <w:rFonts w:ascii="Arial" w:hAnsi="Arial" w:cs="Arial"/>
              </w:rPr>
            </w:pPr>
          </w:p>
        </w:tc>
      </w:tr>
      <w:tr w:rsidR="0095163F" w:rsidRPr="00F752FF" w14:paraId="08EBE7FA" w14:textId="77777777" w:rsidTr="1BFE7150">
        <w:trPr>
          <w:trHeight w:val="122"/>
          <w:jc w:val="center"/>
        </w:trPr>
        <w:tc>
          <w:tcPr>
            <w:tcW w:w="2972" w:type="dxa"/>
          </w:tcPr>
          <w:p w14:paraId="4BE0AE6E" w14:textId="77777777" w:rsidR="00B77BF9" w:rsidRPr="00F752FF" w:rsidRDefault="00B77BF9" w:rsidP="00B77BF9">
            <w:pPr>
              <w:pStyle w:val="ListParagraph"/>
              <w:numPr>
                <w:ilvl w:val="0"/>
                <w:numId w:val="1"/>
              </w:numPr>
              <w:tabs>
                <w:tab w:val="left" w:pos="457"/>
              </w:tabs>
              <w:ind w:left="457"/>
              <w:rPr>
                <w:rFonts w:ascii="Arial" w:hAnsi="Arial" w:cs="Arial"/>
                <w:b/>
                <w:bCs/>
                <w:color w:val="000000" w:themeColor="text1"/>
              </w:rPr>
            </w:pPr>
            <w:r w:rsidRPr="00F752FF">
              <w:rPr>
                <w:rFonts w:ascii="Arial" w:hAnsi="Arial" w:cs="Arial"/>
                <w:b/>
                <w:bCs/>
                <w:color w:val="000000" w:themeColor="text1"/>
              </w:rPr>
              <w:t>In line with the Cleveland Police and Crime Plan 2024 - 2029, what assurance and evidence can be provided to the PCC that:</w:t>
            </w:r>
          </w:p>
          <w:p w14:paraId="6F09BF4A" w14:textId="77777777" w:rsidR="00B77BF9" w:rsidRPr="00F752FF" w:rsidRDefault="00B77BF9" w:rsidP="00B77BF9">
            <w:pPr>
              <w:pStyle w:val="ListParagraph"/>
              <w:numPr>
                <w:ilvl w:val="1"/>
                <w:numId w:val="6"/>
              </w:numPr>
              <w:ind w:left="883"/>
              <w:rPr>
                <w:rFonts w:ascii="Arial" w:hAnsi="Arial" w:cs="Arial"/>
                <w:b/>
                <w:bCs/>
                <w:color w:val="000000" w:themeColor="text1"/>
              </w:rPr>
            </w:pPr>
            <w:r w:rsidRPr="00F752FF">
              <w:rPr>
                <w:rFonts w:ascii="Arial" w:hAnsi="Arial" w:cs="Arial"/>
                <w:b/>
                <w:bCs/>
                <w:color w:val="000000" w:themeColor="text1"/>
              </w:rPr>
              <w:t xml:space="preserve">police powers - such as stop and search, use of force, and arrest - are being applied fairly, proportionately, and consistently, and that learning from internal and external scrutiny is being acted </w:t>
            </w:r>
            <w:proofErr w:type="gramStart"/>
            <w:r w:rsidRPr="00F752FF">
              <w:rPr>
                <w:rFonts w:ascii="Arial" w:hAnsi="Arial" w:cs="Arial"/>
                <w:b/>
                <w:bCs/>
                <w:color w:val="000000" w:themeColor="text1"/>
              </w:rPr>
              <w:t>upon;</w:t>
            </w:r>
            <w:proofErr w:type="gramEnd"/>
          </w:p>
          <w:p w14:paraId="480E0A60" w14:textId="77777777" w:rsidR="00B77BF9" w:rsidRPr="00F752FF" w:rsidRDefault="00B77BF9" w:rsidP="00B77BF9">
            <w:pPr>
              <w:pStyle w:val="ListParagraph"/>
              <w:numPr>
                <w:ilvl w:val="1"/>
                <w:numId w:val="6"/>
              </w:numPr>
              <w:ind w:left="883"/>
              <w:rPr>
                <w:rFonts w:ascii="Arial" w:hAnsi="Arial" w:cs="Arial"/>
                <w:b/>
                <w:bCs/>
                <w:color w:val="000000" w:themeColor="text1"/>
              </w:rPr>
            </w:pPr>
            <w:r w:rsidRPr="00F752FF">
              <w:rPr>
                <w:rFonts w:ascii="Arial" w:hAnsi="Arial" w:cs="Arial"/>
                <w:b/>
                <w:bCs/>
                <w:color w:val="000000" w:themeColor="text1"/>
              </w:rPr>
              <w:t>the Force is improving the timeliness and quality of investigations and case files, and that these improvements are leading to faster and more effective criminal justice outcomes for victims; and</w:t>
            </w:r>
          </w:p>
          <w:p w14:paraId="4081CA3F" w14:textId="05C8A61B" w:rsidR="0095163F" w:rsidRPr="00F752FF" w:rsidRDefault="00B77BF9" w:rsidP="00B77BF9">
            <w:pPr>
              <w:pStyle w:val="ListParagraph"/>
              <w:numPr>
                <w:ilvl w:val="1"/>
                <w:numId w:val="6"/>
              </w:numPr>
              <w:ind w:left="883"/>
              <w:rPr>
                <w:rFonts w:ascii="Arial" w:hAnsi="Arial" w:cs="Arial"/>
                <w:b/>
                <w:bCs/>
                <w:color w:val="000000" w:themeColor="text1"/>
              </w:rPr>
            </w:pPr>
            <w:r w:rsidRPr="00F752FF">
              <w:rPr>
                <w:rFonts w:ascii="Arial" w:hAnsi="Arial" w:cs="Arial"/>
                <w:b/>
                <w:bCs/>
                <w:color w:val="000000" w:themeColor="text1"/>
              </w:rPr>
              <w:lastRenderedPageBreak/>
              <w:t>learning from complaints and compliments is being systematically captured, analysed, and used to drive demonstrable improvements in service quality and public confidence.</w:t>
            </w:r>
          </w:p>
        </w:tc>
        <w:tc>
          <w:tcPr>
            <w:tcW w:w="8930" w:type="dxa"/>
          </w:tcPr>
          <w:p w14:paraId="17EA3AD4" w14:textId="77777777" w:rsidR="000E163A" w:rsidRPr="00F752FF" w:rsidRDefault="000E163A" w:rsidP="00D02ABC">
            <w:pPr>
              <w:pStyle w:val="NoSpacing"/>
              <w:ind w:left="360"/>
              <w:jc w:val="both"/>
              <w:rPr>
                <w:rFonts w:ascii="Arial" w:hAnsi="Arial" w:cs="Arial"/>
                <w:u w:val="single"/>
              </w:rPr>
            </w:pPr>
            <w:r w:rsidRPr="00F752FF">
              <w:rPr>
                <w:rFonts w:ascii="Arial" w:hAnsi="Arial" w:cs="Arial"/>
                <w:u w:val="single"/>
              </w:rPr>
              <w:lastRenderedPageBreak/>
              <w:t>Ensuring fair and proportionate use of police powers</w:t>
            </w:r>
          </w:p>
          <w:p w14:paraId="0FDF93F0" w14:textId="45DAB63D" w:rsidR="000E163A" w:rsidRPr="00F752FF" w:rsidRDefault="000E163A" w:rsidP="000E163A">
            <w:pPr>
              <w:pStyle w:val="NoSpacing"/>
              <w:numPr>
                <w:ilvl w:val="0"/>
                <w:numId w:val="3"/>
              </w:numPr>
              <w:jc w:val="both"/>
              <w:rPr>
                <w:rFonts w:ascii="Arial" w:hAnsi="Arial" w:cs="Arial"/>
              </w:rPr>
            </w:pPr>
            <w:r w:rsidRPr="00F752FF">
              <w:rPr>
                <w:rFonts w:ascii="Arial" w:hAnsi="Arial" w:cs="Arial"/>
              </w:rPr>
              <w:t>The most recent HMICFRS PEEL 2023-25 found that the Force is good at using police powers and treating people fairly and respectfully.</w:t>
            </w:r>
          </w:p>
          <w:p w14:paraId="0F3B0527" w14:textId="728E2331" w:rsidR="000E163A" w:rsidRPr="00F752FF" w:rsidRDefault="000E163A" w:rsidP="000E163A">
            <w:pPr>
              <w:pStyle w:val="NoSpacing"/>
              <w:numPr>
                <w:ilvl w:val="0"/>
                <w:numId w:val="3"/>
              </w:numPr>
              <w:jc w:val="both"/>
              <w:rPr>
                <w:rFonts w:ascii="Arial" w:hAnsi="Arial" w:cs="Arial"/>
              </w:rPr>
            </w:pPr>
            <w:r w:rsidRPr="00F752FF">
              <w:rPr>
                <w:rFonts w:ascii="Arial" w:hAnsi="Arial" w:cs="Arial"/>
              </w:rPr>
              <w:t>The Force has identified senior leads at Superintendent level who provide assurance that police powers are exercised fairly and proportionately.</w:t>
            </w:r>
          </w:p>
          <w:p w14:paraId="66416E06" w14:textId="51E8F141" w:rsidR="000E163A" w:rsidRPr="00F752FF" w:rsidRDefault="000E163A" w:rsidP="000E163A">
            <w:pPr>
              <w:pStyle w:val="NoSpacing"/>
              <w:numPr>
                <w:ilvl w:val="0"/>
                <w:numId w:val="3"/>
              </w:numPr>
              <w:jc w:val="both"/>
              <w:rPr>
                <w:rFonts w:ascii="Arial" w:hAnsi="Arial" w:cs="Arial"/>
              </w:rPr>
            </w:pPr>
            <w:r w:rsidRPr="00F752FF">
              <w:rPr>
                <w:rFonts w:ascii="Arial" w:hAnsi="Arial" w:cs="Arial"/>
              </w:rPr>
              <w:t>Fair and proportionate use of powers is a key feature within local performance frameworks at all levels of the organisation.</w:t>
            </w:r>
          </w:p>
          <w:p w14:paraId="7726D99B" w14:textId="707C3E86" w:rsidR="000E163A" w:rsidRPr="00F752FF" w:rsidRDefault="000E163A" w:rsidP="000E163A">
            <w:pPr>
              <w:pStyle w:val="NoSpacing"/>
              <w:numPr>
                <w:ilvl w:val="0"/>
                <w:numId w:val="3"/>
              </w:numPr>
              <w:jc w:val="both"/>
              <w:rPr>
                <w:rFonts w:ascii="Arial" w:hAnsi="Arial" w:cs="Arial"/>
              </w:rPr>
            </w:pPr>
            <w:r w:rsidRPr="00F752FF">
              <w:rPr>
                <w:rFonts w:ascii="Arial" w:hAnsi="Arial" w:cs="Arial"/>
              </w:rPr>
              <w:t>Tactical meetings are held to monitor and discuss the use of police powers, enabling early identification of potential issues.</w:t>
            </w:r>
          </w:p>
          <w:p w14:paraId="2877120F" w14:textId="7C73582B" w:rsidR="000E163A" w:rsidRPr="00F752FF" w:rsidRDefault="000E163A" w:rsidP="000E163A">
            <w:pPr>
              <w:pStyle w:val="NoSpacing"/>
              <w:numPr>
                <w:ilvl w:val="0"/>
                <w:numId w:val="3"/>
              </w:numPr>
              <w:jc w:val="both"/>
              <w:rPr>
                <w:rFonts w:ascii="Arial" w:hAnsi="Arial" w:cs="Arial"/>
              </w:rPr>
            </w:pPr>
            <w:r w:rsidRPr="00F752FF">
              <w:rPr>
                <w:rFonts w:ascii="Arial" w:hAnsi="Arial" w:cs="Arial"/>
              </w:rPr>
              <w:t>This area is a regular item at both the Confidence and Legitimacy Group and the Force IMPACT Board, ensuring robust Chief Officer oversight.</w:t>
            </w:r>
          </w:p>
          <w:p w14:paraId="7AFCA1F0" w14:textId="29382D6D" w:rsidR="000E163A" w:rsidRPr="00F752FF" w:rsidRDefault="000E163A" w:rsidP="000E163A">
            <w:pPr>
              <w:pStyle w:val="NoSpacing"/>
              <w:numPr>
                <w:ilvl w:val="0"/>
                <w:numId w:val="3"/>
              </w:numPr>
              <w:jc w:val="both"/>
              <w:rPr>
                <w:rFonts w:ascii="Arial" w:hAnsi="Arial" w:cs="Arial"/>
              </w:rPr>
            </w:pPr>
            <w:r w:rsidRPr="00F752FF">
              <w:rPr>
                <w:rFonts w:ascii="Arial" w:hAnsi="Arial" w:cs="Arial"/>
              </w:rPr>
              <w:t>When potential issues are identified, detailed analysis and dip sampling are undertaken to provide deeper insight and understanding - for example, examining high arrest rates compared with use of force.</w:t>
            </w:r>
          </w:p>
          <w:p w14:paraId="48DD61E2" w14:textId="30963E6D" w:rsidR="000E163A" w:rsidRPr="00F752FF" w:rsidRDefault="000E163A" w:rsidP="000E163A">
            <w:pPr>
              <w:pStyle w:val="NoSpacing"/>
              <w:numPr>
                <w:ilvl w:val="0"/>
                <w:numId w:val="3"/>
              </w:numPr>
              <w:jc w:val="both"/>
              <w:rPr>
                <w:rFonts w:ascii="Arial" w:hAnsi="Arial" w:cs="Arial"/>
              </w:rPr>
            </w:pPr>
            <w:r w:rsidRPr="00F752FF">
              <w:rPr>
                <w:rFonts w:ascii="Arial" w:hAnsi="Arial" w:cs="Arial"/>
              </w:rPr>
              <w:t>The Force is reviewing its data</w:t>
            </w:r>
            <w:r w:rsidRPr="00F752FF">
              <w:rPr>
                <w:rFonts w:ascii="Cambria Math" w:hAnsi="Cambria Math" w:cs="Cambria Math"/>
              </w:rPr>
              <w:t>‑</w:t>
            </w:r>
            <w:r w:rsidRPr="00F752FF">
              <w:rPr>
                <w:rFonts w:ascii="Arial" w:hAnsi="Arial" w:cs="Arial"/>
              </w:rPr>
              <w:t>capture systems to ensure additional narrative context can be recorded where needed.</w:t>
            </w:r>
          </w:p>
          <w:p w14:paraId="7000F1F1" w14:textId="0EE59A9E" w:rsidR="000E163A" w:rsidRPr="00F752FF" w:rsidRDefault="000E163A" w:rsidP="000E163A">
            <w:pPr>
              <w:pStyle w:val="NoSpacing"/>
              <w:numPr>
                <w:ilvl w:val="0"/>
                <w:numId w:val="3"/>
              </w:numPr>
              <w:jc w:val="both"/>
              <w:rPr>
                <w:rFonts w:ascii="Arial" w:hAnsi="Arial" w:cs="Arial"/>
              </w:rPr>
            </w:pPr>
            <w:r w:rsidRPr="00F752FF">
              <w:rPr>
                <w:rFonts w:ascii="Arial" w:hAnsi="Arial" w:cs="Arial"/>
              </w:rPr>
              <w:t>The Force has a Stop and Search and Use of Force Scrutiny Panel, which provides independent oversight of police powers. Its central aim is to ensure policing is fair and proportionate. The next meeting is scheduled for 26 March 2026.</w:t>
            </w:r>
          </w:p>
          <w:p w14:paraId="328C23BC" w14:textId="77777777" w:rsidR="000645BC" w:rsidRPr="00F752FF" w:rsidRDefault="000E163A" w:rsidP="000E163A">
            <w:pPr>
              <w:pStyle w:val="NoSpacing"/>
              <w:numPr>
                <w:ilvl w:val="0"/>
                <w:numId w:val="3"/>
              </w:numPr>
              <w:jc w:val="both"/>
              <w:rPr>
                <w:rFonts w:ascii="Arial" w:hAnsi="Arial" w:cs="Arial"/>
              </w:rPr>
            </w:pPr>
            <w:r w:rsidRPr="00F752FF">
              <w:rPr>
                <w:rFonts w:ascii="Arial" w:hAnsi="Arial" w:cs="Arial"/>
              </w:rPr>
              <w:t>All incidents are scrutinised by sergeants and the Quality and Assurance Team to assess the lawfulness of grounds and to understand any disproportionality.</w:t>
            </w:r>
            <w:r w:rsidR="000645BC" w:rsidRPr="00F752FF">
              <w:rPr>
                <w:rFonts w:ascii="Arial" w:hAnsi="Arial" w:cs="Arial"/>
              </w:rPr>
              <w:t xml:space="preserve"> </w:t>
            </w:r>
          </w:p>
          <w:p w14:paraId="5C675CED" w14:textId="10819E5A" w:rsidR="006543B0" w:rsidRPr="00F752FF" w:rsidRDefault="000645BC" w:rsidP="000E163A">
            <w:pPr>
              <w:pStyle w:val="NoSpacing"/>
              <w:numPr>
                <w:ilvl w:val="0"/>
                <w:numId w:val="3"/>
              </w:numPr>
              <w:jc w:val="both"/>
              <w:rPr>
                <w:rFonts w:ascii="Arial" w:hAnsi="Arial" w:cs="Arial"/>
              </w:rPr>
            </w:pPr>
            <w:r w:rsidRPr="00F752FF">
              <w:rPr>
                <w:rFonts w:ascii="Arial" w:hAnsi="Arial" w:cs="Arial"/>
              </w:rPr>
              <w:t xml:space="preserve">Home Office insight data shows that the Force has one of the lowest rates of disproportionality. </w:t>
            </w:r>
            <w:r w:rsidR="00D02ABC" w:rsidRPr="00F752FF">
              <w:rPr>
                <w:rFonts w:ascii="Arial" w:hAnsi="Arial" w:cs="Arial"/>
              </w:rPr>
              <w:t>However, t</w:t>
            </w:r>
            <w:r w:rsidRPr="00F752FF">
              <w:rPr>
                <w:rFonts w:ascii="Arial" w:hAnsi="Arial" w:cs="Arial"/>
              </w:rPr>
              <w:t>he Force is not complacent about this</w:t>
            </w:r>
            <w:r w:rsidR="00D02ABC" w:rsidRPr="00F752FF">
              <w:rPr>
                <w:rFonts w:ascii="Arial" w:hAnsi="Arial" w:cs="Arial"/>
              </w:rPr>
              <w:t xml:space="preserve"> </w:t>
            </w:r>
            <w:r w:rsidRPr="00F752FF">
              <w:rPr>
                <w:rFonts w:ascii="Arial" w:hAnsi="Arial" w:cs="Arial"/>
              </w:rPr>
              <w:t>and remains committed to continuous improvement.</w:t>
            </w:r>
          </w:p>
          <w:p w14:paraId="3132DA31" w14:textId="77777777" w:rsidR="000E163A" w:rsidRPr="00F752FF" w:rsidRDefault="000645BC" w:rsidP="000E163A">
            <w:pPr>
              <w:pStyle w:val="NoSpacing"/>
              <w:numPr>
                <w:ilvl w:val="0"/>
                <w:numId w:val="3"/>
              </w:numPr>
              <w:jc w:val="both"/>
              <w:rPr>
                <w:rFonts w:ascii="Arial" w:hAnsi="Arial" w:cs="Arial"/>
              </w:rPr>
            </w:pPr>
            <w:r w:rsidRPr="00F752FF">
              <w:rPr>
                <w:rFonts w:ascii="Arial" w:hAnsi="Arial" w:cs="Arial"/>
              </w:rPr>
              <w:t>The Force records a high rate of arrests compared with the use of force. This is understood to be influenced by compliant handcuffing, which some other forces may not routinely record.</w:t>
            </w:r>
          </w:p>
          <w:p w14:paraId="5FB4E1B8" w14:textId="72824C91" w:rsidR="000645BC" w:rsidRPr="00F752FF" w:rsidRDefault="000645BC" w:rsidP="000E163A">
            <w:pPr>
              <w:pStyle w:val="NoSpacing"/>
              <w:numPr>
                <w:ilvl w:val="0"/>
                <w:numId w:val="3"/>
              </w:numPr>
              <w:jc w:val="both"/>
              <w:rPr>
                <w:rFonts w:ascii="Arial" w:hAnsi="Arial" w:cs="Arial"/>
              </w:rPr>
            </w:pPr>
            <w:r w:rsidRPr="00F752FF">
              <w:rPr>
                <w:rFonts w:ascii="Arial" w:hAnsi="Arial" w:cs="Arial"/>
              </w:rPr>
              <w:t xml:space="preserve">The Force will continue to closely monitor the use of police powers to </w:t>
            </w:r>
            <w:r w:rsidR="00D02ABC" w:rsidRPr="00F752FF">
              <w:rPr>
                <w:rFonts w:ascii="Arial" w:hAnsi="Arial" w:cs="Arial"/>
              </w:rPr>
              <w:t xml:space="preserve">assist in </w:t>
            </w:r>
            <w:r w:rsidRPr="00F752FF">
              <w:rPr>
                <w:rFonts w:ascii="Arial" w:hAnsi="Arial" w:cs="Arial"/>
              </w:rPr>
              <w:t>ensur</w:t>
            </w:r>
            <w:r w:rsidR="00D02ABC" w:rsidRPr="00F752FF">
              <w:rPr>
                <w:rFonts w:ascii="Arial" w:hAnsi="Arial" w:cs="Arial"/>
              </w:rPr>
              <w:t>ing</w:t>
            </w:r>
            <w:r w:rsidRPr="00F752FF">
              <w:rPr>
                <w:rFonts w:ascii="Arial" w:hAnsi="Arial" w:cs="Arial"/>
              </w:rPr>
              <w:t xml:space="preserve"> full compliance with legislation, policy and national standards.</w:t>
            </w:r>
          </w:p>
          <w:p w14:paraId="13CC5F83" w14:textId="77777777" w:rsidR="008346F4" w:rsidRPr="00F752FF" w:rsidRDefault="008346F4" w:rsidP="00D02ABC">
            <w:pPr>
              <w:pStyle w:val="NoSpacing"/>
              <w:ind w:left="360"/>
              <w:jc w:val="both"/>
              <w:rPr>
                <w:rFonts w:ascii="Arial" w:hAnsi="Arial" w:cs="Arial"/>
                <w:u w:val="single"/>
              </w:rPr>
            </w:pPr>
            <w:r w:rsidRPr="00F752FF">
              <w:rPr>
                <w:rFonts w:ascii="Arial" w:hAnsi="Arial" w:cs="Arial"/>
                <w:u w:val="single"/>
              </w:rPr>
              <w:t>Crime investigations</w:t>
            </w:r>
          </w:p>
          <w:p w14:paraId="25D7B470" w14:textId="04DE4E97" w:rsidR="00FB2CF6" w:rsidRPr="00F752FF" w:rsidRDefault="00D02ABC" w:rsidP="00FB2CF6">
            <w:pPr>
              <w:pStyle w:val="NoSpacing"/>
              <w:numPr>
                <w:ilvl w:val="0"/>
                <w:numId w:val="29"/>
              </w:numPr>
              <w:jc w:val="both"/>
              <w:rPr>
                <w:rFonts w:ascii="Arial" w:hAnsi="Arial" w:cs="Arial"/>
              </w:rPr>
            </w:pPr>
            <w:r w:rsidRPr="00F752FF">
              <w:rPr>
                <w:rFonts w:ascii="Arial" w:hAnsi="Arial" w:cs="Arial"/>
              </w:rPr>
              <w:t>I</w:t>
            </w:r>
            <w:r w:rsidR="00FB2CF6" w:rsidRPr="00F752FF">
              <w:rPr>
                <w:rFonts w:ascii="Arial" w:hAnsi="Arial" w:cs="Arial"/>
              </w:rPr>
              <w:t>mproving service effectiveness, particularly in relation to timeliness and quality, remains a key priority</w:t>
            </w:r>
            <w:r w:rsidRPr="00F752FF">
              <w:rPr>
                <w:rFonts w:ascii="Arial" w:hAnsi="Arial" w:cs="Arial"/>
              </w:rPr>
              <w:t xml:space="preserve"> for the Force</w:t>
            </w:r>
            <w:r w:rsidR="00FB2CF6" w:rsidRPr="00F752FF">
              <w:rPr>
                <w:rFonts w:ascii="Arial" w:hAnsi="Arial" w:cs="Arial"/>
              </w:rPr>
              <w:t xml:space="preserve">. </w:t>
            </w:r>
            <w:r w:rsidRPr="00F752FF">
              <w:rPr>
                <w:rFonts w:ascii="Arial" w:hAnsi="Arial" w:cs="Arial"/>
              </w:rPr>
              <w:t xml:space="preserve">Backlogs across the wider criminal justice </w:t>
            </w:r>
            <w:r w:rsidRPr="00F752FF">
              <w:rPr>
                <w:rFonts w:ascii="Arial" w:hAnsi="Arial" w:cs="Arial"/>
              </w:rPr>
              <w:lastRenderedPageBreak/>
              <w:t>system can impact public confidence, however, the Force remains committed to driving more effective outcomes for victims and communities</w:t>
            </w:r>
          </w:p>
          <w:p w14:paraId="63BF1D85" w14:textId="77777777" w:rsidR="00FB2CF6" w:rsidRPr="00F752FF" w:rsidRDefault="00FB2CF6" w:rsidP="00FB2CF6">
            <w:pPr>
              <w:pStyle w:val="NoSpacing"/>
              <w:numPr>
                <w:ilvl w:val="0"/>
                <w:numId w:val="29"/>
              </w:numPr>
              <w:jc w:val="both"/>
              <w:rPr>
                <w:rFonts w:ascii="Arial" w:hAnsi="Arial" w:cs="Arial"/>
              </w:rPr>
            </w:pPr>
            <w:r w:rsidRPr="00F752FF">
              <w:rPr>
                <w:rFonts w:ascii="Arial" w:hAnsi="Arial" w:cs="Arial"/>
              </w:rPr>
              <w:t>In terms of improving criminal justice outcomes:</w:t>
            </w:r>
          </w:p>
          <w:p w14:paraId="27673CC6" w14:textId="77777777" w:rsidR="00FB2CF6" w:rsidRPr="00F752FF" w:rsidRDefault="00FB2CF6" w:rsidP="00FB2CF6">
            <w:pPr>
              <w:pStyle w:val="NoSpacing"/>
              <w:numPr>
                <w:ilvl w:val="1"/>
                <w:numId w:val="29"/>
              </w:numPr>
              <w:jc w:val="both"/>
              <w:rPr>
                <w:rFonts w:ascii="Arial" w:hAnsi="Arial" w:cs="Arial"/>
              </w:rPr>
            </w:pPr>
            <w:r w:rsidRPr="00F752FF">
              <w:rPr>
                <w:rFonts w:ascii="Arial" w:hAnsi="Arial" w:cs="Arial"/>
              </w:rPr>
              <w:t>The Force continues to increase its solved crime rate, currently at 16.2%, slightly above the national average of 16.1%.</w:t>
            </w:r>
          </w:p>
          <w:p w14:paraId="2AC6D099" w14:textId="39966F44" w:rsidR="00FB2CF6" w:rsidRPr="00F752FF" w:rsidRDefault="00FB2CF6" w:rsidP="00FB2CF6">
            <w:pPr>
              <w:pStyle w:val="NoSpacing"/>
              <w:numPr>
                <w:ilvl w:val="1"/>
                <w:numId w:val="29"/>
              </w:numPr>
              <w:jc w:val="both"/>
              <w:rPr>
                <w:rFonts w:ascii="Arial" w:hAnsi="Arial" w:cs="Arial"/>
              </w:rPr>
            </w:pPr>
            <w:r w:rsidRPr="00F752FF">
              <w:rPr>
                <w:rFonts w:ascii="Arial" w:hAnsi="Arial" w:cs="Arial"/>
              </w:rPr>
              <w:t xml:space="preserve">There has been a rise in the use of Out of Court </w:t>
            </w:r>
            <w:r w:rsidR="00D02ABC" w:rsidRPr="00F752FF">
              <w:rPr>
                <w:rFonts w:ascii="Arial" w:hAnsi="Arial" w:cs="Arial"/>
              </w:rPr>
              <w:t>Resolutions</w:t>
            </w:r>
            <w:r w:rsidRPr="00F752FF">
              <w:rPr>
                <w:rFonts w:ascii="Arial" w:hAnsi="Arial" w:cs="Arial"/>
              </w:rPr>
              <w:t>, reaching 4.4% in February 2026.</w:t>
            </w:r>
          </w:p>
          <w:p w14:paraId="111B2607" w14:textId="65DCBE9A" w:rsidR="00FB2CF6" w:rsidRPr="00F752FF" w:rsidRDefault="00FB2CF6" w:rsidP="00FB2CF6">
            <w:pPr>
              <w:pStyle w:val="NoSpacing"/>
              <w:numPr>
                <w:ilvl w:val="1"/>
                <w:numId w:val="29"/>
              </w:numPr>
              <w:jc w:val="both"/>
              <w:rPr>
                <w:rFonts w:ascii="Arial" w:hAnsi="Arial" w:cs="Arial"/>
              </w:rPr>
            </w:pPr>
            <w:r w:rsidRPr="00F752FF">
              <w:rPr>
                <w:rFonts w:ascii="Arial" w:hAnsi="Arial" w:cs="Arial"/>
              </w:rPr>
              <w:t>The proportion of unsupportive victims has reduced to 21% as of January</w:t>
            </w:r>
            <w:r w:rsidR="00D02ABC" w:rsidRPr="00F752FF">
              <w:rPr>
                <w:rFonts w:ascii="Arial" w:hAnsi="Arial" w:cs="Arial"/>
              </w:rPr>
              <w:t xml:space="preserve"> 2026</w:t>
            </w:r>
            <w:r w:rsidRPr="00F752FF">
              <w:rPr>
                <w:rFonts w:ascii="Arial" w:hAnsi="Arial" w:cs="Arial"/>
              </w:rPr>
              <w:t>, reflecting improvements in victim engagement and support.</w:t>
            </w:r>
          </w:p>
          <w:p w14:paraId="598E99EE" w14:textId="1A984F88" w:rsidR="00FB2CF6" w:rsidRPr="00F752FF" w:rsidRDefault="00FB2CF6" w:rsidP="00FB2CF6">
            <w:pPr>
              <w:pStyle w:val="NoSpacing"/>
              <w:numPr>
                <w:ilvl w:val="0"/>
                <w:numId w:val="29"/>
              </w:numPr>
              <w:jc w:val="both"/>
              <w:rPr>
                <w:rFonts w:ascii="Arial" w:hAnsi="Arial" w:cs="Arial"/>
              </w:rPr>
            </w:pPr>
            <w:r w:rsidRPr="00F752FF">
              <w:rPr>
                <w:rFonts w:ascii="Arial" w:hAnsi="Arial" w:cs="Arial"/>
              </w:rPr>
              <w:t>In terms of quality and timeliness of investigations:</w:t>
            </w:r>
          </w:p>
          <w:p w14:paraId="52F20D89" w14:textId="77777777" w:rsidR="008C7CCB" w:rsidRPr="00F752FF" w:rsidRDefault="00FB2CF6" w:rsidP="00FB2CF6">
            <w:pPr>
              <w:pStyle w:val="NoSpacing"/>
              <w:numPr>
                <w:ilvl w:val="1"/>
                <w:numId w:val="29"/>
              </w:numPr>
              <w:jc w:val="both"/>
              <w:rPr>
                <w:rFonts w:ascii="Arial" w:hAnsi="Arial" w:cs="Arial"/>
              </w:rPr>
            </w:pPr>
            <w:r w:rsidRPr="00F752FF">
              <w:rPr>
                <w:rFonts w:ascii="Arial" w:hAnsi="Arial" w:cs="Arial"/>
              </w:rPr>
              <w:t>Thematic testing shows evidence of improvement across the four pillars of investigative quality:</w:t>
            </w:r>
            <w:r w:rsidR="008C7CCB" w:rsidRPr="00F752FF">
              <w:rPr>
                <w:rFonts w:ascii="Arial" w:hAnsi="Arial" w:cs="Arial"/>
              </w:rPr>
              <w:t xml:space="preserve"> i</w:t>
            </w:r>
            <w:r w:rsidRPr="00F752FF">
              <w:rPr>
                <w:rFonts w:ascii="Arial" w:hAnsi="Arial" w:cs="Arial"/>
              </w:rPr>
              <w:t>nvestigations</w:t>
            </w:r>
            <w:r w:rsidR="008C7CCB" w:rsidRPr="00F752FF">
              <w:rPr>
                <w:rFonts w:ascii="Arial" w:hAnsi="Arial" w:cs="Arial"/>
              </w:rPr>
              <w:t>, v</w:t>
            </w:r>
            <w:r w:rsidRPr="00F752FF">
              <w:rPr>
                <w:rFonts w:ascii="Arial" w:hAnsi="Arial" w:cs="Arial"/>
              </w:rPr>
              <w:t>ictim care</w:t>
            </w:r>
            <w:r w:rsidR="008C7CCB" w:rsidRPr="00F752FF">
              <w:rPr>
                <w:rFonts w:ascii="Arial" w:hAnsi="Arial" w:cs="Arial"/>
              </w:rPr>
              <w:t>, s</w:t>
            </w:r>
            <w:r w:rsidRPr="00F752FF">
              <w:rPr>
                <w:rFonts w:ascii="Arial" w:hAnsi="Arial" w:cs="Arial"/>
              </w:rPr>
              <w:t>uspect management</w:t>
            </w:r>
            <w:r w:rsidR="008C7CCB" w:rsidRPr="00F752FF">
              <w:rPr>
                <w:rFonts w:ascii="Arial" w:hAnsi="Arial" w:cs="Arial"/>
              </w:rPr>
              <w:t>, s</w:t>
            </w:r>
            <w:r w:rsidRPr="00F752FF">
              <w:rPr>
                <w:rFonts w:ascii="Arial" w:hAnsi="Arial" w:cs="Arial"/>
              </w:rPr>
              <w:t>upervisor reviews</w:t>
            </w:r>
          </w:p>
          <w:p w14:paraId="1FAC1143" w14:textId="77777777" w:rsidR="008C7CCB" w:rsidRPr="00F752FF" w:rsidRDefault="00FB2CF6" w:rsidP="00FB2CF6">
            <w:pPr>
              <w:pStyle w:val="NoSpacing"/>
              <w:numPr>
                <w:ilvl w:val="1"/>
                <w:numId w:val="29"/>
              </w:numPr>
              <w:jc w:val="both"/>
              <w:rPr>
                <w:rFonts w:ascii="Arial" w:hAnsi="Arial" w:cs="Arial"/>
              </w:rPr>
            </w:pPr>
            <w:r w:rsidRPr="00F752FF">
              <w:rPr>
                <w:rFonts w:ascii="Arial" w:hAnsi="Arial" w:cs="Arial"/>
              </w:rPr>
              <w:t xml:space="preserve">Delays in investigations have had minimal </w:t>
            </w:r>
            <w:r w:rsidR="008C7CCB" w:rsidRPr="00F752FF">
              <w:rPr>
                <w:rFonts w:ascii="Arial" w:hAnsi="Arial" w:cs="Arial"/>
              </w:rPr>
              <w:t>impact</w:t>
            </w:r>
          </w:p>
          <w:p w14:paraId="2203D589" w14:textId="2D07CF65" w:rsidR="00FB2CF6" w:rsidRPr="00F752FF" w:rsidRDefault="00FB2CF6" w:rsidP="00FB2CF6">
            <w:pPr>
              <w:pStyle w:val="NoSpacing"/>
              <w:numPr>
                <w:ilvl w:val="1"/>
                <w:numId w:val="29"/>
              </w:numPr>
              <w:jc w:val="both"/>
              <w:rPr>
                <w:rFonts w:ascii="Arial" w:hAnsi="Arial" w:cs="Arial"/>
              </w:rPr>
            </w:pPr>
            <w:r w:rsidRPr="00F752FF">
              <w:rPr>
                <w:rFonts w:ascii="Arial" w:hAnsi="Arial" w:cs="Arial"/>
              </w:rPr>
              <w:t>A one</w:t>
            </w:r>
            <w:r w:rsidRPr="00F752FF">
              <w:rPr>
                <w:rFonts w:ascii="Cambria Math" w:hAnsi="Cambria Math" w:cs="Cambria Math"/>
              </w:rPr>
              <w:t>‑</w:t>
            </w:r>
            <w:r w:rsidRPr="00F752FF">
              <w:rPr>
                <w:rFonts w:ascii="Arial" w:hAnsi="Arial" w:cs="Arial"/>
              </w:rPr>
              <w:t>year post</w:t>
            </w:r>
            <w:r w:rsidRPr="00F752FF">
              <w:rPr>
                <w:rFonts w:ascii="Cambria Math" w:hAnsi="Cambria Math" w:cs="Cambria Math"/>
              </w:rPr>
              <w:t>‑</w:t>
            </w:r>
            <w:r w:rsidRPr="00F752FF">
              <w:rPr>
                <w:rFonts w:ascii="Arial" w:hAnsi="Arial" w:cs="Arial"/>
              </w:rPr>
              <w:t>implementation review has identified further areas for development, which are now being progressed.</w:t>
            </w:r>
          </w:p>
          <w:p w14:paraId="0823B294" w14:textId="6F5AF64D" w:rsidR="00FB2CF6" w:rsidRPr="00F752FF" w:rsidRDefault="008C7CCB" w:rsidP="008C7CCB">
            <w:pPr>
              <w:pStyle w:val="NoSpacing"/>
              <w:numPr>
                <w:ilvl w:val="0"/>
                <w:numId w:val="29"/>
              </w:numPr>
              <w:jc w:val="both"/>
              <w:rPr>
                <w:rFonts w:ascii="Arial" w:hAnsi="Arial" w:cs="Arial"/>
              </w:rPr>
            </w:pPr>
            <w:r w:rsidRPr="00F752FF">
              <w:rPr>
                <w:rFonts w:ascii="Arial" w:hAnsi="Arial" w:cs="Arial"/>
              </w:rPr>
              <w:t>In terms of c</w:t>
            </w:r>
            <w:r w:rsidR="00FB2CF6" w:rsidRPr="00F752FF">
              <w:rPr>
                <w:rFonts w:ascii="Arial" w:hAnsi="Arial" w:cs="Arial"/>
              </w:rPr>
              <w:t xml:space="preserve">ase </w:t>
            </w:r>
            <w:r w:rsidRPr="00F752FF">
              <w:rPr>
                <w:rFonts w:ascii="Arial" w:hAnsi="Arial" w:cs="Arial"/>
              </w:rPr>
              <w:t>f</w:t>
            </w:r>
            <w:r w:rsidR="00FB2CF6" w:rsidRPr="00F752FF">
              <w:rPr>
                <w:rFonts w:ascii="Arial" w:hAnsi="Arial" w:cs="Arial"/>
              </w:rPr>
              <w:t xml:space="preserve">ile </w:t>
            </w:r>
            <w:r w:rsidRPr="00F752FF">
              <w:rPr>
                <w:rFonts w:ascii="Arial" w:hAnsi="Arial" w:cs="Arial"/>
              </w:rPr>
              <w:t>q</w:t>
            </w:r>
            <w:r w:rsidR="00FB2CF6" w:rsidRPr="00F752FF">
              <w:rPr>
                <w:rFonts w:ascii="Arial" w:hAnsi="Arial" w:cs="Arial"/>
              </w:rPr>
              <w:t>uality</w:t>
            </w:r>
            <w:r w:rsidRPr="00F752FF">
              <w:rPr>
                <w:rFonts w:ascii="Arial" w:hAnsi="Arial" w:cs="Arial"/>
              </w:rPr>
              <w:t>:</w:t>
            </w:r>
          </w:p>
          <w:p w14:paraId="10D9144E" w14:textId="77777777" w:rsidR="008C7CCB" w:rsidRPr="00F752FF" w:rsidRDefault="00FB2CF6" w:rsidP="008C7CCB">
            <w:pPr>
              <w:pStyle w:val="NoSpacing"/>
              <w:numPr>
                <w:ilvl w:val="1"/>
                <w:numId w:val="29"/>
              </w:numPr>
              <w:jc w:val="both"/>
              <w:rPr>
                <w:rFonts w:ascii="Arial" w:hAnsi="Arial" w:cs="Arial"/>
              </w:rPr>
            </w:pPr>
            <w:r w:rsidRPr="00F752FF">
              <w:rPr>
                <w:rFonts w:ascii="Arial" w:hAnsi="Arial" w:cs="Arial"/>
              </w:rPr>
              <w:t>The Force has one of the highest charge rates in the country at 83%, ranking 4th nationally.</w:t>
            </w:r>
          </w:p>
          <w:p w14:paraId="7854BD3B" w14:textId="77777777" w:rsidR="008C7CCB" w:rsidRPr="00F752FF" w:rsidRDefault="008C7CCB" w:rsidP="008C7CCB">
            <w:pPr>
              <w:pStyle w:val="NoSpacing"/>
              <w:numPr>
                <w:ilvl w:val="1"/>
                <w:numId w:val="29"/>
              </w:numPr>
              <w:jc w:val="both"/>
              <w:rPr>
                <w:rFonts w:ascii="Arial" w:hAnsi="Arial" w:cs="Arial"/>
              </w:rPr>
            </w:pPr>
            <w:r w:rsidRPr="00F752FF">
              <w:rPr>
                <w:rFonts w:ascii="Arial" w:hAnsi="Arial" w:cs="Arial"/>
              </w:rPr>
              <w:t>The Force</w:t>
            </w:r>
            <w:r w:rsidR="00FB2CF6" w:rsidRPr="00F752FF">
              <w:rPr>
                <w:rFonts w:ascii="Arial" w:hAnsi="Arial" w:cs="Arial"/>
              </w:rPr>
              <w:t xml:space="preserve"> remains below the national average for cases resulting in no further action</w:t>
            </w:r>
          </w:p>
          <w:p w14:paraId="63B2DD41" w14:textId="39554598" w:rsidR="00FB2CF6" w:rsidRPr="00F752FF" w:rsidRDefault="00D02ABC" w:rsidP="008C7CCB">
            <w:pPr>
              <w:pStyle w:val="NoSpacing"/>
              <w:numPr>
                <w:ilvl w:val="1"/>
                <w:numId w:val="29"/>
              </w:numPr>
              <w:jc w:val="both"/>
              <w:rPr>
                <w:rFonts w:ascii="Arial" w:hAnsi="Arial" w:cs="Arial"/>
              </w:rPr>
            </w:pPr>
            <w:r w:rsidRPr="00F752FF">
              <w:rPr>
                <w:rFonts w:ascii="Arial" w:hAnsi="Arial" w:cs="Arial"/>
              </w:rPr>
              <w:t xml:space="preserve">Digital Government Authority (DGA) compliance </w:t>
            </w:r>
            <w:r w:rsidR="00FB2CF6" w:rsidRPr="00F752FF">
              <w:rPr>
                <w:rFonts w:ascii="Arial" w:hAnsi="Arial" w:cs="Arial"/>
              </w:rPr>
              <w:t>stands at 73%, above the national benchmark of 70%.</w:t>
            </w:r>
          </w:p>
          <w:p w14:paraId="52EB208F" w14:textId="15F678AB" w:rsidR="00423C96" w:rsidRPr="00F752FF" w:rsidRDefault="00423C96" w:rsidP="00423C96">
            <w:pPr>
              <w:pStyle w:val="NoSpacing"/>
              <w:numPr>
                <w:ilvl w:val="0"/>
                <w:numId w:val="29"/>
              </w:numPr>
              <w:jc w:val="both"/>
              <w:rPr>
                <w:rFonts w:ascii="Arial" w:hAnsi="Arial" w:cs="Arial"/>
              </w:rPr>
            </w:pPr>
            <w:r w:rsidRPr="00F752FF">
              <w:rPr>
                <w:rFonts w:ascii="Arial" w:hAnsi="Arial" w:cs="Arial"/>
              </w:rPr>
              <w:t>To drive continuous improvement, the Force is strengthening investigative quality through:</w:t>
            </w:r>
          </w:p>
          <w:p w14:paraId="214CDEE0" w14:textId="2B800500" w:rsidR="00423C96" w:rsidRPr="00F752FF" w:rsidRDefault="00423C96" w:rsidP="00423C96">
            <w:pPr>
              <w:pStyle w:val="NoSpacing"/>
              <w:numPr>
                <w:ilvl w:val="1"/>
                <w:numId w:val="29"/>
              </w:numPr>
              <w:jc w:val="both"/>
              <w:rPr>
                <w:rFonts w:ascii="Arial" w:hAnsi="Arial" w:cs="Arial"/>
              </w:rPr>
            </w:pPr>
            <w:r w:rsidRPr="00F752FF">
              <w:rPr>
                <w:rFonts w:ascii="Arial" w:hAnsi="Arial" w:cs="Arial"/>
              </w:rPr>
              <w:t>A structured triage process to ensure cases are prioritised effectively.</w:t>
            </w:r>
          </w:p>
          <w:p w14:paraId="1D0EF172" w14:textId="186794D6" w:rsidR="00423C96" w:rsidRPr="00F752FF" w:rsidRDefault="00423C96" w:rsidP="00423C96">
            <w:pPr>
              <w:pStyle w:val="NoSpacing"/>
              <w:numPr>
                <w:ilvl w:val="1"/>
                <w:numId w:val="29"/>
              </w:numPr>
              <w:jc w:val="both"/>
              <w:rPr>
                <w:rFonts w:ascii="Arial" w:hAnsi="Arial" w:cs="Arial"/>
              </w:rPr>
            </w:pPr>
            <w:r w:rsidRPr="00F752FF">
              <w:rPr>
                <w:rFonts w:ascii="Arial" w:hAnsi="Arial" w:cs="Arial"/>
              </w:rPr>
              <w:t>Ongoing monitoring of officer performance to assess quality, provide feedback and address issues promptly.</w:t>
            </w:r>
          </w:p>
          <w:p w14:paraId="6151737C" w14:textId="3999B5F0" w:rsidR="00423C96" w:rsidRPr="00F752FF" w:rsidRDefault="00423C96" w:rsidP="00423C96">
            <w:pPr>
              <w:pStyle w:val="NoSpacing"/>
              <w:numPr>
                <w:ilvl w:val="1"/>
                <w:numId w:val="29"/>
              </w:numPr>
              <w:jc w:val="both"/>
              <w:rPr>
                <w:rFonts w:ascii="Arial" w:hAnsi="Arial" w:cs="Arial"/>
              </w:rPr>
            </w:pPr>
            <w:r w:rsidRPr="00F752FF">
              <w:rPr>
                <w:rFonts w:ascii="Arial" w:hAnsi="Arial" w:cs="Arial"/>
              </w:rPr>
              <w:t>Targeted action to tackle challenges linked to demand and resource pressures.</w:t>
            </w:r>
          </w:p>
          <w:p w14:paraId="29B4CEA0" w14:textId="77777777" w:rsidR="00423C96" w:rsidRPr="00F752FF" w:rsidRDefault="00423C96" w:rsidP="00423C96">
            <w:pPr>
              <w:pStyle w:val="NoSpacing"/>
              <w:numPr>
                <w:ilvl w:val="1"/>
                <w:numId w:val="29"/>
              </w:numPr>
              <w:jc w:val="both"/>
              <w:rPr>
                <w:rFonts w:ascii="Arial" w:hAnsi="Arial" w:cs="Arial"/>
              </w:rPr>
            </w:pPr>
            <w:r w:rsidRPr="00F752FF">
              <w:rPr>
                <w:rFonts w:ascii="Arial" w:hAnsi="Arial" w:cs="Arial"/>
              </w:rPr>
              <w:t>Continued delivery of Operation Unified and Operation Magpie to ensure investigations progress efficiently and consistently.</w:t>
            </w:r>
          </w:p>
          <w:p w14:paraId="33DA0FBA" w14:textId="6E3606EE" w:rsidR="00107AA0" w:rsidRPr="00F752FF" w:rsidRDefault="008C7CCB" w:rsidP="00423C96">
            <w:pPr>
              <w:pStyle w:val="NoSpacing"/>
              <w:numPr>
                <w:ilvl w:val="0"/>
                <w:numId w:val="29"/>
              </w:numPr>
              <w:jc w:val="both"/>
              <w:rPr>
                <w:rFonts w:ascii="Arial" w:hAnsi="Arial" w:cs="Arial"/>
              </w:rPr>
            </w:pPr>
            <w:r w:rsidRPr="00F752FF">
              <w:rPr>
                <w:rFonts w:ascii="Arial" w:hAnsi="Arial" w:cs="Arial"/>
              </w:rPr>
              <w:t>The Force recognises there is still more to do, and that several key challenges and risks must be addressed to sustain and build on this progress.</w:t>
            </w:r>
          </w:p>
          <w:p w14:paraId="4BCEAA4F" w14:textId="1DA8D483" w:rsidR="00107AA0" w:rsidRPr="00F752FF" w:rsidRDefault="00423C96" w:rsidP="00423C96">
            <w:pPr>
              <w:pStyle w:val="NoSpacing"/>
              <w:ind w:left="360"/>
              <w:jc w:val="both"/>
              <w:rPr>
                <w:rFonts w:ascii="Arial" w:hAnsi="Arial" w:cs="Arial"/>
                <w:u w:val="single"/>
              </w:rPr>
            </w:pPr>
            <w:r w:rsidRPr="00F752FF">
              <w:rPr>
                <w:rFonts w:ascii="Arial" w:hAnsi="Arial" w:cs="Arial"/>
                <w:u w:val="single"/>
              </w:rPr>
              <w:t>C</w:t>
            </w:r>
            <w:r w:rsidR="00107AA0" w:rsidRPr="00F752FF">
              <w:rPr>
                <w:rFonts w:ascii="Arial" w:hAnsi="Arial" w:cs="Arial"/>
                <w:u w:val="single"/>
              </w:rPr>
              <w:t>omplaints and organisational learning</w:t>
            </w:r>
          </w:p>
          <w:p w14:paraId="6FBB8798" w14:textId="77777777" w:rsidR="00D869EA" w:rsidRPr="00F752FF" w:rsidRDefault="00D869EA" w:rsidP="00D869EA">
            <w:pPr>
              <w:pStyle w:val="NoSpacing"/>
              <w:numPr>
                <w:ilvl w:val="0"/>
                <w:numId w:val="31"/>
              </w:numPr>
              <w:jc w:val="both"/>
              <w:rPr>
                <w:rFonts w:ascii="Arial" w:hAnsi="Arial" w:cs="Arial"/>
              </w:rPr>
            </w:pPr>
            <w:r w:rsidRPr="00F752FF">
              <w:rPr>
                <w:rFonts w:ascii="Arial" w:hAnsi="Arial" w:cs="Arial"/>
              </w:rPr>
              <w:t>The Force has a structured internal approach to organisational learning, ensuring lessons are shared and embedded to strengthen service delivery and public confidence, for example:</w:t>
            </w:r>
          </w:p>
          <w:p w14:paraId="263105E1" w14:textId="530E8971" w:rsidR="00107AA0" w:rsidRPr="00F752FF" w:rsidRDefault="002F40D5" w:rsidP="00D869EA">
            <w:pPr>
              <w:pStyle w:val="NoSpacing"/>
              <w:numPr>
                <w:ilvl w:val="1"/>
                <w:numId w:val="31"/>
              </w:numPr>
              <w:jc w:val="both"/>
              <w:rPr>
                <w:rFonts w:ascii="Arial" w:hAnsi="Arial" w:cs="Arial"/>
              </w:rPr>
            </w:pPr>
            <w:r w:rsidRPr="00F752FF">
              <w:rPr>
                <w:rFonts w:ascii="Arial" w:hAnsi="Arial" w:cs="Arial"/>
              </w:rPr>
              <w:lastRenderedPageBreak/>
              <w:t>The Force routinely analyses m</w:t>
            </w:r>
            <w:r w:rsidR="00107AA0" w:rsidRPr="00F752FF">
              <w:rPr>
                <w:rFonts w:ascii="Arial" w:hAnsi="Arial" w:cs="Arial"/>
              </w:rPr>
              <w:t>ultiple data sources to identify themes, patterns and trends.</w:t>
            </w:r>
          </w:p>
          <w:p w14:paraId="00B527A0" w14:textId="0B4289AB" w:rsidR="00107AA0" w:rsidRPr="00F752FF" w:rsidRDefault="00107AA0" w:rsidP="00107AA0">
            <w:pPr>
              <w:pStyle w:val="NoSpacing"/>
              <w:numPr>
                <w:ilvl w:val="0"/>
                <w:numId w:val="30"/>
              </w:numPr>
              <w:jc w:val="both"/>
              <w:rPr>
                <w:rFonts w:ascii="Arial" w:hAnsi="Arial" w:cs="Arial"/>
              </w:rPr>
            </w:pPr>
            <w:r w:rsidRPr="00F752FF">
              <w:rPr>
                <w:rFonts w:ascii="Arial" w:hAnsi="Arial" w:cs="Arial"/>
              </w:rPr>
              <w:t xml:space="preserve">Insights feed into the Tactical and Strategic Organisational Learning Boards, the Confidence and Legitimacy Board and other governance </w:t>
            </w:r>
            <w:r w:rsidR="002F40D5" w:rsidRPr="00F752FF">
              <w:rPr>
                <w:rFonts w:ascii="Arial" w:hAnsi="Arial" w:cs="Arial"/>
              </w:rPr>
              <w:t>tactical governance meetings</w:t>
            </w:r>
            <w:r w:rsidRPr="00F752FF">
              <w:rPr>
                <w:rFonts w:ascii="Arial" w:hAnsi="Arial" w:cs="Arial"/>
              </w:rPr>
              <w:t>.</w:t>
            </w:r>
          </w:p>
          <w:p w14:paraId="40BDDA06" w14:textId="5317EC99" w:rsidR="00107AA0" w:rsidRPr="00F752FF" w:rsidRDefault="00107AA0" w:rsidP="00107AA0">
            <w:pPr>
              <w:pStyle w:val="NoSpacing"/>
              <w:numPr>
                <w:ilvl w:val="0"/>
                <w:numId w:val="30"/>
              </w:numPr>
              <w:jc w:val="both"/>
              <w:rPr>
                <w:rFonts w:ascii="Arial" w:hAnsi="Arial" w:cs="Arial"/>
              </w:rPr>
            </w:pPr>
            <w:r w:rsidRPr="00F752FF">
              <w:rPr>
                <w:rFonts w:ascii="Arial" w:hAnsi="Arial" w:cs="Arial"/>
              </w:rPr>
              <w:t>The Force’s Professional Standards Tasking and Coordination Process incorporates lessons learned.</w:t>
            </w:r>
          </w:p>
          <w:p w14:paraId="4E61FB29" w14:textId="1210E848" w:rsidR="00107AA0" w:rsidRPr="00F752FF" w:rsidRDefault="00107AA0" w:rsidP="00107AA0">
            <w:pPr>
              <w:pStyle w:val="NoSpacing"/>
              <w:numPr>
                <w:ilvl w:val="0"/>
                <w:numId w:val="30"/>
              </w:numPr>
              <w:jc w:val="both"/>
              <w:rPr>
                <w:rFonts w:ascii="Arial" w:hAnsi="Arial" w:cs="Arial"/>
              </w:rPr>
            </w:pPr>
            <w:r w:rsidRPr="00F752FF">
              <w:rPr>
                <w:rFonts w:ascii="Arial" w:hAnsi="Arial" w:cs="Arial"/>
              </w:rPr>
              <w:t>The Force’s Professional Standards Prevent Team attends Senior Leadership Team meetings to promote and disseminate lessons learned.</w:t>
            </w:r>
          </w:p>
          <w:p w14:paraId="1FED372D" w14:textId="4876BE0A" w:rsidR="00107AA0" w:rsidRPr="00F752FF" w:rsidRDefault="00107AA0" w:rsidP="00107AA0">
            <w:pPr>
              <w:pStyle w:val="NoSpacing"/>
              <w:numPr>
                <w:ilvl w:val="0"/>
                <w:numId w:val="30"/>
              </w:numPr>
              <w:jc w:val="both"/>
              <w:rPr>
                <w:rFonts w:ascii="Arial" w:hAnsi="Arial" w:cs="Arial"/>
              </w:rPr>
            </w:pPr>
            <w:r w:rsidRPr="00F752FF">
              <w:rPr>
                <w:rFonts w:ascii="Arial" w:hAnsi="Arial" w:cs="Arial"/>
              </w:rPr>
              <w:t>There is ongoing open dialogue with the Independent Office for Police Conduct (IOPC) to support improvements to local processes and service delivery.</w:t>
            </w:r>
          </w:p>
          <w:p w14:paraId="6A6A86AC" w14:textId="115CFD72" w:rsidR="00107AA0" w:rsidRPr="00F752FF" w:rsidRDefault="00D869EA" w:rsidP="00D869EA">
            <w:pPr>
              <w:pStyle w:val="NoSpacing"/>
              <w:numPr>
                <w:ilvl w:val="0"/>
                <w:numId w:val="30"/>
              </w:numPr>
              <w:ind w:left="738"/>
              <w:jc w:val="both"/>
              <w:rPr>
                <w:rFonts w:ascii="Arial" w:hAnsi="Arial" w:cs="Arial"/>
              </w:rPr>
            </w:pPr>
            <w:r w:rsidRPr="00F752FF">
              <w:rPr>
                <w:rFonts w:ascii="Arial" w:hAnsi="Arial" w:cs="Arial"/>
              </w:rPr>
              <w:t>The Force is also strengthening its external learning and engagement approach, for example:</w:t>
            </w:r>
          </w:p>
          <w:p w14:paraId="13BD5FB6" w14:textId="7C73E1C2" w:rsidR="00107AA0" w:rsidRPr="00F752FF" w:rsidRDefault="00107AA0" w:rsidP="00107AA0">
            <w:pPr>
              <w:pStyle w:val="NoSpacing"/>
              <w:numPr>
                <w:ilvl w:val="0"/>
                <w:numId w:val="30"/>
              </w:numPr>
              <w:jc w:val="both"/>
              <w:rPr>
                <w:rFonts w:ascii="Arial" w:hAnsi="Arial" w:cs="Arial"/>
              </w:rPr>
            </w:pPr>
            <w:r w:rsidRPr="00F752FF">
              <w:rPr>
                <w:rFonts w:ascii="Arial" w:hAnsi="Arial" w:cs="Arial"/>
              </w:rPr>
              <w:t>The Force is exploring options for wider dissemination of lessons learn</w:t>
            </w:r>
            <w:r w:rsidR="00D869EA" w:rsidRPr="00F752FF">
              <w:rPr>
                <w:rFonts w:ascii="Arial" w:hAnsi="Arial" w:cs="Arial"/>
              </w:rPr>
              <w:t>ed</w:t>
            </w:r>
            <w:r w:rsidRPr="00F752FF">
              <w:rPr>
                <w:rFonts w:ascii="Arial" w:hAnsi="Arial" w:cs="Arial"/>
              </w:rPr>
              <w:t xml:space="preserve"> via Cleveland Connected.</w:t>
            </w:r>
          </w:p>
          <w:p w14:paraId="630D79D2" w14:textId="78CB56BF" w:rsidR="00107AA0" w:rsidRPr="00F752FF" w:rsidRDefault="00107AA0" w:rsidP="00107AA0">
            <w:pPr>
              <w:pStyle w:val="NoSpacing"/>
              <w:numPr>
                <w:ilvl w:val="0"/>
                <w:numId w:val="30"/>
              </w:numPr>
              <w:jc w:val="both"/>
              <w:rPr>
                <w:rFonts w:ascii="Arial" w:hAnsi="Arial" w:cs="Arial"/>
              </w:rPr>
            </w:pPr>
            <w:r w:rsidRPr="00F752FF">
              <w:rPr>
                <w:rFonts w:ascii="Arial" w:hAnsi="Arial" w:cs="Arial"/>
              </w:rPr>
              <w:t>The Force consults the Independent Ethics Committee to ensure public perspectives inform learning.</w:t>
            </w:r>
          </w:p>
          <w:p w14:paraId="4E38AAA1" w14:textId="6379557D" w:rsidR="008346F4" w:rsidRPr="00F752FF" w:rsidRDefault="00107AA0" w:rsidP="00107AA0">
            <w:pPr>
              <w:pStyle w:val="NoSpacing"/>
              <w:numPr>
                <w:ilvl w:val="0"/>
                <w:numId w:val="30"/>
              </w:numPr>
              <w:jc w:val="both"/>
              <w:rPr>
                <w:rFonts w:ascii="Arial" w:hAnsi="Arial" w:cs="Arial"/>
              </w:rPr>
            </w:pPr>
            <w:r w:rsidRPr="00F752FF">
              <w:rPr>
                <w:rFonts w:ascii="Arial" w:hAnsi="Arial" w:cs="Arial"/>
              </w:rPr>
              <w:t>The Force is seeking to develop the use of Restorative Practice to allow complainants to share their experiences directly with officers and staff.</w:t>
            </w:r>
          </w:p>
        </w:tc>
        <w:tc>
          <w:tcPr>
            <w:tcW w:w="3544" w:type="dxa"/>
            <w:vMerge/>
          </w:tcPr>
          <w:p w14:paraId="6EF6B0DC" w14:textId="77777777" w:rsidR="0095163F" w:rsidRPr="00F752FF" w:rsidRDefault="0095163F" w:rsidP="00836D86">
            <w:pPr>
              <w:rPr>
                <w:rFonts w:ascii="Arial" w:hAnsi="Arial" w:cs="Arial"/>
              </w:rPr>
            </w:pPr>
          </w:p>
        </w:tc>
      </w:tr>
    </w:tbl>
    <w:p w14:paraId="4DD73188" w14:textId="77777777" w:rsidR="00B77BF9" w:rsidRPr="00F752FF" w:rsidRDefault="00B77BF9" w:rsidP="007830D1">
      <w:pPr>
        <w:spacing w:line="240" w:lineRule="auto"/>
        <w:jc w:val="both"/>
        <w:rPr>
          <w:rFonts w:ascii="Arial" w:hAnsi="Arial" w:cs="Arial"/>
          <w:b/>
          <w:bCs/>
          <w:u w:val="single"/>
        </w:rPr>
      </w:pPr>
    </w:p>
    <w:p w14:paraId="57149300" w14:textId="379B8443" w:rsidR="00C5015A" w:rsidRPr="00F752FF" w:rsidRDefault="0061389C" w:rsidP="007830D1">
      <w:pPr>
        <w:spacing w:line="240" w:lineRule="auto"/>
        <w:jc w:val="both"/>
        <w:rPr>
          <w:rFonts w:ascii="Arial" w:hAnsi="Arial" w:cs="Arial"/>
          <w:b/>
          <w:bCs/>
          <w:u w:val="single"/>
        </w:rPr>
      </w:pPr>
      <w:r w:rsidRPr="00F752FF">
        <w:rPr>
          <w:rFonts w:ascii="Arial" w:hAnsi="Arial" w:cs="Arial"/>
          <w:b/>
          <w:bCs/>
          <w:u w:val="single"/>
        </w:rPr>
        <w:t>Action</w:t>
      </w:r>
      <w:r w:rsidR="00CA6661" w:rsidRPr="00F752FF">
        <w:rPr>
          <w:rFonts w:ascii="Arial" w:hAnsi="Arial" w:cs="Arial"/>
          <w:b/>
          <w:bCs/>
          <w:u w:val="single"/>
        </w:rPr>
        <w:t>s</w:t>
      </w:r>
    </w:p>
    <w:tbl>
      <w:tblPr>
        <w:tblStyle w:val="TableGrid"/>
        <w:tblW w:w="15451" w:type="dxa"/>
        <w:tblInd w:w="-147" w:type="dxa"/>
        <w:tblLook w:val="04A0" w:firstRow="1" w:lastRow="0" w:firstColumn="1" w:lastColumn="0" w:noHBand="0" w:noVBand="1"/>
      </w:tblPr>
      <w:tblGrid>
        <w:gridCol w:w="400"/>
        <w:gridCol w:w="15051"/>
      </w:tblGrid>
      <w:tr w:rsidR="00C5015A" w:rsidRPr="00F752FF" w14:paraId="4F0C39FC" w14:textId="77777777" w:rsidTr="00397017">
        <w:tc>
          <w:tcPr>
            <w:tcW w:w="400" w:type="dxa"/>
          </w:tcPr>
          <w:p w14:paraId="1DE8B412" w14:textId="0964B22E" w:rsidR="00C5015A" w:rsidRPr="00F752FF" w:rsidRDefault="00C5015A" w:rsidP="00C5015A">
            <w:pPr>
              <w:pStyle w:val="NoSpacing"/>
              <w:rPr>
                <w:rFonts w:ascii="Arial" w:hAnsi="Arial" w:cs="Arial"/>
              </w:rPr>
            </w:pPr>
            <w:r w:rsidRPr="00F752FF">
              <w:rPr>
                <w:rFonts w:ascii="Arial" w:hAnsi="Arial" w:cs="Arial"/>
              </w:rPr>
              <w:t>1.</w:t>
            </w:r>
          </w:p>
        </w:tc>
        <w:tc>
          <w:tcPr>
            <w:tcW w:w="15051" w:type="dxa"/>
          </w:tcPr>
          <w:p w14:paraId="0350D51C" w14:textId="496EA068" w:rsidR="00C5015A" w:rsidRPr="00F752FF" w:rsidRDefault="006144D9" w:rsidP="00D869EA">
            <w:pPr>
              <w:pStyle w:val="NoSpacing"/>
              <w:jc w:val="both"/>
              <w:rPr>
                <w:rFonts w:ascii="Arial" w:hAnsi="Arial" w:cs="Arial"/>
              </w:rPr>
            </w:pPr>
            <w:r w:rsidRPr="00F752FF">
              <w:rPr>
                <w:rFonts w:ascii="Arial" w:hAnsi="Arial" w:cs="Arial"/>
              </w:rPr>
              <w:t xml:space="preserve">That </w:t>
            </w:r>
            <w:r w:rsidR="00D869EA" w:rsidRPr="00F752FF">
              <w:rPr>
                <w:rFonts w:ascii="Arial" w:hAnsi="Arial" w:cs="Arial"/>
              </w:rPr>
              <w:t xml:space="preserve">the </w:t>
            </w:r>
            <w:r w:rsidRPr="00F752FF">
              <w:rPr>
                <w:rFonts w:ascii="Arial" w:hAnsi="Arial" w:cs="Arial"/>
              </w:rPr>
              <w:t xml:space="preserve">PCC/OPCC </w:t>
            </w:r>
            <w:r w:rsidR="00D869EA" w:rsidRPr="00F752FF">
              <w:rPr>
                <w:rFonts w:ascii="Arial" w:hAnsi="Arial" w:cs="Arial"/>
              </w:rPr>
              <w:t xml:space="preserve">be provided </w:t>
            </w:r>
            <w:r w:rsidRPr="00F752FF">
              <w:rPr>
                <w:rFonts w:ascii="Arial" w:hAnsi="Arial" w:cs="Arial"/>
              </w:rPr>
              <w:t>with up</w:t>
            </w:r>
            <w:r w:rsidRPr="00F752FF">
              <w:rPr>
                <w:rFonts w:ascii="Cambria Math" w:hAnsi="Cambria Math" w:cs="Cambria Math"/>
              </w:rPr>
              <w:t>‑</w:t>
            </w:r>
            <w:r w:rsidRPr="00F752FF">
              <w:rPr>
                <w:rFonts w:ascii="Arial" w:hAnsi="Arial" w:cs="Arial"/>
              </w:rPr>
              <w:t>to</w:t>
            </w:r>
            <w:r w:rsidRPr="00F752FF">
              <w:rPr>
                <w:rFonts w:ascii="Cambria Math" w:hAnsi="Cambria Math" w:cs="Cambria Math"/>
              </w:rPr>
              <w:t>‑</w:t>
            </w:r>
            <w:r w:rsidRPr="00F752FF">
              <w:rPr>
                <w:rFonts w:ascii="Arial" w:hAnsi="Arial" w:cs="Arial"/>
              </w:rPr>
              <w:t>date case file quality data.</w:t>
            </w:r>
          </w:p>
        </w:tc>
      </w:tr>
      <w:tr w:rsidR="00A6260D" w:rsidRPr="00F752FF" w14:paraId="774D448D" w14:textId="77777777" w:rsidTr="00397017">
        <w:tc>
          <w:tcPr>
            <w:tcW w:w="400" w:type="dxa"/>
          </w:tcPr>
          <w:p w14:paraId="54C7EE6A" w14:textId="231CB17F" w:rsidR="00A6260D" w:rsidRPr="00F752FF" w:rsidRDefault="00A6260D" w:rsidP="00C5015A">
            <w:pPr>
              <w:pStyle w:val="NoSpacing"/>
              <w:rPr>
                <w:rFonts w:ascii="Arial" w:hAnsi="Arial" w:cs="Arial"/>
              </w:rPr>
            </w:pPr>
            <w:r w:rsidRPr="00F752FF">
              <w:rPr>
                <w:rFonts w:ascii="Arial" w:hAnsi="Arial" w:cs="Arial"/>
              </w:rPr>
              <w:t>2.</w:t>
            </w:r>
          </w:p>
        </w:tc>
        <w:tc>
          <w:tcPr>
            <w:tcW w:w="15051" w:type="dxa"/>
          </w:tcPr>
          <w:p w14:paraId="15123A24" w14:textId="662A656A" w:rsidR="00A6260D" w:rsidRPr="00F752FF" w:rsidRDefault="006144D9" w:rsidP="00D869EA">
            <w:pPr>
              <w:pStyle w:val="NoSpacing"/>
              <w:jc w:val="both"/>
              <w:rPr>
                <w:rFonts w:ascii="Arial" w:hAnsi="Arial" w:cs="Arial"/>
              </w:rPr>
            </w:pPr>
            <w:r w:rsidRPr="00F752FF">
              <w:rPr>
                <w:rFonts w:ascii="Arial" w:hAnsi="Arial" w:cs="Arial"/>
              </w:rPr>
              <w:t>That the PCC/OPCC be provided with data on the Force’s compliance with the Domestic Abuse 14</w:t>
            </w:r>
            <w:r w:rsidRPr="00F752FF">
              <w:rPr>
                <w:rFonts w:ascii="Cambria Math" w:hAnsi="Cambria Math" w:cs="Cambria Math"/>
              </w:rPr>
              <w:t>‑</w:t>
            </w:r>
            <w:r w:rsidRPr="00F752FF">
              <w:rPr>
                <w:rFonts w:ascii="Arial" w:hAnsi="Arial" w:cs="Arial"/>
              </w:rPr>
              <w:t>day turnaround</w:t>
            </w:r>
            <w:r w:rsidR="002E6C55" w:rsidRPr="00F752FF">
              <w:rPr>
                <w:rFonts w:ascii="Arial" w:hAnsi="Arial" w:cs="Arial"/>
              </w:rPr>
              <w:t>.</w:t>
            </w:r>
          </w:p>
        </w:tc>
      </w:tr>
      <w:tr w:rsidR="00DB33F1" w:rsidRPr="00F752FF" w14:paraId="147694A0" w14:textId="77777777" w:rsidTr="00397017">
        <w:trPr>
          <w:trHeight w:val="96"/>
        </w:trPr>
        <w:tc>
          <w:tcPr>
            <w:tcW w:w="400" w:type="dxa"/>
          </w:tcPr>
          <w:p w14:paraId="4C634F9C" w14:textId="4AB1BE81" w:rsidR="00DB33F1" w:rsidRPr="00F752FF" w:rsidRDefault="00DB33F1" w:rsidP="00C5015A">
            <w:pPr>
              <w:pStyle w:val="NoSpacing"/>
              <w:rPr>
                <w:rFonts w:ascii="Arial" w:hAnsi="Arial" w:cs="Arial"/>
              </w:rPr>
            </w:pPr>
            <w:r w:rsidRPr="00F752FF">
              <w:rPr>
                <w:rFonts w:ascii="Arial" w:hAnsi="Arial" w:cs="Arial"/>
              </w:rPr>
              <w:t>3.</w:t>
            </w:r>
          </w:p>
        </w:tc>
        <w:tc>
          <w:tcPr>
            <w:tcW w:w="15051" w:type="dxa"/>
          </w:tcPr>
          <w:p w14:paraId="18F1EF50" w14:textId="0C44C13B" w:rsidR="00DB33F1" w:rsidRPr="00F752FF" w:rsidRDefault="00D869EA" w:rsidP="00D869EA">
            <w:pPr>
              <w:pStyle w:val="NoSpacing"/>
              <w:jc w:val="both"/>
              <w:rPr>
                <w:rFonts w:ascii="Arial" w:hAnsi="Arial" w:cs="Arial"/>
              </w:rPr>
            </w:pPr>
            <w:r w:rsidRPr="00F752FF">
              <w:rPr>
                <w:rFonts w:ascii="Arial" w:hAnsi="Arial" w:cs="Arial"/>
              </w:rPr>
              <w:t>That the topic of Public Trust and Confidence be revisited in a year’s time, at which point the Force will be expected to present clear evidence of how performance improvements have translated into increased public confidence, and demonstrate the impact of its engagement, community and social media strategies, alongside the strengthened visibility of ‘you said, we did’ outcomes.</w:t>
            </w:r>
          </w:p>
        </w:tc>
      </w:tr>
    </w:tbl>
    <w:p w14:paraId="1811D7DC" w14:textId="000413C5" w:rsidR="00C5015A" w:rsidRPr="00F752FF" w:rsidRDefault="00C5015A" w:rsidP="007830D1">
      <w:pPr>
        <w:pStyle w:val="NoSpacing"/>
        <w:rPr>
          <w:rFonts w:ascii="Arial" w:hAnsi="Arial" w:cs="Arial"/>
        </w:rPr>
      </w:pPr>
    </w:p>
    <w:p w14:paraId="335EEB23" w14:textId="34152938" w:rsidR="78AD1A30" w:rsidRDefault="78AD1A30">
      <w:r>
        <w:br w:type="page"/>
      </w:r>
    </w:p>
    <w:p w14:paraId="2D5BE28B" w14:textId="539399AC" w:rsidR="78AD1A30" w:rsidRDefault="78AD1A30" w:rsidP="78AD1A30">
      <w:pPr>
        <w:pStyle w:val="NoSpacing"/>
        <w:rPr>
          <w:rFonts w:ascii="Arial" w:hAnsi="Arial" w:cs="Arial"/>
        </w:rPr>
      </w:pPr>
    </w:p>
    <w:p w14:paraId="042D8BA7" w14:textId="77777777" w:rsidR="00B77BF9" w:rsidRPr="00F752FF" w:rsidRDefault="00B77BF9" w:rsidP="007830D1">
      <w:pPr>
        <w:pStyle w:val="NoSpacing"/>
        <w:rPr>
          <w:rFonts w:ascii="Arial" w:hAnsi="Arial" w:cs="Arial"/>
        </w:rPr>
      </w:pPr>
    </w:p>
    <w:tbl>
      <w:tblPr>
        <w:tblStyle w:val="TableGrid"/>
        <w:tblW w:w="15446" w:type="dxa"/>
        <w:jc w:val="center"/>
        <w:tblLook w:val="04A0" w:firstRow="1" w:lastRow="0" w:firstColumn="1" w:lastColumn="0" w:noHBand="0" w:noVBand="1"/>
      </w:tblPr>
      <w:tblGrid>
        <w:gridCol w:w="2972"/>
        <w:gridCol w:w="8930"/>
        <w:gridCol w:w="3544"/>
      </w:tblGrid>
      <w:tr w:rsidR="00B77BF9" w:rsidRPr="00F752FF" w14:paraId="23C44B66" w14:textId="77777777" w:rsidTr="00397017">
        <w:trPr>
          <w:jc w:val="center"/>
        </w:trPr>
        <w:tc>
          <w:tcPr>
            <w:tcW w:w="2972" w:type="dxa"/>
            <w:shd w:val="clear" w:color="auto" w:fill="D9D9D9" w:themeFill="background1" w:themeFillShade="D9"/>
          </w:tcPr>
          <w:p w14:paraId="5C09BF6F" w14:textId="77777777" w:rsidR="00B77BF9" w:rsidRPr="00F752FF" w:rsidRDefault="00B77BF9" w:rsidP="0053544B">
            <w:pPr>
              <w:jc w:val="center"/>
              <w:rPr>
                <w:rFonts w:ascii="Arial" w:hAnsi="Arial" w:cs="Arial"/>
              </w:rPr>
            </w:pPr>
            <w:r w:rsidRPr="00F752FF">
              <w:rPr>
                <w:rFonts w:ascii="Arial" w:hAnsi="Arial" w:cs="Arial"/>
                <w:b/>
                <w:bCs/>
              </w:rPr>
              <w:t>Question</w:t>
            </w:r>
          </w:p>
        </w:tc>
        <w:tc>
          <w:tcPr>
            <w:tcW w:w="8930" w:type="dxa"/>
            <w:shd w:val="clear" w:color="auto" w:fill="D9D9D9" w:themeFill="background1" w:themeFillShade="D9"/>
          </w:tcPr>
          <w:p w14:paraId="7D01FFAE" w14:textId="77777777" w:rsidR="00B77BF9" w:rsidRPr="00F752FF" w:rsidRDefault="00B77BF9" w:rsidP="0053544B">
            <w:pPr>
              <w:jc w:val="center"/>
              <w:rPr>
                <w:rFonts w:ascii="Arial" w:hAnsi="Arial" w:cs="Arial"/>
              </w:rPr>
            </w:pPr>
            <w:r w:rsidRPr="00F752FF">
              <w:rPr>
                <w:rFonts w:ascii="Arial" w:hAnsi="Arial" w:cs="Arial"/>
                <w:b/>
                <w:bCs/>
              </w:rPr>
              <w:t>Brief Summary of Evidence</w:t>
            </w:r>
          </w:p>
        </w:tc>
        <w:tc>
          <w:tcPr>
            <w:tcW w:w="3544" w:type="dxa"/>
            <w:shd w:val="clear" w:color="auto" w:fill="D9D9D9" w:themeFill="background1" w:themeFillShade="D9"/>
          </w:tcPr>
          <w:p w14:paraId="50BAA7CD" w14:textId="77777777" w:rsidR="00B77BF9" w:rsidRPr="00F752FF" w:rsidRDefault="00B77BF9" w:rsidP="0053544B">
            <w:pPr>
              <w:jc w:val="center"/>
              <w:rPr>
                <w:rFonts w:ascii="Arial" w:hAnsi="Arial" w:cs="Arial"/>
              </w:rPr>
            </w:pPr>
            <w:r w:rsidRPr="00F752FF">
              <w:rPr>
                <w:rFonts w:ascii="Arial" w:hAnsi="Arial" w:cs="Arial"/>
                <w:b/>
                <w:bCs/>
              </w:rPr>
              <w:t>Decision of PCC</w:t>
            </w:r>
          </w:p>
        </w:tc>
      </w:tr>
      <w:tr w:rsidR="00B77BF9" w:rsidRPr="00F752FF" w14:paraId="382FBD7E" w14:textId="77777777" w:rsidTr="00397017">
        <w:trPr>
          <w:jc w:val="center"/>
        </w:trPr>
        <w:tc>
          <w:tcPr>
            <w:tcW w:w="2972" w:type="dxa"/>
          </w:tcPr>
          <w:p w14:paraId="3C8D5F6C" w14:textId="4E8C6471" w:rsidR="00B77BF9" w:rsidRPr="00F752FF" w:rsidRDefault="00E42B8B" w:rsidP="00E42B8B">
            <w:pPr>
              <w:pStyle w:val="ListParagraph"/>
              <w:numPr>
                <w:ilvl w:val="1"/>
                <w:numId w:val="4"/>
              </w:numPr>
              <w:ind w:left="457"/>
              <w:rPr>
                <w:rFonts w:ascii="Arial" w:eastAsia="Times New Roman" w:hAnsi="Arial" w:cs="Arial"/>
                <w:b/>
                <w:bCs/>
                <w:color w:val="000000" w:themeColor="text1"/>
              </w:rPr>
            </w:pPr>
            <w:r w:rsidRPr="00F752FF">
              <w:rPr>
                <w:rFonts w:ascii="Arial" w:eastAsia="Times New Roman" w:hAnsi="Arial" w:cs="Arial"/>
                <w:b/>
                <w:bCs/>
                <w:color w:val="000000" w:themeColor="text1"/>
              </w:rPr>
              <w:t>Since the implementation of RCRP, what detailed evidence can the Force provide of the resources released and/or efficiencies achieved to date, together with how those resources are being reinvested to improve policing services?</w:t>
            </w:r>
          </w:p>
        </w:tc>
        <w:tc>
          <w:tcPr>
            <w:tcW w:w="8930" w:type="dxa"/>
          </w:tcPr>
          <w:p w14:paraId="4B7A89C5" w14:textId="69EAD017" w:rsidR="00904B17" w:rsidRPr="00F752FF" w:rsidRDefault="00880505" w:rsidP="00904B17">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A post</w:t>
            </w:r>
            <w:r w:rsidRPr="00F752FF">
              <w:rPr>
                <w:rFonts w:ascii="Cambria Math" w:eastAsia="Times New Roman" w:hAnsi="Cambria Math" w:cs="Cambria Math"/>
                <w:lang w:eastAsia="en-GB"/>
              </w:rPr>
              <w:t>‑</w:t>
            </w:r>
            <w:r w:rsidRPr="00F752FF">
              <w:rPr>
                <w:rFonts w:ascii="Arial" w:eastAsia="Times New Roman" w:hAnsi="Arial" w:cs="Arial"/>
                <w:lang w:eastAsia="en-GB"/>
              </w:rPr>
              <w:t xml:space="preserve">implementation review has been completed and will be presented at the Responding to the Public meeting on 19 March 2026. The review sets out six recommendations, which will be discussed and assigned to appropriate owners. </w:t>
            </w:r>
          </w:p>
          <w:p w14:paraId="4286A9F0" w14:textId="6E6C4AB2" w:rsidR="00880505" w:rsidRPr="00F752FF" w:rsidRDefault="00904B17" w:rsidP="00904B17">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Frontline awareness of RCRP has significantly improved and t</w:t>
            </w:r>
            <w:r w:rsidR="00880505" w:rsidRPr="00F752FF">
              <w:rPr>
                <w:rFonts w:ascii="Arial" w:eastAsia="Times New Roman" w:hAnsi="Arial" w:cs="Arial"/>
                <w:lang w:eastAsia="en-GB"/>
              </w:rPr>
              <w:t>here is a strong and consistent understanding of RCRP across all departments.</w:t>
            </w:r>
          </w:p>
          <w:p w14:paraId="433242FD" w14:textId="2103D1E4" w:rsidR="00880505" w:rsidRPr="00F752FF" w:rsidRDefault="00880505" w:rsidP="00880505">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Calls for service relating to concerns for safety have reduced, with a slight rise in mental</w:t>
            </w:r>
            <w:r w:rsidRPr="00F752FF">
              <w:rPr>
                <w:rFonts w:ascii="Cambria Math" w:eastAsia="Times New Roman" w:hAnsi="Cambria Math" w:cs="Cambria Math"/>
                <w:lang w:eastAsia="en-GB"/>
              </w:rPr>
              <w:t>‑</w:t>
            </w:r>
            <w:r w:rsidRPr="00F752FF">
              <w:rPr>
                <w:rFonts w:ascii="Arial" w:eastAsia="Times New Roman" w:hAnsi="Arial" w:cs="Arial"/>
                <w:lang w:eastAsia="en-GB"/>
              </w:rPr>
              <w:t>health</w:t>
            </w:r>
            <w:r w:rsidRPr="00F752FF">
              <w:rPr>
                <w:rFonts w:ascii="Cambria Math" w:eastAsia="Times New Roman" w:hAnsi="Cambria Math" w:cs="Cambria Math"/>
                <w:lang w:eastAsia="en-GB"/>
              </w:rPr>
              <w:t>‑</w:t>
            </w:r>
            <w:r w:rsidRPr="00F752FF">
              <w:rPr>
                <w:rFonts w:ascii="Arial" w:eastAsia="Times New Roman" w:hAnsi="Arial" w:cs="Arial"/>
                <w:lang w:eastAsia="en-GB"/>
              </w:rPr>
              <w:t>related calls.</w:t>
            </w:r>
          </w:p>
          <w:p w14:paraId="7A40C5D7" w14:textId="129F5DC7" w:rsidR="00880505" w:rsidRPr="00F752FF" w:rsidRDefault="00880505" w:rsidP="00880505">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 xml:space="preserve">There </w:t>
            </w:r>
            <w:proofErr w:type="gramStart"/>
            <w:r w:rsidRPr="00F752FF">
              <w:rPr>
                <w:rFonts w:ascii="Arial" w:eastAsia="Times New Roman" w:hAnsi="Arial" w:cs="Arial"/>
                <w:lang w:eastAsia="en-GB"/>
              </w:rPr>
              <w:t>has</w:t>
            </w:r>
            <w:proofErr w:type="gramEnd"/>
            <w:r w:rsidRPr="00F752FF">
              <w:rPr>
                <w:rFonts w:ascii="Arial" w:eastAsia="Times New Roman" w:hAnsi="Arial" w:cs="Arial"/>
                <w:lang w:eastAsia="en-GB"/>
              </w:rPr>
              <w:t xml:space="preserve"> been fewer deployments being made to both concerns for safety and mental</w:t>
            </w:r>
            <w:r w:rsidRPr="00F752FF">
              <w:rPr>
                <w:rFonts w:ascii="Cambria Math" w:eastAsia="Times New Roman" w:hAnsi="Cambria Math" w:cs="Cambria Math"/>
                <w:lang w:eastAsia="en-GB"/>
              </w:rPr>
              <w:t>‑</w:t>
            </w:r>
            <w:r w:rsidRPr="00F752FF">
              <w:rPr>
                <w:rFonts w:ascii="Arial" w:eastAsia="Times New Roman" w:hAnsi="Arial" w:cs="Arial"/>
                <w:lang w:eastAsia="en-GB"/>
              </w:rPr>
              <w:t>health</w:t>
            </w:r>
            <w:r w:rsidRPr="00F752FF">
              <w:rPr>
                <w:rFonts w:ascii="Cambria Math" w:eastAsia="Times New Roman" w:hAnsi="Cambria Math" w:cs="Cambria Math"/>
                <w:lang w:eastAsia="en-GB"/>
              </w:rPr>
              <w:t>‑</w:t>
            </w:r>
            <w:r w:rsidRPr="00F752FF">
              <w:rPr>
                <w:rFonts w:ascii="Arial" w:eastAsia="Times New Roman" w:hAnsi="Arial" w:cs="Arial"/>
                <w:lang w:eastAsia="en-GB"/>
              </w:rPr>
              <w:t>related incidents.</w:t>
            </w:r>
          </w:p>
          <w:p w14:paraId="7803B77E" w14:textId="77777777" w:rsidR="00880505" w:rsidRPr="00F752FF" w:rsidRDefault="00880505" w:rsidP="00880505">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The time spent managing these incidents has decreased, reflecting improved triage and decision</w:t>
            </w:r>
            <w:r w:rsidRPr="00F752FF">
              <w:rPr>
                <w:rFonts w:ascii="Cambria Math" w:eastAsia="Times New Roman" w:hAnsi="Cambria Math" w:cs="Cambria Math"/>
                <w:lang w:eastAsia="en-GB"/>
              </w:rPr>
              <w:t>‑</w:t>
            </w:r>
            <w:r w:rsidRPr="00F752FF">
              <w:rPr>
                <w:rFonts w:ascii="Arial" w:eastAsia="Times New Roman" w:hAnsi="Arial" w:cs="Arial"/>
                <w:lang w:eastAsia="en-GB"/>
              </w:rPr>
              <w:t>making.</w:t>
            </w:r>
          </w:p>
          <w:p w14:paraId="42E64AFC" w14:textId="2E78089C" w:rsidR="00904B17" w:rsidRPr="00F752FF" w:rsidRDefault="00904B17" w:rsidP="00904B17">
            <w:pPr>
              <w:pStyle w:val="ListParagraph"/>
              <w:numPr>
                <w:ilvl w:val="0"/>
                <w:numId w:val="7"/>
              </w:numPr>
              <w:rPr>
                <w:rFonts w:ascii="Arial" w:eastAsia="Times New Roman" w:hAnsi="Arial" w:cs="Arial"/>
                <w:lang w:eastAsia="en-GB"/>
              </w:rPr>
            </w:pPr>
            <w:r w:rsidRPr="00F752FF">
              <w:rPr>
                <w:rFonts w:ascii="Arial" w:eastAsia="Times New Roman" w:hAnsi="Arial" w:cs="Arial"/>
                <w:lang w:eastAsia="en-GB"/>
              </w:rPr>
              <w:t>Although reductions are modest, the model is effective and ensures the right service is provided.</w:t>
            </w:r>
          </w:p>
          <w:p w14:paraId="3BEF283B" w14:textId="0C8C28BE" w:rsidR="00880505" w:rsidRPr="00F752FF" w:rsidRDefault="00880505" w:rsidP="00880505">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RCRP has been positively received and is widely regarded as the right approach, though its full potential has yet to be fully realised. Time saved has been reinvested into response policing to help manage demand, improve attendance times, and mitigate the resource gap highlighted in demand analysis.</w:t>
            </w:r>
          </w:p>
          <w:p w14:paraId="16928422" w14:textId="5B57BE8C" w:rsidR="004369FF" w:rsidRPr="00F752FF" w:rsidRDefault="00880505" w:rsidP="00880505">
            <w:pPr>
              <w:pStyle w:val="NoSpacing"/>
              <w:numPr>
                <w:ilvl w:val="0"/>
                <w:numId w:val="7"/>
              </w:numPr>
              <w:jc w:val="both"/>
              <w:rPr>
                <w:rFonts w:ascii="Arial" w:eastAsia="Times New Roman" w:hAnsi="Arial" w:cs="Arial"/>
                <w:lang w:eastAsia="en-GB"/>
              </w:rPr>
            </w:pPr>
            <w:r w:rsidRPr="00F752FF">
              <w:rPr>
                <w:rFonts w:ascii="Arial" w:eastAsia="Times New Roman" w:hAnsi="Arial" w:cs="Arial"/>
                <w:lang w:eastAsia="en-GB"/>
              </w:rPr>
              <w:t xml:space="preserve">The partnership between Cleveland Police and Tees </w:t>
            </w:r>
            <w:proofErr w:type="spellStart"/>
            <w:r w:rsidRPr="00F752FF">
              <w:rPr>
                <w:rFonts w:ascii="Arial" w:eastAsia="Times New Roman" w:hAnsi="Arial" w:cs="Arial"/>
                <w:lang w:eastAsia="en-GB"/>
              </w:rPr>
              <w:t>Esk</w:t>
            </w:r>
            <w:proofErr w:type="spellEnd"/>
            <w:r w:rsidRPr="00F752FF">
              <w:rPr>
                <w:rFonts w:ascii="Arial" w:eastAsia="Times New Roman" w:hAnsi="Arial" w:cs="Arial"/>
                <w:lang w:eastAsia="en-GB"/>
              </w:rPr>
              <w:t xml:space="preserve"> and Wear Valley (TEWV) has achieved national recognition, demonstrating strong collaboration and a shared commitment to improving outcomes for the public.</w:t>
            </w:r>
          </w:p>
        </w:tc>
        <w:tc>
          <w:tcPr>
            <w:tcW w:w="3544" w:type="dxa"/>
            <w:shd w:val="clear" w:color="auto" w:fill="FFC000"/>
          </w:tcPr>
          <w:p w14:paraId="0DE3D449" w14:textId="51373BF9" w:rsidR="00B77BF9" w:rsidRPr="00F752FF" w:rsidRDefault="00E30EEE" w:rsidP="00673975">
            <w:pPr>
              <w:jc w:val="center"/>
              <w:rPr>
                <w:rFonts w:ascii="Arial" w:hAnsi="Arial" w:cs="Arial"/>
                <w:b/>
                <w:bCs/>
                <w:i/>
                <w:iCs/>
              </w:rPr>
            </w:pPr>
            <w:r>
              <w:rPr>
                <w:rFonts w:ascii="Arial" w:hAnsi="Arial" w:cs="Arial"/>
                <w:b/>
                <w:bCs/>
                <w:i/>
                <w:iCs/>
              </w:rPr>
              <w:t xml:space="preserve">Partly </w:t>
            </w:r>
            <w:r w:rsidR="00B77BF9" w:rsidRPr="00F752FF">
              <w:rPr>
                <w:rFonts w:ascii="Arial" w:hAnsi="Arial" w:cs="Arial"/>
                <w:b/>
                <w:bCs/>
                <w:i/>
                <w:iCs/>
              </w:rPr>
              <w:t>Assured</w:t>
            </w:r>
          </w:p>
          <w:p w14:paraId="41C66983" w14:textId="7DE65A92" w:rsidR="00B77BF9" w:rsidRPr="00F752FF" w:rsidRDefault="00673975" w:rsidP="00673975">
            <w:pPr>
              <w:jc w:val="center"/>
              <w:rPr>
                <w:rFonts w:ascii="Arial" w:eastAsia="Times New Roman" w:hAnsi="Arial" w:cs="Arial"/>
                <w:i/>
                <w:iCs/>
                <w:color w:val="000000"/>
                <w:lang w:eastAsia="en-GB"/>
              </w:rPr>
            </w:pPr>
            <w:r w:rsidRPr="00F752FF">
              <w:rPr>
                <w:rFonts w:ascii="Arial" w:eastAsia="Times New Roman" w:hAnsi="Arial" w:cs="Arial"/>
                <w:i/>
                <w:iCs/>
                <w:color w:val="000000"/>
                <w:lang w:eastAsia="en-GB"/>
              </w:rPr>
              <w:t>Although deployment rates and the hours spent dealing with mental health-related incidents have reduced, further data is required to demonstrate how the time saved has been reinvested into policing activity. In addition, following the Responding to the Public meeting on 19 March 2026, the PCC will expect to receive detailed information from the post</w:t>
            </w:r>
            <w:r w:rsidRPr="00F752FF">
              <w:rPr>
                <w:rFonts w:ascii="Cambria Math" w:eastAsia="Times New Roman" w:hAnsi="Cambria Math" w:cs="Cambria Math"/>
                <w:i/>
                <w:iCs/>
                <w:color w:val="000000"/>
                <w:lang w:eastAsia="en-GB"/>
              </w:rPr>
              <w:t>‑</w:t>
            </w:r>
            <w:r w:rsidRPr="00F752FF">
              <w:rPr>
                <w:rFonts w:ascii="Arial" w:eastAsia="Times New Roman" w:hAnsi="Arial" w:cs="Arial"/>
                <w:i/>
                <w:iCs/>
                <w:color w:val="000000"/>
                <w:lang w:eastAsia="en-GB"/>
              </w:rPr>
              <w:t>implementation review.</w:t>
            </w:r>
          </w:p>
          <w:p w14:paraId="003D76D4" w14:textId="77777777" w:rsidR="006C7DC5" w:rsidRPr="00F752FF" w:rsidRDefault="006C7DC5" w:rsidP="00673975">
            <w:pPr>
              <w:jc w:val="center"/>
              <w:rPr>
                <w:rFonts w:ascii="Arial" w:hAnsi="Arial" w:cs="Arial"/>
                <w:b/>
                <w:bCs/>
                <w:i/>
                <w:iCs/>
              </w:rPr>
            </w:pPr>
          </w:p>
          <w:p w14:paraId="73CA8E98" w14:textId="77777777" w:rsidR="00B77BF9" w:rsidRPr="00F752FF" w:rsidRDefault="00B77BF9" w:rsidP="0053544B">
            <w:pPr>
              <w:jc w:val="center"/>
              <w:rPr>
                <w:rFonts w:ascii="Arial" w:hAnsi="Arial" w:cs="Arial"/>
                <w:b/>
                <w:bCs/>
                <w:i/>
                <w:iCs/>
              </w:rPr>
            </w:pPr>
          </w:p>
          <w:p w14:paraId="3CCD4C6A" w14:textId="77777777" w:rsidR="00B77BF9" w:rsidRPr="00F752FF" w:rsidRDefault="00B77BF9" w:rsidP="0053544B">
            <w:pPr>
              <w:jc w:val="center"/>
              <w:rPr>
                <w:rFonts w:ascii="Arial" w:hAnsi="Arial" w:cs="Arial"/>
                <w:i/>
                <w:iCs/>
              </w:rPr>
            </w:pPr>
          </w:p>
          <w:p w14:paraId="2AF94744" w14:textId="77777777" w:rsidR="00B77BF9" w:rsidRPr="00F752FF" w:rsidRDefault="00B77BF9" w:rsidP="0053544B">
            <w:pPr>
              <w:jc w:val="center"/>
              <w:rPr>
                <w:rFonts w:ascii="Arial" w:hAnsi="Arial" w:cs="Arial"/>
                <w:i/>
                <w:iCs/>
              </w:rPr>
            </w:pPr>
          </w:p>
        </w:tc>
      </w:tr>
    </w:tbl>
    <w:p w14:paraId="72344CCE" w14:textId="77777777" w:rsidR="004369FF" w:rsidRPr="00F752FF" w:rsidRDefault="004369FF" w:rsidP="008A6A2A">
      <w:pPr>
        <w:pStyle w:val="NoSpacing"/>
      </w:pPr>
    </w:p>
    <w:p w14:paraId="3B1E0487" w14:textId="7D81A8C3" w:rsidR="004369FF" w:rsidRPr="00F752FF" w:rsidRDefault="004369FF" w:rsidP="004369FF">
      <w:pPr>
        <w:spacing w:line="240" w:lineRule="auto"/>
        <w:jc w:val="both"/>
        <w:rPr>
          <w:rFonts w:ascii="Arial" w:hAnsi="Arial" w:cs="Arial"/>
          <w:b/>
          <w:bCs/>
          <w:u w:val="single"/>
        </w:rPr>
      </w:pPr>
      <w:r w:rsidRPr="00F752FF">
        <w:rPr>
          <w:rFonts w:ascii="Arial" w:hAnsi="Arial" w:cs="Arial"/>
          <w:b/>
          <w:bCs/>
          <w:u w:val="single"/>
        </w:rPr>
        <w:t>Action</w:t>
      </w:r>
    </w:p>
    <w:tbl>
      <w:tblPr>
        <w:tblStyle w:val="TableGrid"/>
        <w:tblW w:w="15310" w:type="dxa"/>
        <w:tblInd w:w="-147" w:type="dxa"/>
        <w:tblLook w:val="04A0" w:firstRow="1" w:lastRow="0" w:firstColumn="1" w:lastColumn="0" w:noHBand="0" w:noVBand="1"/>
      </w:tblPr>
      <w:tblGrid>
        <w:gridCol w:w="400"/>
        <w:gridCol w:w="14910"/>
      </w:tblGrid>
      <w:tr w:rsidR="004369FF" w:rsidRPr="00B01DFB" w14:paraId="4EF495D2" w14:textId="77777777" w:rsidTr="008B641D">
        <w:tc>
          <w:tcPr>
            <w:tcW w:w="400" w:type="dxa"/>
          </w:tcPr>
          <w:p w14:paraId="09A09014" w14:textId="77777777" w:rsidR="004369FF" w:rsidRPr="00F752FF" w:rsidRDefault="004369FF" w:rsidP="008B641D">
            <w:pPr>
              <w:pStyle w:val="NoSpacing"/>
              <w:rPr>
                <w:rFonts w:ascii="Arial" w:hAnsi="Arial" w:cs="Arial"/>
              </w:rPr>
            </w:pPr>
            <w:r w:rsidRPr="00F752FF">
              <w:rPr>
                <w:rFonts w:ascii="Arial" w:hAnsi="Arial" w:cs="Arial"/>
              </w:rPr>
              <w:t>1.</w:t>
            </w:r>
          </w:p>
        </w:tc>
        <w:tc>
          <w:tcPr>
            <w:tcW w:w="14910" w:type="dxa"/>
          </w:tcPr>
          <w:p w14:paraId="6FC40B5B" w14:textId="20D1FA68" w:rsidR="004369FF" w:rsidRPr="00B01DFB" w:rsidRDefault="001764FE" w:rsidP="001764FE">
            <w:pPr>
              <w:pStyle w:val="NoSpacing"/>
              <w:jc w:val="both"/>
              <w:rPr>
                <w:rFonts w:ascii="Arial" w:hAnsi="Arial" w:cs="Arial"/>
              </w:rPr>
            </w:pPr>
            <w:r w:rsidRPr="00F752FF">
              <w:rPr>
                <w:rFonts w:ascii="Arial" w:hAnsi="Arial" w:cs="Arial"/>
              </w:rPr>
              <w:t xml:space="preserve">That the PCC/OPCC </w:t>
            </w:r>
            <w:r w:rsidR="007B650A">
              <w:rPr>
                <w:rFonts w:ascii="Arial" w:hAnsi="Arial" w:cs="Arial"/>
              </w:rPr>
              <w:t xml:space="preserve">be provided </w:t>
            </w:r>
            <w:r w:rsidRPr="00F752FF">
              <w:rPr>
                <w:rFonts w:ascii="Arial" w:hAnsi="Arial" w:cs="Arial"/>
              </w:rPr>
              <w:t>with detailed data evidencing how time saved from reduced mental</w:t>
            </w:r>
            <w:r w:rsidRPr="00F752FF">
              <w:rPr>
                <w:rFonts w:ascii="Cambria Math" w:hAnsi="Cambria Math" w:cs="Cambria Math"/>
              </w:rPr>
              <w:t>‑</w:t>
            </w:r>
            <w:r w:rsidRPr="00F752FF">
              <w:rPr>
                <w:rFonts w:ascii="Arial" w:hAnsi="Arial" w:cs="Arial"/>
              </w:rPr>
              <w:t>health</w:t>
            </w:r>
            <w:r w:rsidRPr="00F752FF">
              <w:rPr>
                <w:rFonts w:ascii="Cambria Math" w:hAnsi="Cambria Math" w:cs="Cambria Math"/>
              </w:rPr>
              <w:t>‑</w:t>
            </w:r>
            <w:r w:rsidRPr="00F752FF">
              <w:rPr>
                <w:rFonts w:ascii="Arial" w:hAnsi="Arial" w:cs="Arial"/>
              </w:rPr>
              <w:t>related deployments has been reinvested into policing activity, alongside the full findings of the post</w:t>
            </w:r>
            <w:r w:rsidRPr="00F752FF">
              <w:rPr>
                <w:rFonts w:ascii="Cambria Math" w:hAnsi="Cambria Math" w:cs="Cambria Math"/>
              </w:rPr>
              <w:t>‑</w:t>
            </w:r>
            <w:r w:rsidRPr="00F752FF">
              <w:rPr>
                <w:rFonts w:ascii="Arial" w:hAnsi="Arial" w:cs="Arial"/>
              </w:rPr>
              <w:t xml:space="preserve">implementation review following the 19 March 2026 </w:t>
            </w:r>
            <w:r w:rsidR="00BC3D0E" w:rsidRPr="00BC3D0E">
              <w:rPr>
                <w:rFonts w:ascii="Arial" w:hAnsi="Arial" w:cs="Arial"/>
              </w:rPr>
              <w:t xml:space="preserve">Responding to the Public </w:t>
            </w:r>
            <w:r w:rsidRPr="00F752FF">
              <w:rPr>
                <w:rFonts w:ascii="Arial" w:hAnsi="Arial" w:cs="Arial"/>
              </w:rPr>
              <w:t>meeting.</w:t>
            </w:r>
          </w:p>
        </w:tc>
      </w:tr>
    </w:tbl>
    <w:p w14:paraId="2CC9FD5E" w14:textId="77777777" w:rsidR="00B77BF9" w:rsidRPr="00E013D7" w:rsidRDefault="00B77BF9" w:rsidP="007830D1">
      <w:pPr>
        <w:pStyle w:val="NoSpacing"/>
        <w:rPr>
          <w:rFonts w:ascii="Arial" w:hAnsi="Arial" w:cs="Arial"/>
        </w:rPr>
      </w:pPr>
    </w:p>
    <w:sectPr w:rsidR="00B77BF9" w:rsidRPr="00E013D7" w:rsidSect="00CE7AAA">
      <w:pgSz w:w="16838" w:h="11906" w:orient="landscape"/>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3A1"/>
    <w:multiLevelType w:val="hybridMultilevel"/>
    <w:tmpl w:val="2714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D0220"/>
    <w:multiLevelType w:val="hybridMultilevel"/>
    <w:tmpl w:val="950459F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44E39"/>
    <w:multiLevelType w:val="hybridMultilevel"/>
    <w:tmpl w:val="F98C23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B5AE7"/>
    <w:multiLevelType w:val="hybridMultilevel"/>
    <w:tmpl w:val="5A0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F5EDE"/>
    <w:multiLevelType w:val="hybridMultilevel"/>
    <w:tmpl w:val="4EF0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95FFB"/>
    <w:multiLevelType w:val="hybridMultilevel"/>
    <w:tmpl w:val="EC3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0D81"/>
    <w:multiLevelType w:val="hybridMultilevel"/>
    <w:tmpl w:val="642C5E5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314617"/>
    <w:multiLevelType w:val="hybridMultilevel"/>
    <w:tmpl w:val="2FD20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D34CC"/>
    <w:multiLevelType w:val="hybridMultilevel"/>
    <w:tmpl w:val="5C88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C416E"/>
    <w:multiLevelType w:val="hybridMultilevel"/>
    <w:tmpl w:val="B5F628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136F3"/>
    <w:multiLevelType w:val="hybridMultilevel"/>
    <w:tmpl w:val="E700962C"/>
    <w:lvl w:ilvl="0" w:tplc="2DD009B0">
      <w:start w:val="1"/>
      <w:numFmt w:val="decimal"/>
      <w:lvlText w:val="%1."/>
      <w:lvlJc w:val="left"/>
      <w:pPr>
        <w:ind w:left="720" w:hanging="360"/>
      </w:pPr>
      <w:rPr>
        <w:rFonts w:asciiTheme="minorHAnsi" w:eastAsiaTheme="minorHAnsi"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EA3571"/>
    <w:multiLevelType w:val="hybridMultilevel"/>
    <w:tmpl w:val="AF98D28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080" w:hanging="360"/>
      </w:p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073C2"/>
    <w:multiLevelType w:val="hybridMultilevel"/>
    <w:tmpl w:val="E700962C"/>
    <w:lvl w:ilvl="0" w:tplc="FFFFFFFF">
      <w:start w:val="1"/>
      <w:numFmt w:val="decimal"/>
      <w:lvlText w:val="%1."/>
      <w:lvlJc w:val="left"/>
      <w:pPr>
        <w:ind w:left="720" w:hanging="360"/>
      </w:pPr>
      <w:rPr>
        <w:rFonts w:asciiTheme="minorHAnsi" w:eastAsiaTheme="minorHAnsi" w:hAnsiTheme="minorHAns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E0CDC"/>
    <w:multiLevelType w:val="hybridMultilevel"/>
    <w:tmpl w:val="0C5E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13854"/>
    <w:multiLevelType w:val="hybridMultilevel"/>
    <w:tmpl w:val="E5FEC29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321D1A"/>
    <w:multiLevelType w:val="hybridMultilevel"/>
    <w:tmpl w:val="59EAE8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A4644E"/>
    <w:multiLevelType w:val="hybridMultilevel"/>
    <w:tmpl w:val="A0F451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BB4226"/>
    <w:multiLevelType w:val="hybridMultilevel"/>
    <w:tmpl w:val="F7B4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4050B"/>
    <w:multiLevelType w:val="hybridMultilevel"/>
    <w:tmpl w:val="7386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F4436"/>
    <w:multiLevelType w:val="multilevel"/>
    <w:tmpl w:val="F6B05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A772F"/>
    <w:multiLevelType w:val="hybridMultilevel"/>
    <w:tmpl w:val="1F52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303C0"/>
    <w:multiLevelType w:val="hybridMultilevel"/>
    <w:tmpl w:val="74A6A03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A80AE7"/>
    <w:multiLevelType w:val="hybridMultilevel"/>
    <w:tmpl w:val="4FE47716"/>
    <w:lvl w:ilvl="0" w:tplc="08090001">
      <w:start w:val="1"/>
      <w:numFmt w:val="bullet"/>
      <w:lvlText w:val=""/>
      <w:lvlJc w:val="left"/>
      <w:pPr>
        <w:ind w:left="720" w:hanging="360"/>
      </w:pPr>
      <w:rPr>
        <w:rFonts w:ascii="Symbol" w:hAnsi="Symbol" w:hint="default"/>
      </w:rPr>
    </w:lvl>
    <w:lvl w:ilvl="1" w:tplc="1CE4C67C">
      <w:start w:val="1"/>
      <w:numFmt w:val="decimal"/>
      <w:lvlText w:val="%2."/>
      <w:lvlJc w:val="left"/>
      <w:pPr>
        <w:ind w:left="1440" w:hanging="360"/>
      </w:pPr>
      <w:rPr>
        <w:rFonts w:ascii="Arial" w:eastAsiaTheme="minorHAnsi" w:hAnsi="Arial" w:cs="Arial"/>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C42E6"/>
    <w:multiLevelType w:val="hybridMultilevel"/>
    <w:tmpl w:val="94CE2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B7C77"/>
    <w:multiLevelType w:val="hybridMultilevel"/>
    <w:tmpl w:val="281C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803B9"/>
    <w:multiLevelType w:val="hybridMultilevel"/>
    <w:tmpl w:val="FC9CAA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F1682"/>
    <w:multiLevelType w:val="hybridMultilevel"/>
    <w:tmpl w:val="A53A0B4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DCD1BE8"/>
    <w:multiLevelType w:val="hybridMultilevel"/>
    <w:tmpl w:val="D054A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971810"/>
    <w:multiLevelType w:val="hybridMultilevel"/>
    <w:tmpl w:val="96E2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051E6"/>
    <w:multiLevelType w:val="hybridMultilevel"/>
    <w:tmpl w:val="BAD040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F462EC"/>
    <w:multiLevelType w:val="hybridMultilevel"/>
    <w:tmpl w:val="23B640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7727865">
    <w:abstractNumId w:val="10"/>
  </w:num>
  <w:num w:numId="2" w16cid:durableId="1581331635">
    <w:abstractNumId w:val="21"/>
  </w:num>
  <w:num w:numId="3" w16cid:durableId="751972426">
    <w:abstractNumId w:val="11"/>
  </w:num>
  <w:num w:numId="4" w16cid:durableId="1536234265">
    <w:abstractNumId w:val="22"/>
  </w:num>
  <w:num w:numId="5" w16cid:durableId="242957865">
    <w:abstractNumId w:val="23"/>
  </w:num>
  <w:num w:numId="6" w16cid:durableId="1220484093">
    <w:abstractNumId w:val="25"/>
  </w:num>
  <w:num w:numId="7" w16cid:durableId="1982229355">
    <w:abstractNumId w:val="7"/>
  </w:num>
  <w:num w:numId="8" w16cid:durableId="1705330221">
    <w:abstractNumId w:val="24"/>
  </w:num>
  <w:num w:numId="9" w16cid:durableId="136457213">
    <w:abstractNumId w:val="8"/>
  </w:num>
  <w:num w:numId="10" w16cid:durableId="483159689">
    <w:abstractNumId w:val="29"/>
  </w:num>
  <w:num w:numId="11" w16cid:durableId="921647434">
    <w:abstractNumId w:val="30"/>
  </w:num>
  <w:num w:numId="12" w16cid:durableId="993798090">
    <w:abstractNumId w:val="6"/>
  </w:num>
  <w:num w:numId="13" w16cid:durableId="1032146714">
    <w:abstractNumId w:val="26"/>
  </w:num>
  <w:num w:numId="14" w16cid:durableId="859121832">
    <w:abstractNumId w:val="27"/>
  </w:num>
  <w:num w:numId="15" w16cid:durableId="2065830042">
    <w:abstractNumId w:val="19"/>
  </w:num>
  <w:num w:numId="16" w16cid:durableId="1847403641">
    <w:abstractNumId w:val="0"/>
  </w:num>
  <w:num w:numId="17" w16cid:durableId="1356348064">
    <w:abstractNumId w:val="16"/>
  </w:num>
  <w:num w:numId="18" w16cid:durableId="685520467">
    <w:abstractNumId w:val="13"/>
  </w:num>
  <w:num w:numId="19" w16cid:durableId="162740131">
    <w:abstractNumId w:val="5"/>
  </w:num>
  <w:num w:numId="20" w16cid:durableId="833448645">
    <w:abstractNumId w:val="17"/>
  </w:num>
  <w:num w:numId="21" w16cid:durableId="1018435283">
    <w:abstractNumId w:val="20"/>
  </w:num>
  <w:num w:numId="22" w16cid:durableId="203177211">
    <w:abstractNumId w:val="3"/>
  </w:num>
  <w:num w:numId="23" w16cid:durableId="6644688">
    <w:abstractNumId w:val="28"/>
  </w:num>
  <w:num w:numId="24" w16cid:durableId="2042245658">
    <w:abstractNumId w:val="18"/>
  </w:num>
  <w:num w:numId="25" w16cid:durableId="1276870448">
    <w:abstractNumId w:val="4"/>
  </w:num>
  <w:num w:numId="26" w16cid:durableId="853568970">
    <w:abstractNumId w:val="15"/>
  </w:num>
  <w:num w:numId="27" w16cid:durableId="1147169420">
    <w:abstractNumId w:val="1"/>
  </w:num>
  <w:num w:numId="28" w16cid:durableId="966667426">
    <w:abstractNumId w:val="12"/>
  </w:num>
  <w:num w:numId="29" w16cid:durableId="378627059">
    <w:abstractNumId w:val="9"/>
  </w:num>
  <w:num w:numId="30" w16cid:durableId="1253736354">
    <w:abstractNumId w:val="14"/>
  </w:num>
  <w:num w:numId="31" w16cid:durableId="125416743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86"/>
    <w:rsid w:val="00000BF1"/>
    <w:rsid w:val="00001CED"/>
    <w:rsid w:val="0000294D"/>
    <w:rsid w:val="00011AA3"/>
    <w:rsid w:val="00014ECB"/>
    <w:rsid w:val="00023835"/>
    <w:rsid w:val="000279D2"/>
    <w:rsid w:val="00042567"/>
    <w:rsid w:val="000454BC"/>
    <w:rsid w:val="00047754"/>
    <w:rsid w:val="00047F91"/>
    <w:rsid w:val="00054876"/>
    <w:rsid w:val="000552E5"/>
    <w:rsid w:val="000555D5"/>
    <w:rsid w:val="000645BC"/>
    <w:rsid w:val="00070B5F"/>
    <w:rsid w:val="0007308E"/>
    <w:rsid w:val="0007344E"/>
    <w:rsid w:val="000747A3"/>
    <w:rsid w:val="00074D26"/>
    <w:rsid w:val="00076DDB"/>
    <w:rsid w:val="00077316"/>
    <w:rsid w:val="000816CE"/>
    <w:rsid w:val="000822FD"/>
    <w:rsid w:val="0008234F"/>
    <w:rsid w:val="000875FE"/>
    <w:rsid w:val="00092E86"/>
    <w:rsid w:val="00095600"/>
    <w:rsid w:val="00097504"/>
    <w:rsid w:val="00097942"/>
    <w:rsid w:val="000A0DDC"/>
    <w:rsid w:val="000A44F0"/>
    <w:rsid w:val="000A6341"/>
    <w:rsid w:val="000B009E"/>
    <w:rsid w:val="000B2AA2"/>
    <w:rsid w:val="000B4C6A"/>
    <w:rsid w:val="000B4ECB"/>
    <w:rsid w:val="000B7964"/>
    <w:rsid w:val="000C4FE8"/>
    <w:rsid w:val="000C5EF6"/>
    <w:rsid w:val="000C66D0"/>
    <w:rsid w:val="000D1225"/>
    <w:rsid w:val="000D179A"/>
    <w:rsid w:val="000D6CEB"/>
    <w:rsid w:val="000D7653"/>
    <w:rsid w:val="000E0226"/>
    <w:rsid w:val="000E163A"/>
    <w:rsid w:val="000E1BB5"/>
    <w:rsid w:val="000E1F0A"/>
    <w:rsid w:val="000E2C6B"/>
    <w:rsid w:val="000E3F5B"/>
    <w:rsid w:val="000F0196"/>
    <w:rsid w:val="000F2F96"/>
    <w:rsid w:val="000F3B77"/>
    <w:rsid w:val="00103D64"/>
    <w:rsid w:val="001045E9"/>
    <w:rsid w:val="00107AA0"/>
    <w:rsid w:val="00107D64"/>
    <w:rsid w:val="00107EE2"/>
    <w:rsid w:val="00111190"/>
    <w:rsid w:val="00115E49"/>
    <w:rsid w:val="00120F88"/>
    <w:rsid w:val="0012142E"/>
    <w:rsid w:val="00125C7B"/>
    <w:rsid w:val="00126205"/>
    <w:rsid w:val="001278A8"/>
    <w:rsid w:val="00130283"/>
    <w:rsid w:val="00130588"/>
    <w:rsid w:val="00130B72"/>
    <w:rsid w:val="00133C1C"/>
    <w:rsid w:val="00134B94"/>
    <w:rsid w:val="00136292"/>
    <w:rsid w:val="001411C1"/>
    <w:rsid w:val="00144975"/>
    <w:rsid w:val="00145513"/>
    <w:rsid w:val="0015185F"/>
    <w:rsid w:val="00153F87"/>
    <w:rsid w:val="001551B0"/>
    <w:rsid w:val="001605DE"/>
    <w:rsid w:val="0016337B"/>
    <w:rsid w:val="00164C2D"/>
    <w:rsid w:val="00165F60"/>
    <w:rsid w:val="00172C1B"/>
    <w:rsid w:val="001764FE"/>
    <w:rsid w:val="0018009F"/>
    <w:rsid w:val="001823D0"/>
    <w:rsid w:val="00183EFE"/>
    <w:rsid w:val="00195EBC"/>
    <w:rsid w:val="00196841"/>
    <w:rsid w:val="00197210"/>
    <w:rsid w:val="001A1B2C"/>
    <w:rsid w:val="001A429F"/>
    <w:rsid w:val="001A7B41"/>
    <w:rsid w:val="001A7E5A"/>
    <w:rsid w:val="001B4117"/>
    <w:rsid w:val="001B7834"/>
    <w:rsid w:val="001C426E"/>
    <w:rsid w:val="001C5687"/>
    <w:rsid w:val="001C7927"/>
    <w:rsid w:val="001D3C0E"/>
    <w:rsid w:val="001D4DB9"/>
    <w:rsid w:val="001D6BF7"/>
    <w:rsid w:val="001E07A9"/>
    <w:rsid w:val="001E340A"/>
    <w:rsid w:val="001E408C"/>
    <w:rsid w:val="001E44B0"/>
    <w:rsid w:val="001E5437"/>
    <w:rsid w:val="001E6C19"/>
    <w:rsid w:val="001F2E80"/>
    <w:rsid w:val="001F2EEC"/>
    <w:rsid w:val="001F3E5E"/>
    <w:rsid w:val="001F6934"/>
    <w:rsid w:val="001F6DA8"/>
    <w:rsid w:val="002000CF"/>
    <w:rsid w:val="00201163"/>
    <w:rsid w:val="00203071"/>
    <w:rsid w:val="00204942"/>
    <w:rsid w:val="002110A7"/>
    <w:rsid w:val="00213F58"/>
    <w:rsid w:val="002231F1"/>
    <w:rsid w:val="002261B1"/>
    <w:rsid w:val="002261CB"/>
    <w:rsid w:val="00226B89"/>
    <w:rsid w:val="00251B0D"/>
    <w:rsid w:val="00251EA4"/>
    <w:rsid w:val="00260C0C"/>
    <w:rsid w:val="00261B05"/>
    <w:rsid w:val="00262A58"/>
    <w:rsid w:val="00271D51"/>
    <w:rsid w:val="00271F9F"/>
    <w:rsid w:val="00276B00"/>
    <w:rsid w:val="00281CE1"/>
    <w:rsid w:val="00285725"/>
    <w:rsid w:val="0029062C"/>
    <w:rsid w:val="00290A14"/>
    <w:rsid w:val="00292A7C"/>
    <w:rsid w:val="002937AF"/>
    <w:rsid w:val="002946F9"/>
    <w:rsid w:val="00295CBF"/>
    <w:rsid w:val="00297BD4"/>
    <w:rsid w:val="002A315D"/>
    <w:rsid w:val="002A5AB6"/>
    <w:rsid w:val="002A5E8B"/>
    <w:rsid w:val="002A6118"/>
    <w:rsid w:val="002A7B1F"/>
    <w:rsid w:val="002B1ADB"/>
    <w:rsid w:val="002B3334"/>
    <w:rsid w:val="002C10E4"/>
    <w:rsid w:val="002D128D"/>
    <w:rsid w:val="002D38B4"/>
    <w:rsid w:val="002D67AA"/>
    <w:rsid w:val="002D6C1C"/>
    <w:rsid w:val="002E145C"/>
    <w:rsid w:val="002E6C55"/>
    <w:rsid w:val="002F40D5"/>
    <w:rsid w:val="002F6A51"/>
    <w:rsid w:val="0030450E"/>
    <w:rsid w:val="00306348"/>
    <w:rsid w:val="00307D9A"/>
    <w:rsid w:val="00310753"/>
    <w:rsid w:val="00315BCB"/>
    <w:rsid w:val="003169CC"/>
    <w:rsid w:val="00317FAC"/>
    <w:rsid w:val="003208DC"/>
    <w:rsid w:val="003210A3"/>
    <w:rsid w:val="00327353"/>
    <w:rsid w:val="003279A3"/>
    <w:rsid w:val="00331405"/>
    <w:rsid w:val="00333920"/>
    <w:rsid w:val="00346FA2"/>
    <w:rsid w:val="00354C75"/>
    <w:rsid w:val="0036112D"/>
    <w:rsid w:val="00362DA2"/>
    <w:rsid w:val="00365A97"/>
    <w:rsid w:val="00365FAC"/>
    <w:rsid w:val="00371D94"/>
    <w:rsid w:val="00372FEC"/>
    <w:rsid w:val="00380344"/>
    <w:rsid w:val="00380A8B"/>
    <w:rsid w:val="00381841"/>
    <w:rsid w:val="0038649F"/>
    <w:rsid w:val="00387F48"/>
    <w:rsid w:val="0039049E"/>
    <w:rsid w:val="00390A68"/>
    <w:rsid w:val="003915B2"/>
    <w:rsid w:val="0039382C"/>
    <w:rsid w:val="00397017"/>
    <w:rsid w:val="003A1D48"/>
    <w:rsid w:val="003A2C40"/>
    <w:rsid w:val="003A5B5B"/>
    <w:rsid w:val="003B19CC"/>
    <w:rsid w:val="003C5BDD"/>
    <w:rsid w:val="003D0DB1"/>
    <w:rsid w:val="003D2AC6"/>
    <w:rsid w:val="003D4FFD"/>
    <w:rsid w:val="003D6D5B"/>
    <w:rsid w:val="003E2874"/>
    <w:rsid w:val="003E3C2C"/>
    <w:rsid w:val="003E4FA0"/>
    <w:rsid w:val="003E5275"/>
    <w:rsid w:val="003F6497"/>
    <w:rsid w:val="0040076F"/>
    <w:rsid w:val="00405277"/>
    <w:rsid w:val="004056E7"/>
    <w:rsid w:val="00406349"/>
    <w:rsid w:val="00406D2C"/>
    <w:rsid w:val="0042195E"/>
    <w:rsid w:val="00423C96"/>
    <w:rsid w:val="004262F5"/>
    <w:rsid w:val="00430353"/>
    <w:rsid w:val="00433D1F"/>
    <w:rsid w:val="00434E63"/>
    <w:rsid w:val="004369FF"/>
    <w:rsid w:val="00437012"/>
    <w:rsid w:val="00441629"/>
    <w:rsid w:val="00441F9F"/>
    <w:rsid w:val="00443A2B"/>
    <w:rsid w:val="004461C8"/>
    <w:rsid w:val="00456DA5"/>
    <w:rsid w:val="00461395"/>
    <w:rsid w:val="00461A25"/>
    <w:rsid w:val="00466622"/>
    <w:rsid w:val="00470E35"/>
    <w:rsid w:val="004754AA"/>
    <w:rsid w:val="00475842"/>
    <w:rsid w:val="00475AE5"/>
    <w:rsid w:val="0047689E"/>
    <w:rsid w:val="00477E85"/>
    <w:rsid w:val="0048102F"/>
    <w:rsid w:val="00483EE0"/>
    <w:rsid w:val="00484306"/>
    <w:rsid w:val="0048631A"/>
    <w:rsid w:val="00493B2D"/>
    <w:rsid w:val="0049501D"/>
    <w:rsid w:val="00496E21"/>
    <w:rsid w:val="004A2803"/>
    <w:rsid w:val="004A33E3"/>
    <w:rsid w:val="004A36EB"/>
    <w:rsid w:val="004A48A9"/>
    <w:rsid w:val="004A54B5"/>
    <w:rsid w:val="004B4179"/>
    <w:rsid w:val="004B4AFE"/>
    <w:rsid w:val="004C05F8"/>
    <w:rsid w:val="004C118E"/>
    <w:rsid w:val="004D510F"/>
    <w:rsid w:val="004D7561"/>
    <w:rsid w:val="004E05DD"/>
    <w:rsid w:val="004E34B0"/>
    <w:rsid w:val="004E765E"/>
    <w:rsid w:val="004F0398"/>
    <w:rsid w:val="004F04DB"/>
    <w:rsid w:val="004F0D69"/>
    <w:rsid w:val="004F647B"/>
    <w:rsid w:val="00501740"/>
    <w:rsid w:val="00501805"/>
    <w:rsid w:val="00503EB2"/>
    <w:rsid w:val="005104F0"/>
    <w:rsid w:val="00521021"/>
    <w:rsid w:val="00525206"/>
    <w:rsid w:val="0053165A"/>
    <w:rsid w:val="005334B0"/>
    <w:rsid w:val="00543FF6"/>
    <w:rsid w:val="00547F7F"/>
    <w:rsid w:val="00551194"/>
    <w:rsid w:val="005565E7"/>
    <w:rsid w:val="005634F3"/>
    <w:rsid w:val="00565928"/>
    <w:rsid w:val="0057465C"/>
    <w:rsid w:val="005773C5"/>
    <w:rsid w:val="0058371F"/>
    <w:rsid w:val="005859A6"/>
    <w:rsid w:val="00585D3B"/>
    <w:rsid w:val="00592F72"/>
    <w:rsid w:val="00594AE9"/>
    <w:rsid w:val="005A19C6"/>
    <w:rsid w:val="005A2E35"/>
    <w:rsid w:val="005A6714"/>
    <w:rsid w:val="005B12F9"/>
    <w:rsid w:val="005B3F3F"/>
    <w:rsid w:val="005B52C0"/>
    <w:rsid w:val="005C606E"/>
    <w:rsid w:val="005C7117"/>
    <w:rsid w:val="005D14E3"/>
    <w:rsid w:val="005D1746"/>
    <w:rsid w:val="005D2F5E"/>
    <w:rsid w:val="005D6F8E"/>
    <w:rsid w:val="005D70B2"/>
    <w:rsid w:val="005E1501"/>
    <w:rsid w:val="005E3AFE"/>
    <w:rsid w:val="005E5840"/>
    <w:rsid w:val="005F0956"/>
    <w:rsid w:val="005F12ED"/>
    <w:rsid w:val="005F7A5C"/>
    <w:rsid w:val="00601F83"/>
    <w:rsid w:val="0060673B"/>
    <w:rsid w:val="00607451"/>
    <w:rsid w:val="0061005A"/>
    <w:rsid w:val="0061389C"/>
    <w:rsid w:val="006144D9"/>
    <w:rsid w:val="006210BA"/>
    <w:rsid w:val="0062480C"/>
    <w:rsid w:val="00627EB7"/>
    <w:rsid w:val="00630276"/>
    <w:rsid w:val="00631575"/>
    <w:rsid w:val="006342AD"/>
    <w:rsid w:val="006473CF"/>
    <w:rsid w:val="00650476"/>
    <w:rsid w:val="006521D5"/>
    <w:rsid w:val="006543B0"/>
    <w:rsid w:val="0065583C"/>
    <w:rsid w:val="00657B4D"/>
    <w:rsid w:val="006612E5"/>
    <w:rsid w:val="00661723"/>
    <w:rsid w:val="00661D5E"/>
    <w:rsid w:val="00673975"/>
    <w:rsid w:val="00674608"/>
    <w:rsid w:val="0067471E"/>
    <w:rsid w:val="006808C8"/>
    <w:rsid w:val="0069161C"/>
    <w:rsid w:val="00692BAE"/>
    <w:rsid w:val="006A2B71"/>
    <w:rsid w:val="006A546C"/>
    <w:rsid w:val="006B0298"/>
    <w:rsid w:val="006B0962"/>
    <w:rsid w:val="006B253B"/>
    <w:rsid w:val="006B3FDF"/>
    <w:rsid w:val="006B7B04"/>
    <w:rsid w:val="006C1E57"/>
    <w:rsid w:val="006C2553"/>
    <w:rsid w:val="006C7DC5"/>
    <w:rsid w:val="006D231A"/>
    <w:rsid w:val="006D2FA6"/>
    <w:rsid w:val="006D34C1"/>
    <w:rsid w:val="006D5B89"/>
    <w:rsid w:val="006D721E"/>
    <w:rsid w:val="006D73BA"/>
    <w:rsid w:val="006E17C5"/>
    <w:rsid w:val="006E20B2"/>
    <w:rsid w:val="006E2397"/>
    <w:rsid w:val="006E291D"/>
    <w:rsid w:val="006E31E9"/>
    <w:rsid w:val="006E4686"/>
    <w:rsid w:val="006E4DD4"/>
    <w:rsid w:val="006E6631"/>
    <w:rsid w:val="006F029A"/>
    <w:rsid w:val="006F0DBD"/>
    <w:rsid w:val="006F35FF"/>
    <w:rsid w:val="006F4550"/>
    <w:rsid w:val="006F49DC"/>
    <w:rsid w:val="006F6DFD"/>
    <w:rsid w:val="00700F60"/>
    <w:rsid w:val="0070287F"/>
    <w:rsid w:val="00707639"/>
    <w:rsid w:val="0071008A"/>
    <w:rsid w:val="00712BAF"/>
    <w:rsid w:val="00716707"/>
    <w:rsid w:val="00724968"/>
    <w:rsid w:val="00727D1C"/>
    <w:rsid w:val="007304A1"/>
    <w:rsid w:val="00731A42"/>
    <w:rsid w:val="0073554A"/>
    <w:rsid w:val="00735E15"/>
    <w:rsid w:val="00740904"/>
    <w:rsid w:val="00740E69"/>
    <w:rsid w:val="00746A37"/>
    <w:rsid w:val="007616B1"/>
    <w:rsid w:val="0076373F"/>
    <w:rsid w:val="00764511"/>
    <w:rsid w:val="007718E0"/>
    <w:rsid w:val="00771FA5"/>
    <w:rsid w:val="00772DA7"/>
    <w:rsid w:val="00773E06"/>
    <w:rsid w:val="00774FF2"/>
    <w:rsid w:val="00777945"/>
    <w:rsid w:val="00777A2C"/>
    <w:rsid w:val="007803C9"/>
    <w:rsid w:val="00780AA0"/>
    <w:rsid w:val="00781BD3"/>
    <w:rsid w:val="00782082"/>
    <w:rsid w:val="007827AC"/>
    <w:rsid w:val="007830D1"/>
    <w:rsid w:val="0078612C"/>
    <w:rsid w:val="00791350"/>
    <w:rsid w:val="007A3ACF"/>
    <w:rsid w:val="007A5E28"/>
    <w:rsid w:val="007B2828"/>
    <w:rsid w:val="007B293C"/>
    <w:rsid w:val="007B47B8"/>
    <w:rsid w:val="007B650A"/>
    <w:rsid w:val="007B6537"/>
    <w:rsid w:val="007C4DCF"/>
    <w:rsid w:val="007D5D7C"/>
    <w:rsid w:val="007D607B"/>
    <w:rsid w:val="007D7829"/>
    <w:rsid w:val="007E26F9"/>
    <w:rsid w:val="007E3104"/>
    <w:rsid w:val="007E6F2D"/>
    <w:rsid w:val="007F5E47"/>
    <w:rsid w:val="007F7686"/>
    <w:rsid w:val="008019A0"/>
    <w:rsid w:val="00803CC1"/>
    <w:rsid w:val="00803D25"/>
    <w:rsid w:val="008044C1"/>
    <w:rsid w:val="00807F73"/>
    <w:rsid w:val="008106B0"/>
    <w:rsid w:val="0081084C"/>
    <w:rsid w:val="008140E1"/>
    <w:rsid w:val="00824016"/>
    <w:rsid w:val="00825E86"/>
    <w:rsid w:val="00827FEA"/>
    <w:rsid w:val="008311EA"/>
    <w:rsid w:val="008346F4"/>
    <w:rsid w:val="00836D86"/>
    <w:rsid w:val="0083776A"/>
    <w:rsid w:val="00840175"/>
    <w:rsid w:val="00840CD0"/>
    <w:rsid w:val="00843FC3"/>
    <w:rsid w:val="008514A9"/>
    <w:rsid w:val="008516E0"/>
    <w:rsid w:val="008609A6"/>
    <w:rsid w:val="00860F60"/>
    <w:rsid w:val="00860FCF"/>
    <w:rsid w:val="008705FD"/>
    <w:rsid w:val="00870F6E"/>
    <w:rsid w:val="00877B97"/>
    <w:rsid w:val="00880505"/>
    <w:rsid w:val="008805D6"/>
    <w:rsid w:val="00882A2C"/>
    <w:rsid w:val="00890E1C"/>
    <w:rsid w:val="008919B3"/>
    <w:rsid w:val="00892275"/>
    <w:rsid w:val="00892921"/>
    <w:rsid w:val="008941D3"/>
    <w:rsid w:val="008943E9"/>
    <w:rsid w:val="00895AE7"/>
    <w:rsid w:val="00897E86"/>
    <w:rsid w:val="008A1F68"/>
    <w:rsid w:val="008A2537"/>
    <w:rsid w:val="008A6A2A"/>
    <w:rsid w:val="008B1B77"/>
    <w:rsid w:val="008B3C8E"/>
    <w:rsid w:val="008B65EC"/>
    <w:rsid w:val="008B7791"/>
    <w:rsid w:val="008C02B9"/>
    <w:rsid w:val="008C3E31"/>
    <w:rsid w:val="008C6568"/>
    <w:rsid w:val="008C7CCB"/>
    <w:rsid w:val="008D0A49"/>
    <w:rsid w:val="008D5DF5"/>
    <w:rsid w:val="008D669A"/>
    <w:rsid w:val="008E29BC"/>
    <w:rsid w:val="008E3953"/>
    <w:rsid w:val="008E5584"/>
    <w:rsid w:val="008F0E0F"/>
    <w:rsid w:val="008F4798"/>
    <w:rsid w:val="008F4CA2"/>
    <w:rsid w:val="009020F4"/>
    <w:rsid w:val="00904B17"/>
    <w:rsid w:val="009111C5"/>
    <w:rsid w:val="00911F19"/>
    <w:rsid w:val="00912B2A"/>
    <w:rsid w:val="00913CF7"/>
    <w:rsid w:val="00914BA5"/>
    <w:rsid w:val="00915C58"/>
    <w:rsid w:val="00920298"/>
    <w:rsid w:val="0092073F"/>
    <w:rsid w:val="009228C0"/>
    <w:rsid w:val="00924752"/>
    <w:rsid w:val="00931359"/>
    <w:rsid w:val="00934227"/>
    <w:rsid w:val="00935211"/>
    <w:rsid w:val="00935808"/>
    <w:rsid w:val="00943544"/>
    <w:rsid w:val="00943DA3"/>
    <w:rsid w:val="00946C6C"/>
    <w:rsid w:val="0095163F"/>
    <w:rsid w:val="00953599"/>
    <w:rsid w:val="00954162"/>
    <w:rsid w:val="00960016"/>
    <w:rsid w:val="00960D64"/>
    <w:rsid w:val="00961733"/>
    <w:rsid w:val="009619A8"/>
    <w:rsid w:val="009660C1"/>
    <w:rsid w:val="00970CC0"/>
    <w:rsid w:val="00970CCC"/>
    <w:rsid w:val="00971528"/>
    <w:rsid w:val="00974BB3"/>
    <w:rsid w:val="00976CFB"/>
    <w:rsid w:val="00990583"/>
    <w:rsid w:val="00991733"/>
    <w:rsid w:val="00994B4D"/>
    <w:rsid w:val="009950C6"/>
    <w:rsid w:val="00996D30"/>
    <w:rsid w:val="00997D89"/>
    <w:rsid w:val="009A65DF"/>
    <w:rsid w:val="009A6F62"/>
    <w:rsid w:val="009A7070"/>
    <w:rsid w:val="009B0474"/>
    <w:rsid w:val="009B0519"/>
    <w:rsid w:val="009B6DC7"/>
    <w:rsid w:val="009C4003"/>
    <w:rsid w:val="009C4FEC"/>
    <w:rsid w:val="009C7912"/>
    <w:rsid w:val="009D24D1"/>
    <w:rsid w:val="009D3CC9"/>
    <w:rsid w:val="009E22CE"/>
    <w:rsid w:val="009E5B87"/>
    <w:rsid w:val="009E6031"/>
    <w:rsid w:val="009F16EA"/>
    <w:rsid w:val="009F6B3D"/>
    <w:rsid w:val="00A014ED"/>
    <w:rsid w:val="00A0294C"/>
    <w:rsid w:val="00A0477B"/>
    <w:rsid w:val="00A0524E"/>
    <w:rsid w:val="00A05A5B"/>
    <w:rsid w:val="00A144A2"/>
    <w:rsid w:val="00A14975"/>
    <w:rsid w:val="00A25A6C"/>
    <w:rsid w:val="00A27B0C"/>
    <w:rsid w:val="00A31A02"/>
    <w:rsid w:val="00A33D7B"/>
    <w:rsid w:val="00A34EE4"/>
    <w:rsid w:val="00A36D2E"/>
    <w:rsid w:val="00A403D2"/>
    <w:rsid w:val="00A4070A"/>
    <w:rsid w:val="00A46E5C"/>
    <w:rsid w:val="00A513D8"/>
    <w:rsid w:val="00A6242F"/>
    <w:rsid w:val="00A6260D"/>
    <w:rsid w:val="00A627D2"/>
    <w:rsid w:val="00A63981"/>
    <w:rsid w:val="00A659AE"/>
    <w:rsid w:val="00A71E13"/>
    <w:rsid w:val="00A73892"/>
    <w:rsid w:val="00A73DB8"/>
    <w:rsid w:val="00A7576A"/>
    <w:rsid w:val="00A777B2"/>
    <w:rsid w:val="00A8435C"/>
    <w:rsid w:val="00A85ED1"/>
    <w:rsid w:val="00A92BD9"/>
    <w:rsid w:val="00AA25BA"/>
    <w:rsid w:val="00AA3170"/>
    <w:rsid w:val="00AA3E72"/>
    <w:rsid w:val="00AB14DB"/>
    <w:rsid w:val="00AB471B"/>
    <w:rsid w:val="00AB5479"/>
    <w:rsid w:val="00AC0089"/>
    <w:rsid w:val="00AC1289"/>
    <w:rsid w:val="00AC27C1"/>
    <w:rsid w:val="00AC5D24"/>
    <w:rsid w:val="00AD0A78"/>
    <w:rsid w:val="00AD10FA"/>
    <w:rsid w:val="00AD1CC2"/>
    <w:rsid w:val="00AD3548"/>
    <w:rsid w:val="00AE0C8B"/>
    <w:rsid w:val="00AE1908"/>
    <w:rsid w:val="00AF1F40"/>
    <w:rsid w:val="00AF4B51"/>
    <w:rsid w:val="00AF5DA4"/>
    <w:rsid w:val="00AF6536"/>
    <w:rsid w:val="00AF70DC"/>
    <w:rsid w:val="00B00658"/>
    <w:rsid w:val="00B00896"/>
    <w:rsid w:val="00B00B84"/>
    <w:rsid w:val="00B01DFB"/>
    <w:rsid w:val="00B036C7"/>
    <w:rsid w:val="00B04EED"/>
    <w:rsid w:val="00B05A6B"/>
    <w:rsid w:val="00B05F6B"/>
    <w:rsid w:val="00B06514"/>
    <w:rsid w:val="00B06CE1"/>
    <w:rsid w:val="00B11D93"/>
    <w:rsid w:val="00B27C34"/>
    <w:rsid w:val="00B33173"/>
    <w:rsid w:val="00B33A70"/>
    <w:rsid w:val="00B35BAF"/>
    <w:rsid w:val="00B36035"/>
    <w:rsid w:val="00B4027B"/>
    <w:rsid w:val="00B4078B"/>
    <w:rsid w:val="00B437D8"/>
    <w:rsid w:val="00B462B3"/>
    <w:rsid w:val="00B505DB"/>
    <w:rsid w:val="00B52B97"/>
    <w:rsid w:val="00B52FCB"/>
    <w:rsid w:val="00B55217"/>
    <w:rsid w:val="00B558A2"/>
    <w:rsid w:val="00B56BD5"/>
    <w:rsid w:val="00B636A4"/>
    <w:rsid w:val="00B65739"/>
    <w:rsid w:val="00B6774A"/>
    <w:rsid w:val="00B71266"/>
    <w:rsid w:val="00B71F4B"/>
    <w:rsid w:val="00B73EEF"/>
    <w:rsid w:val="00B76D2F"/>
    <w:rsid w:val="00B77BF9"/>
    <w:rsid w:val="00B77F24"/>
    <w:rsid w:val="00B82A42"/>
    <w:rsid w:val="00B905D3"/>
    <w:rsid w:val="00B9362B"/>
    <w:rsid w:val="00B93F95"/>
    <w:rsid w:val="00B97833"/>
    <w:rsid w:val="00BA1417"/>
    <w:rsid w:val="00BA6A40"/>
    <w:rsid w:val="00BA6FF8"/>
    <w:rsid w:val="00BC1160"/>
    <w:rsid w:val="00BC1D60"/>
    <w:rsid w:val="00BC3D0E"/>
    <w:rsid w:val="00BC77DF"/>
    <w:rsid w:val="00BD1149"/>
    <w:rsid w:val="00BD23E2"/>
    <w:rsid w:val="00BD3606"/>
    <w:rsid w:val="00BE021E"/>
    <w:rsid w:val="00BE260E"/>
    <w:rsid w:val="00BE47BF"/>
    <w:rsid w:val="00BE47C9"/>
    <w:rsid w:val="00BF40AB"/>
    <w:rsid w:val="00BF59DC"/>
    <w:rsid w:val="00BF6699"/>
    <w:rsid w:val="00BF70EC"/>
    <w:rsid w:val="00BF7D24"/>
    <w:rsid w:val="00C04F2D"/>
    <w:rsid w:val="00C14933"/>
    <w:rsid w:val="00C17848"/>
    <w:rsid w:val="00C20E0F"/>
    <w:rsid w:val="00C21000"/>
    <w:rsid w:val="00C22C3A"/>
    <w:rsid w:val="00C250BF"/>
    <w:rsid w:val="00C339B0"/>
    <w:rsid w:val="00C354C7"/>
    <w:rsid w:val="00C3751C"/>
    <w:rsid w:val="00C428D2"/>
    <w:rsid w:val="00C4597B"/>
    <w:rsid w:val="00C465BA"/>
    <w:rsid w:val="00C47260"/>
    <w:rsid w:val="00C5015A"/>
    <w:rsid w:val="00C51E1C"/>
    <w:rsid w:val="00C53452"/>
    <w:rsid w:val="00C54B5F"/>
    <w:rsid w:val="00C56D5A"/>
    <w:rsid w:val="00C6137A"/>
    <w:rsid w:val="00C63032"/>
    <w:rsid w:val="00C64B06"/>
    <w:rsid w:val="00C72878"/>
    <w:rsid w:val="00C72A8F"/>
    <w:rsid w:val="00C8122E"/>
    <w:rsid w:val="00C830AF"/>
    <w:rsid w:val="00C8500C"/>
    <w:rsid w:val="00C9342C"/>
    <w:rsid w:val="00C94C1F"/>
    <w:rsid w:val="00C95378"/>
    <w:rsid w:val="00CA1DC5"/>
    <w:rsid w:val="00CA3BD1"/>
    <w:rsid w:val="00CA4DBF"/>
    <w:rsid w:val="00CA50D8"/>
    <w:rsid w:val="00CA6661"/>
    <w:rsid w:val="00CB1019"/>
    <w:rsid w:val="00CB42B1"/>
    <w:rsid w:val="00CB7182"/>
    <w:rsid w:val="00CC12EB"/>
    <w:rsid w:val="00CC4292"/>
    <w:rsid w:val="00CC50B3"/>
    <w:rsid w:val="00CC6608"/>
    <w:rsid w:val="00CD1001"/>
    <w:rsid w:val="00CD15C4"/>
    <w:rsid w:val="00CE2120"/>
    <w:rsid w:val="00CE2886"/>
    <w:rsid w:val="00CE7325"/>
    <w:rsid w:val="00CE7AAA"/>
    <w:rsid w:val="00CF38B6"/>
    <w:rsid w:val="00D00936"/>
    <w:rsid w:val="00D01119"/>
    <w:rsid w:val="00D014BF"/>
    <w:rsid w:val="00D02ABC"/>
    <w:rsid w:val="00D0341A"/>
    <w:rsid w:val="00D1498D"/>
    <w:rsid w:val="00D3375C"/>
    <w:rsid w:val="00D35A1F"/>
    <w:rsid w:val="00D37682"/>
    <w:rsid w:val="00D4612A"/>
    <w:rsid w:val="00D53D4D"/>
    <w:rsid w:val="00D54C20"/>
    <w:rsid w:val="00D64D5B"/>
    <w:rsid w:val="00D67E14"/>
    <w:rsid w:val="00D67FDC"/>
    <w:rsid w:val="00D73933"/>
    <w:rsid w:val="00D742A0"/>
    <w:rsid w:val="00D74AFE"/>
    <w:rsid w:val="00D807F4"/>
    <w:rsid w:val="00D80843"/>
    <w:rsid w:val="00D82DFB"/>
    <w:rsid w:val="00D83359"/>
    <w:rsid w:val="00D869EA"/>
    <w:rsid w:val="00D87841"/>
    <w:rsid w:val="00D956F8"/>
    <w:rsid w:val="00DA08CA"/>
    <w:rsid w:val="00DA0EB2"/>
    <w:rsid w:val="00DA16D0"/>
    <w:rsid w:val="00DA4A3B"/>
    <w:rsid w:val="00DA70DC"/>
    <w:rsid w:val="00DB33F1"/>
    <w:rsid w:val="00DB43BF"/>
    <w:rsid w:val="00DC21BE"/>
    <w:rsid w:val="00DC3909"/>
    <w:rsid w:val="00DC59C0"/>
    <w:rsid w:val="00DD07B4"/>
    <w:rsid w:val="00DD1BC0"/>
    <w:rsid w:val="00DD3712"/>
    <w:rsid w:val="00DD62CB"/>
    <w:rsid w:val="00DE65CD"/>
    <w:rsid w:val="00DF0633"/>
    <w:rsid w:val="00DF1546"/>
    <w:rsid w:val="00E013D7"/>
    <w:rsid w:val="00E1161E"/>
    <w:rsid w:val="00E12781"/>
    <w:rsid w:val="00E133FE"/>
    <w:rsid w:val="00E13DD5"/>
    <w:rsid w:val="00E141A1"/>
    <w:rsid w:val="00E16BA1"/>
    <w:rsid w:val="00E16BFD"/>
    <w:rsid w:val="00E21E9B"/>
    <w:rsid w:val="00E25CEC"/>
    <w:rsid w:val="00E26897"/>
    <w:rsid w:val="00E27198"/>
    <w:rsid w:val="00E30C87"/>
    <w:rsid w:val="00E30EEE"/>
    <w:rsid w:val="00E330A5"/>
    <w:rsid w:val="00E349FC"/>
    <w:rsid w:val="00E3604F"/>
    <w:rsid w:val="00E402B7"/>
    <w:rsid w:val="00E40319"/>
    <w:rsid w:val="00E41765"/>
    <w:rsid w:val="00E42596"/>
    <w:rsid w:val="00E42B8B"/>
    <w:rsid w:val="00E44574"/>
    <w:rsid w:val="00E456E6"/>
    <w:rsid w:val="00E47BD5"/>
    <w:rsid w:val="00E62365"/>
    <w:rsid w:val="00E64F7C"/>
    <w:rsid w:val="00E66CC7"/>
    <w:rsid w:val="00E70E74"/>
    <w:rsid w:val="00E74356"/>
    <w:rsid w:val="00E839CC"/>
    <w:rsid w:val="00E90276"/>
    <w:rsid w:val="00E92A55"/>
    <w:rsid w:val="00E939DB"/>
    <w:rsid w:val="00E954B4"/>
    <w:rsid w:val="00E955EE"/>
    <w:rsid w:val="00E968AF"/>
    <w:rsid w:val="00E96A37"/>
    <w:rsid w:val="00EA6564"/>
    <w:rsid w:val="00EA6FD8"/>
    <w:rsid w:val="00EB2BCF"/>
    <w:rsid w:val="00EC4B70"/>
    <w:rsid w:val="00EC585B"/>
    <w:rsid w:val="00EC6265"/>
    <w:rsid w:val="00EC7303"/>
    <w:rsid w:val="00ED7089"/>
    <w:rsid w:val="00EE3AFB"/>
    <w:rsid w:val="00EF1010"/>
    <w:rsid w:val="00EF3A82"/>
    <w:rsid w:val="00EF70C1"/>
    <w:rsid w:val="00F028CD"/>
    <w:rsid w:val="00F051E8"/>
    <w:rsid w:val="00F05BB8"/>
    <w:rsid w:val="00F140F4"/>
    <w:rsid w:val="00F16F2D"/>
    <w:rsid w:val="00F233DD"/>
    <w:rsid w:val="00F23A6E"/>
    <w:rsid w:val="00F25175"/>
    <w:rsid w:val="00F265F7"/>
    <w:rsid w:val="00F31D86"/>
    <w:rsid w:val="00F35793"/>
    <w:rsid w:val="00F35C98"/>
    <w:rsid w:val="00F36A8A"/>
    <w:rsid w:val="00F404B4"/>
    <w:rsid w:val="00F42106"/>
    <w:rsid w:val="00F55998"/>
    <w:rsid w:val="00F56E92"/>
    <w:rsid w:val="00F6476B"/>
    <w:rsid w:val="00F66A09"/>
    <w:rsid w:val="00F70E0B"/>
    <w:rsid w:val="00F752FF"/>
    <w:rsid w:val="00F81EEC"/>
    <w:rsid w:val="00F87912"/>
    <w:rsid w:val="00F9265F"/>
    <w:rsid w:val="00FA168B"/>
    <w:rsid w:val="00FA2126"/>
    <w:rsid w:val="00FA2C43"/>
    <w:rsid w:val="00FA473D"/>
    <w:rsid w:val="00FA4C08"/>
    <w:rsid w:val="00FA727F"/>
    <w:rsid w:val="00FB2CBC"/>
    <w:rsid w:val="00FB2CF6"/>
    <w:rsid w:val="00FC48AC"/>
    <w:rsid w:val="00FD0392"/>
    <w:rsid w:val="00FD196A"/>
    <w:rsid w:val="00FD21F3"/>
    <w:rsid w:val="00FD32E5"/>
    <w:rsid w:val="00FE0769"/>
    <w:rsid w:val="00FE1770"/>
    <w:rsid w:val="00FE21D3"/>
    <w:rsid w:val="00FE24F7"/>
    <w:rsid w:val="00FE7664"/>
    <w:rsid w:val="00FF07AF"/>
    <w:rsid w:val="00FF29ED"/>
    <w:rsid w:val="00FF46FF"/>
    <w:rsid w:val="00FF5073"/>
    <w:rsid w:val="00FF5580"/>
    <w:rsid w:val="00FF6280"/>
    <w:rsid w:val="00FF7F96"/>
    <w:rsid w:val="0245D22F"/>
    <w:rsid w:val="069ABD0C"/>
    <w:rsid w:val="06A797A0"/>
    <w:rsid w:val="0C043B48"/>
    <w:rsid w:val="13CE215A"/>
    <w:rsid w:val="1528BD5C"/>
    <w:rsid w:val="1BFE7150"/>
    <w:rsid w:val="20A59DBA"/>
    <w:rsid w:val="2285B0C7"/>
    <w:rsid w:val="2308A7D1"/>
    <w:rsid w:val="30D12E9D"/>
    <w:rsid w:val="38D799EE"/>
    <w:rsid w:val="3B5C2580"/>
    <w:rsid w:val="49F28B70"/>
    <w:rsid w:val="51EB8B7B"/>
    <w:rsid w:val="5295CBF7"/>
    <w:rsid w:val="5AC96374"/>
    <w:rsid w:val="6CB75B0A"/>
    <w:rsid w:val="6E7B0A14"/>
    <w:rsid w:val="73C60B56"/>
    <w:rsid w:val="773310CA"/>
    <w:rsid w:val="78AD1A30"/>
    <w:rsid w:val="7C3346A7"/>
    <w:rsid w:val="7F108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1AC3"/>
  <w15:chartTrackingRefBased/>
  <w15:docId w15:val="{9C5F8D98-6A57-46F0-A3C6-8A667258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86"/>
    <w:rPr>
      <w:kern w:val="0"/>
      <w14:ligatures w14:val="none"/>
    </w:rPr>
  </w:style>
  <w:style w:type="paragraph" w:styleId="Heading1">
    <w:name w:val="heading 1"/>
    <w:basedOn w:val="Normal"/>
    <w:next w:val="Normal"/>
    <w:link w:val="Heading1Char"/>
    <w:uiPriority w:val="9"/>
    <w:qFormat/>
    <w:rsid w:val="00836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86"/>
    <w:rPr>
      <w:rFonts w:eastAsiaTheme="majorEastAsia" w:cstheme="majorBidi"/>
      <w:color w:val="272727" w:themeColor="text1" w:themeTint="D8"/>
    </w:rPr>
  </w:style>
  <w:style w:type="paragraph" w:styleId="Title">
    <w:name w:val="Title"/>
    <w:basedOn w:val="Normal"/>
    <w:next w:val="Normal"/>
    <w:link w:val="TitleChar"/>
    <w:uiPriority w:val="10"/>
    <w:qFormat/>
    <w:rsid w:val="0083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86"/>
    <w:pPr>
      <w:spacing w:before="160"/>
      <w:jc w:val="center"/>
    </w:pPr>
    <w:rPr>
      <w:i/>
      <w:iCs/>
      <w:color w:val="404040" w:themeColor="text1" w:themeTint="BF"/>
    </w:rPr>
  </w:style>
  <w:style w:type="character" w:customStyle="1" w:styleId="QuoteChar">
    <w:name w:val="Quote Char"/>
    <w:basedOn w:val="DefaultParagraphFont"/>
    <w:link w:val="Quote"/>
    <w:uiPriority w:val="29"/>
    <w:rsid w:val="00836D86"/>
    <w:rPr>
      <w:i/>
      <w:iCs/>
      <w:color w:val="404040" w:themeColor="text1" w:themeTint="BF"/>
    </w:rPr>
  </w:style>
  <w:style w:type="paragraph" w:styleId="ListParagraph">
    <w:name w:val="List Paragraph"/>
    <w:basedOn w:val="Normal"/>
    <w:uiPriority w:val="34"/>
    <w:qFormat/>
    <w:rsid w:val="00836D86"/>
    <w:pPr>
      <w:ind w:left="720"/>
      <w:contextualSpacing/>
    </w:pPr>
  </w:style>
  <w:style w:type="character" w:styleId="IntenseEmphasis">
    <w:name w:val="Intense Emphasis"/>
    <w:basedOn w:val="DefaultParagraphFont"/>
    <w:uiPriority w:val="21"/>
    <w:qFormat/>
    <w:rsid w:val="00836D86"/>
    <w:rPr>
      <w:i/>
      <w:iCs/>
      <w:color w:val="0F4761" w:themeColor="accent1" w:themeShade="BF"/>
    </w:rPr>
  </w:style>
  <w:style w:type="paragraph" w:styleId="IntenseQuote">
    <w:name w:val="Intense Quote"/>
    <w:basedOn w:val="Normal"/>
    <w:next w:val="Normal"/>
    <w:link w:val="IntenseQuoteChar"/>
    <w:uiPriority w:val="30"/>
    <w:qFormat/>
    <w:rsid w:val="0083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86"/>
    <w:rPr>
      <w:i/>
      <w:iCs/>
      <w:color w:val="0F4761" w:themeColor="accent1" w:themeShade="BF"/>
    </w:rPr>
  </w:style>
  <w:style w:type="character" w:styleId="IntenseReference">
    <w:name w:val="Intense Reference"/>
    <w:basedOn w:val="DefaultParagraphFont"/>
    <w:uiPriority w:val="32"/>
    <w:qFormat/>
    <w:rsid w:val="00836D86"/>
    <w:rPr>
      <w:b/>
      <w:bCs/>
      <w:smallCaps/>
      <w:color w:val="0F4761" w:themeColor="accent1" w:themeShade="BF"/>
      <w:spacing w:val="5"/>
    </w:rPr>
  </w:style>
  <w:style w:type="paragraph" w:styleId="NoSpacing">
    <w:name w:val="No Spacing"/>
    <w:uiPriority w:val="1"/>
    <w:qFormat/>
    <w:rsid w:val="00836D86"/>
    <w:pPr>
      <w:spacing w:after="0" w:line="240" w:lineRule="auto"/>
    </w:pPr>
    <w:rPr>
      <w:kern w:val="0"/>
      <w14:ligatures w14:val="none"/>
    </w:rPr>
  </w:style>
  <w:style w:type="table" w:styleId="TableGrid">
    <w:name w:val="Table Grid"/>
    <w:basedOn w:val="TableNormal"/>
    <w:uiPriority w:val="39"/>
    <w:rsid w:val="0083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8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5436">
      <w:bodyDiv w:val="1"/>
      <w:marLeft w:val="0"/>
      <w:marRight w:val="0"/>
      <w:marTop w:val="0"/>
      <w:marBottom w:val="0"/>
      <w:divBdr>
        <w:top w:val="none" w:sz="0" w:space="0" w:color="auto"/>
        <w:left w:val="none" w:sz="0" w:space="0" w:color="auto"/>
        <w:bottom w:val="none" w:sz="0" w:space="0" w:color="auto"/>
        <w:right w:val="none" w:sz="0" w:space="0" w:color="auto"/>
      </w:divBdr>
      <w:divsChild>
        <w:div w:id="1861582640">
          <w:marLeft w:val="0"/>
          <w:marRight w:val="0"/>
          <w:marTop w:val="0"/>
          <w:marBottom w:val="0"/>
          <w:divBdr>
            <w:top w:val="none" w:sz="0" w:space="0" w:color="auto"/>
            <w:left w:val="none" w:sz="0" w:space="0" w:color="auto"/>
            <w:bottom w:val="none" w:sz="0" w:space="0" w:color="auto"/>
            <w:right w:val="none" w:sz="0" w:space="0" w:color="auto"/>
          </w:divBdr>
        </w:div>
      </w:divsChild>
    </w:div>
    <w:div w:id="111553455">
      <w:bodyDiv w:val="1"/>
      <w:marLeft w:val="0"/>
      <w:marRight w:val="0"/>
      <w:marTop w:val="0"/>
      <w:marBottom w:val="0"/>
      <w:divBdr>
        <w:top w:val="none" w:sz="0" w:space="0" w:color="auto"/>
        <w:left w:val="none" w:sz="0" w:space="0" w:color="auto"/>
        <w:bottom w:val="none" w:sz="0" w:space="0" w:color="auto"/>
        <w:right w:val="none" w:sz="0" w:space="0" w:color="auto"/>
      </w:divBdr>
      <w:divsChild>
        <w:div w:id="1948389420">
          <w:marLeft w:val="0"/>
          <w:marRight w:val="0"/>
          <w:marTop w:val="0"/>
          <w:marBottom w:val="0"/>
          <w:divBdr>
            <w:top w:val="none" w:sz="0" w:space="0" w:color="auto"/>
            <w:left w:val="none" w:sz="0" w:space="0" w:color="auto"/>
            <w:bottom w:val="none" w:sz="0" w:space="0" w:color="auto"/>
            <w:right w:val="none" w:sz="0" w:space="0" w:color="auto"/>
          </w:divBdr>
        </w:div>
      </w:divsChild>
    </w:div>
    <w:div w:id="124590778">
      <w:bodyDiv w:val="1"/>
      <w:marLeft w:val="0"/>
      <w:marRight w:val="0"/>
      <w:marTop w:val="0"/>
      <w:marBottom w:val="0"/>
      <w:divBdr>
        <w:top w:val="none" w:sz="0" w:space="0" w:color="auto"/>
        <w:left w:val="none" w:sz="0" w:space="0" w:color="auto"/>
        <w:bottom w:val="none" w:sz="0" w:space="0" w:color="auto"/>
        <w:right w:val="none" w:sz="0" w:space="0" w:color="auto"/>
      </w:divBdr>
    </w:div>
    <w:div w:id="128209190">
      <w:bodyDiv w:val="1"/>
      <w:marLeft w:val="0"/>
      <w:marRight w:val="0"/>
      <w:marTop w:val="0"/>
      <w:marBottom w:val="0"/>
      <w:divBdr>
        <w:top w:val="none" w:sz="0" w:space="0" w:color="auto"/>
        <w:left w:val="none" w:sz="0" w:space="0" w:color="auto"/>
        <w:bottom w:val="none" w:sz="0" w:space="0" w:color="auto"/>
        <w:right w:val="none" w:sz="0" w:space="0" w:color="auto"/>
      </w:divBdr>
      <w:divsChild>
        <w:div w:id="1448507311">
          <w:marLeft w:val="0"/>
          <w:marRight w:val="0"/>
          <w:marTop w:val="0"/>
          <w:marBottom w:val="0"/>
          <w:divBdr>
            <w:top w:val="none" w:sz="0" w:space="0" w:color="auto"/>
            <w:left w:val="none" w:sz="0" w:space="0" w:color="auto"/>
            <w:bottom w:val="none" w:sz="0" w:space="0" w:color="auto"/>
            <w:right w:val="none" w:sz="0" w:space="0" w:color="auto"/>
          </w:divBdr>
        </w:div>
        <w:div w:id="793907438">
          <w:marLeft w:val="0"/>
          <w:marRight w:val="0"/>
          <w:marTop w:val="0"/>
          <w:marBottom w:val="0"/>
          <w:divBdr>
            <w:top w:val="none" w:sz="0" w:space="0" w:color="auto"/>
            <w:left w:val="none" w:sz="0" w:space="0" w:color="auto"/>
            <w:bottom w:val="none" w:sz="0" w:space="0" w:color="auto"/>
            <w:right w:val="none" w:sz="0" w:space="0" w:color="auto"/>
          </w:divBdr>
        </w:div>
        <w:div w:id="286011653">
          <w:marLeft w:val="0"/>
          <w:marRight w:val="0"/>
          <w:marTop w:val="0"/>
          <w:marBottom w:val="0"/>
          <w:divBdr>
            <w:top w:val="none" w:sz="0" w:space="0" w:color="auto"/>
            <w:left w:val="none" w:sz="0" w:space="0" w:color="auto"/>
            <w:bottom w:val="none" w:sz="0" w:space="0" w:color="auto"/>
            <w:right w:val="none" w:sz="0" w:space="0" w:color="auto"/>
          </w:divBdr>
        </w:div>
      </w:divsChild>
    </w:div>
    <w:div w:id="749472743">
      <w:bodyDiv w:val="1"/>
      <w:marLeft w:val="0"/>
      <w:marRight w:val="0"/>
      <w:marTop w:val="0"/>
      <w:marBottom w:val="0"/>
      <w:divBdr>
        <w:top w:val="none" w:sz="0" w:space="0" w:color="auto"/>
        <w:left w:val="none" w:sz="0" w:space="0" w:color="auto"/>
        <w:bottom w:val="none" w:sz="0" w:space="0" w:color="auto"/>
        <w:right w:val="none" w:sz="0" w:space="0" w:color="auto"/>
      </w:divBdr>
      <w:divsChild>
        <w:div w:id="1345018290">
          <w:marLeft w:val="0"/>
          <w:marRight w:val="0"/>
          <w:marTop w:val="0"/>
          <w:marBottom w:val="0"/>
          <w:divBdr>
            <w:top w:val="none" w:sz="0" w:space="0" w:color="auto"/>
            <w:left w:val="none" w:sz="0" w:space="0" w:color="auto"/>
            <w:bottom w:val="none" w:sz="0" w:space="0" w:color="auto"/>
            <w:right w:val="none" w:sz="0" w:space="0" w:color="auto"/>
          </w:divBdr>
        </w:div>
      </w:divsChild>
    </w:div>
    <w:div w:id="754597166">
      <w:bodyDiv w:val="1"/>
      <w:marLeft w:val="0"/>
      <w:marRight w:val="0"/>
      <w:marTop w:val="0"/>
      <w:marBottom w:val="0"/>
      <w:divBdr>
        <w:top w:val="none" w:sz="0" w:space="0" w:color="auto"/>
        <w:left w:val="none" w:sz="0" w:space="0" w:color="auto"/>
        <w:bottom w:val="none" w:sz="0" w:space="0" w:color="auto"/>
        <w:right w:val="none" w:sz="0" w:space="0" w:color="auto"/>
      </w:divBdr>
      <w:divsChild>
        <w:div w:id="480731931">
          <w:marLeft w:val="0"/>
          <w:marRight w:val="0"/>
          <w:marTop w:val="0"/>
          <w:marBottom w:val="0"/>
          <w:divBdr>
            <w:top w:val="none" w:sz="0" w:space="0" w:color="auto"/>
            <w:left w:val="none" w:sz="0" w:space="0" w:color="auto"/>
            <w:bottom w:val="none" w:sz="0" w:space="0" w:color="auto"/>
            <w:right w:val="none" w:sz="0" w:space="0" w:color="auto"/>
          </w:divBdr>
        </w:div>
      </w:divsChild>
    </w:div>
    <w:div w:id="1204831349">
      <w:bodyDiv w:val="1"/>
      <w:marLeft w:val="0"/>
      <w:marRight w:val="0"/>
      <w:marTop w:val="0"/>
      <w:marBottom w:val="0"/>
      <w:divBdr>
        <w:top w:val="none" w:sz="0" w:space="0" w:color="auto"/>
        <w:left w:val="none" w:sz="0" w:space="0" w:color="auto"/>
        <w:bottom w:val="none" w:sz="0" w:space="0" w:color="auto"/>
        <w:right w:val="none" w:sz="0" w:space="0" w:color="auto"/>
      </w:divBdr>
      <w:divsChild>
        <w:div w:id="1373503759">
          <w:marLeft w:val="446"/>
          <w:marRight w:val="0"/>
          <w:marTop w:val="0"/>
          <w:marBottom w:val="0"/>
          <w:divBdr>
            <w:top w:val="none" w:sz="0" w:space="0" w:color="auto"/>
            <w:left w:val="none" w:sz="0" w:space="0" w:color="auto"/>
            <w:bottom w:val="none" w:sz="0" w:space="0" w:color="auto"/>
            <w:right w:val="none" w:sz="0" w:space="0" w:color="auto"/>
          </w:divBdr>
        </w:div>
        <w:div w:id="1099764226">
          <w:marLeft w:val="446"/>
          <w:marRight w:val="0"/>
          <w:marTop w:val="0"/>
          <w:marBottom w:val="0"/>
          <w:divBdr>
            <w:top w:val="none" w:sz="0" w:space="0" w:color="auto"/>
            <w:left w:val="none" w:sz="0" w:space="0" w:color="auto"/>
            <w:bottom w:val="none" w:sz="0" w:space="0" w:color="auto"/>
            <w:right w:val="none" w:sz="0" w:space="0" w:color="auto"/>
          </w:divBdr>
        </w:div>
        <w:div w:id="431633436">
          <w:marLeft w:val="446"/>
          <w:marRight w:val="0"/>
          <w:marTop w:val="0"/>
          <w:marBottom w:val="0"/>
          <w:divBdr>
            <w:top w:val="none" w:sz="0" w:space="0" w:color="auto"/>
            <w:left w:val="none" w:sz="0" w:space="0" w:color="auto"/>
            <w:bottom w:val="none" w:sz="0" w:space="0" w:color="auto"/>
            <w:right w:val="none" w:sz="0" w:space="0" w:color="auto"/>
          </w:divBdr>
        </w:div>
        <w:div w:id="640424714">
          <w:marLeft w:val="446"/>
          <w:marRight w:val="0"/>
          <w:marTop w:val="0"/>
          <w:marBottom w:val="0"/>
          <w:divBdr>
            <w:top w:val="none" w:sz="0" w:space="0" w:color="auto"/>
            <w:left w:val="none" w:sz="0" w:space="0" w:color="auto"/>
            <w:bottom w:val="none" w:sz="0" w:space="0" w:color="auto"/>
            <w:right w:val="none" w:sz="0" w:space="0" w:color="auto"/>
          </w:divBdr>
        </w:div>
        <w:div w:id="866336724">
          <w:marLeft w:val="446"/>
          <w:marRight w:val="0"/>
          <w:marTop w:val="0"/>
          <w:marBottom w:val="0"/>
          <w:divBdr>
            <w:top w:val="none" w:sz="0" w:space="0" w:color="auto"/>
            <w:left w:val="none" w:sz="0" w:space="0" w:color="auto"/>
            <w:bottom w:val="none" w:sz="0" w:space="0" w:color="auto"/>
            <w:right w:val="none" w:sz="0" w:space="0" w:color="auto"/>
          </w:divBdr>
        </w:div>
      </w:divsChild>
    </w:div>
    <w:div w:id="1380520544">
      <w:bodyDiv w:val="1"/>
      <w:marLeft w:val="0"/>
      <w:marRight w:val="0"/>
      <w:marTop w:val="0"/>
      <w:marBottom w:val="0"/>
      <w:divBdr>
        <w:top w:val="none" w:sz="0" w:space="0" w:color="auto"/>
        <w:left w:val="none" w:sz="0" w:space="0" w:color="auto"/>
        <w:bottom w:val="none" w:sz="0" w:space="0" w:color="auto"/>
        <w:right w:val="none" w:sz="0" w:space="0" w:color="auto"/>
      </w:divBdr>
      <w:divsChild>
        <w:div w:id="2117796322">
          <w:marLeft w:val="0"/>
          <w:marRight w:val="0"/>
          <w:marTop w:val="0"/>
          <w:marBottom w:val="0"/>
          <w:divBdr>
            <w:top w:val="none" w:sz="0" w:space="0" w:color="auto"/>
            <w:left w:val="none" w:sz="0" w:space="0" w:color="auto"/>
            <w:bottom w:val="none" w:sz="0" w:space="0" w:color="auto"/>
            <w:right w:val="none" w:sz="0" w:space="0" w:color="auto"/>
          </w:divBdr>
        </w:div>
      </w:divsChild>
    </w:div>
    <w:div w:id="1444157247">
      <w:bodyDiv w:val="1"/>
      <w:marLeft w:val="0"/>
      <w:marRight w:val="0"/>
      <w:marTop w:val="0"/>
      <w:marBottom w:val="0"/>
      <w:divBdr>
        <w:top w:val="none" w:sz="0" w:space="0" w:color="auto"/>
        <w:left w:val="none" w:sz="0" w:space="0" w:color="auto"/>
        <w:bottom w:val="none" w:sz="0" w:space="0" w:color="auto"/>
        <w:right w:val="none" w:sz="0" w:space="0" w:color="auto"/>
      </w:divBdr>
      <w:divsChild>
        <w:div w:id="256062514">
          <w:marLeft w:val="547"/>
          <w:marRight w:val="0"/>
          <w:marTop w:val="0"/>
          <w:marBottom w:val="0"/>
          <w:divBdr>
            <w:top w:val="none" w:sz="0" w:space="0" w:color="auto"/>
            <w:left w:val="none" w:sz="0" w:space="0" w:color="auto"/>
            <w:bottom w:val="none" w:sz="0" w:space="0" w:color="auto"/>
            <w:right w:val="none" w:sz="0" w:space="0" w:color="auto"/>
          </w:divBdr>
        </w:div>
        <w:div w:id="74865881">
          <w:marLeft w:val="547"/>
          <w:marRight w:val="0"/>
          <w:marTop w:val="0"/>
          <w:marBottom w:val="0"/>
          <w:divBdr>
            <w:top w:val="none" w:sz="0" w:space="0" w:color="auto"/>
            <w:left w:val="none" w:sz="0" w:space="0" w:color="auto"/>
            <w:bottom w:val="none" w:sz="0" w:space="0" w:color="auto"/>
            <w:right w:val="none" w:sz="0" w:space="0" w:color="auto"/>
          </w:divBdr>
        </w:div>
        <w:div w:id="152572787">
          <w:marLeft w:val="547"/>
          <w:marRight w:val="0"/>
          <w:marTop w:val="0"/>
          <w:marBottom w:val="0"/>
          <w:divBdr>
            <w:top w:val="none" w:sz="0" w:space="0" w:color="auto"/>
            <w:left w:val="none" w:sz="0" w:space="0" w:color="auto"/>
            <w:bottom w:val="none" w:sz="0" w:space="0" w:color="auto"/>
            <w:right w:val="none" w:sz="0" w:space="0" w:color="auto"/>
          </w:divBdr>
        </w:div>
        <w:div w:id="36319827">
          <w:marLeft w:val="547"/>
          <w:marRight w:val="0"/>
          <w:marTop w:val="0"/>
          <w:marBottom w:val="0"/>
          <w:divBdr>
            <w:top w:val="none" w:sz="0" w:space="0" w:color="auto"/>
            <w:left w:val="none" w:sz="0" w:space="0" w:color="auto"/>
            <w:bottom w:val="none" w:sz="0" w:space="0" w:color="auto"/>
            <w:right w:val="none" w:sz="0" w:space="0" w:color="auto"/>
          </w:divBdr>
        </w:div>
        <w:div w:id="443771253">
          <w:marLeft w:val="547"/>
          <w:marRight w:val="0"/>
          <w:marTop w:val="0"/>
          <w:marBottom w:val="0"/>
          <w:divBdr>
            <w:top w:val="none" w:sz="0" w:space="0" w:color="auto"/>
            <w:left w:val="none" w:sz="0" w:space="0" w:color="auto"/>
            <w:bottom w:val="none" w:sz="0" w:space="0" w:color="auto"/>
            <w:right w:val="none" w:sz="0" w:space="0" w:color="auto"/>
          </w:divBdr>
        </w:div>
      </w:divsChild>
    </w:div>
    <w:div w:id="1457873371">
      <w:bodyDiv w:val="1"/>
      <w:marLeft w:val="0"/>
      <w:marRight w:val="0"/>
      <w:marTop w:val="0"/>
      <w:marBottom w:val="0"/>
      <w:divBdr>
        <w:top w:val="none" w:sz="0" w:space="0" w:color="auto"/>
        <w:left w:val="none" w:sz="0" w:space="0" w:color="auto"/>
        <w:bottom w:val="none" w:sz="0" w:space="0" w:color="auto"/>
        <w:right w:val="none" w:sz="0" w:space="0" w:color="auto"/>
      </w:divBdr>
      <w:divsChild>
        <w:div w:id="1251431447">
          <w:marLeft w:val="0"/>
          <w:marRight w:val="0"/>
          <w:marTop w:val="0"/>
          <w:marBottom w:val="0"/>
          <w:divBdr>
            <w:top w:val="none" w:sz="0" w:space="0" w:color="auto"/>
            <w:left w:val="none" w:sz="0" w:space="0" w:color="auto"/>
            <w:bottom w:val="none" w:sz="0" w:space="0" w:color="auto"/>
            <w:right w:val="none" w:sz="0" w:space="0" w:color="auto"/>
          </w:divBdr>
        </w:div>
        <w:div w:id="406609965">
          <w:marLeft w:val="0"/>
          <w:marRight w:val="0"/>
          <w:marTop w:val="0"/>
          <w:marBottom w:val="0"/>
          <w:divBdr>
            <w:top w:val="none" w:sz="0" w:space="0" w:color="auto"/>
            <w:left w:val="none" w:sz="0" w:space="0" w:color="auto"/>
            <w:bottom w:val="none" w:sz="0" w:space="0" w:color="auto"/>
            <w:right w:val="none" w:sz="0" w:space="0" w:color="auto"/>
          </w:divBdr>
        </w:div>
        <w:div w:id="1209686333">
          <w:marLeft w:val="0"/>
          <w:marRight w:val="0"/>
          <w:marTop w:val="0"/>
          <w:marBottom w:val="0"/>
          <w:divBdr>
            <w:top w:val="none" w:sz="0" w:space="0" w:color="auto"/>
            <w:left w:val="none" w:sz="0" w:space="0" w:color="auto"/>
            <w:bottom w:val="none" w:sz="0" w:space="0" w:color="auto"/>
            <w:right w:val="none" w:sz="0" w:space="0" w:color="auto"/>
          </w:divBdr>
        </w:div>
      </w:divsChild>
    </w:div>
    <w:div w:id="1488745712">
      <w:bodyDiv w:val="1"/>
      <w:marLeft w:val="0"/>
      <w:marRight w:val="0"/>
      <w:marTop w:val="0"/>
      <w:marBottom w:val="0"/>
      <w:divBdr>
        <w:top w:val="none" w:sz="0" w:space="0" w:color="auto"/>
        <w:left w:val="none" w:sz="0" w:space="0" w:color="auto"/>
        <w:bottom w:val="none" w:sz="0" w:space="0" w:color="auto"/>
        <w:right w:val="none" w:sz="0" w:space="0" w:color="auto"/>
      </w:divBdr>
      <w:divsChild>
        <w:div w:id="821847887">
          <w:marLeft w:val="0"/>
          <w:marRight w:val="0"/>
          <w:marTop w:val="0"/>
          <w:marBottom w:val="0"/>
          <w:divBdr>
            <w:top w:val="none" w:sz="0" w:space="0" w:color="auto"/>
            <w:left w:val="none" w:sz="0" w:space="0" w:color="auto"/>
            <w:bottom w:val="none" w:sz="0" w:space="0" w:color="auto"/>
            <w:right w:val="none" w:sz="0" w:space="0" w:color="auto"/>
          </w:divBdr>
        </w:div>
      </w:divsChild>
    </w:div>
    <w:div w:id="1639918496">
      <w:bodyDiv w:val="1"/>
      <w:marLeft w:val="0"/>
      <w:marRight w:val="0"/>
      <w:marTop w:val="0"/>
      <w:marBottom w:val="0"/>
      <w:divBdr>
        <w:top w:val="none" w:sz="0" w:space="0" w:color="auto"/>
        <w:left w:val="none" w:sz="0" w:space="0" w:color="auto"/>
        <w:bottom w:val="none" w:sz="0" w:space="0" w:color="auto"/>
        <w:right w:val="none" w:sz="0" w:space="0" w:color="auto"/>
      </w:divBdr>
    </w:div>
    <w:div w:id="1676419675">
      <w:bodyDiv w:val="1"/>
      <w:marLeft w:val="0"/>
      <w:marRight w:val="0"/>
      <w:marTop w:val="0"/>
      <w:marBottom w:val="0"/>
      <w:divBdr>
        <w:top w:val="none" w:sz="0" w:space="0" w:color="auto"/>
        <w:left w:val="none" w:sz="0" w:space="0" w:color="auto"/>
        <w:bottom w:val="none" w:sz="0" w:space="0" w:color="auto"/>
        <w:right w:val="none" w:sz="0" w:space="0" w:color="auto"/>
      </w:divBdr>
      <w:divsChild>
        <w:div w:id="412241614">
          <w:marLeft w:val="547"/>
          <w:marRight w:val="0"/>
          <w:marTop w:val="0"/>
          <w:marBottom w:val="0"/>
          <w:divBdr>
            <w:top w:val="none" w:sz="0" w:space="0" w:color="auto"/>
            <w:left w:val="none" w:sz="0" w:space="0" w:color="auto"/>
            <w:bottom w:val="none" w:sz="0" w:space="0" w:color="auto"/>
            <w:right w:val="none" w:sz="0" w:space="0" w:color="auto"/>
          </w:divBdr>
        </w:div>
        <w:div w:id="1254703680">
          <w:marLeft w:val="547"/>
          <w:marRight w:val="0"/>
          <w:marTop w:val="0"/>
          <w:marBottom w:val="0"/>
          <w:divBdr>
            <w:top w:val="none" w:sz="0" w:space="0" w:color="auto"/>
            <w:left w:val="none" w:sz="0" w:space="0" w:color="auto"/>
            <w:bottom w:val="none" w:sz="0" w:space="0" w:color="auto"/>
            <w:right w:val="none" w:sz="0" w:space="0" w:color="auto"/>
          </w:divBdr>
        </w:div>
        <w:div w:id="726879040">
          <w:marLeft w:val="547"/>
          <w:marRight w:val="0"/>
          <w:marTop w:val="0"/>
          <w:marBottom w:val="0"/>
          <w:divBdr>
            <w:top w:val="none" w:sz="0" w:space="0" w:color="auto"/>
            <w:left w:val="none" w:sz="0" w:space="0" w:color="auto"/>
            <w:bottom w:val="none" w:sz="0" w:space="0" w:color="auto"/>
            <w:right w:val="none" w:sz="0" w:space="0" w:color="auto"/>
          </w:divBdr>
        </w:div>
        <w:div w:id="584724616">
          <w:marLeft w:val="547"/>
          <w:marRight w:val="0"/>
          <w:marTop w:val="0"/>
          <w:marBottom w:val="0"/>
          <w:divBdr>
            <w:top w:val="none" w:sz="0" w:space="0" w:color="auto"/>
            <w:left w:val="none" w:sz="0" w:space="0" w:color="auto"/>
            <w:bottom w:val="none" w:sz="0" w:space="0" w:color="auto"/>
            <w:right w:val="none" w:sz="0" w:space="0" w:color="auto"/>
          </w:divBdr>
        </w:div>
        <w:div w:id="1991129184">
          <w:marLeft w:val="547"/>
          <w:marRight w:val="0"/>
          <w:marTop w:val="0"/>
          <w:marBottom w:val="0"/>
          <w:divBdr>
            <w:top w:val="none" w:sz="0" w:space="0" w:color="auto"/>
            <w:left w:val="none" w:sz="0" w:space="0" w:color="auto"/>
            <w:bottom w:val="none" w:sz="0" w:space="0" w:color="auto"/>
            <w:right w:val="none" w:sz="0" w:space="0" w:color="auto"/>
          </w:divBdr>
        </w:div>
      </w:divsChild>
    </w:div>
    <w:div w:id="1730373071">
      <w:bodyDiv w:val="1"/>
      <w:marLeft w:val="0"/>
      <w:marRight w:val="0"/>
      <w:marTop w:val="0"/>
      <w:marBottom w:val="0"/>
      <w:divBdr>
        <w:top w:val="none" w:sz="0" w:space="0" w:color="auto"/>
        <w:left w:val="none" w:sz="0" w:space="0" w:color="auto"/>
        <w:bottom w:val="none" w:sz="0" w:space="0" w:color="auto"/>
        <w:right w:val="none" w:sz="0" w:space="0" w:color="auto"/>
      </w:divBdr>
      <w:divsChild>
        <w:div w:id="485632896">
          <w:marLeft w:val="0"/>
          <w:marRight w:val="0"/>
          <w:marTop w:val="0"/>
          <w:marBottom w:val="0"/>
          <w:divBdr>
            <w:top w:val="none" w:sz="0" w:space="0" w:color="auto"/>
            <w:left w:val="none" w:sz="0" w:space="0" w:color="auto"/>
            <w:bottom w:val="none" w:sz="0" w:space="0" w:color="auto"/>
            <w:right w:val="none" w:sz="0" w:space="0" w:color="auto"/>
          </w:divBdr>
        </w:div>
      </w:divsChild>
    </w:div>
    <w:div w:id="17331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5b8fbc58-6ffa-40f7-9ef1-d91232141c9e" xsi:nil="true"/>
    <TaxCatchAll xmlns="4039d988-5cac-43f5-bc00-ab052aa50804" xsi:nil="true"/>
    <lcf76f155ced4ddcb4097134ff3c332f xmlns="5b8fbc58-6ffa-40f7-9ef1-d91232141c9e">
      <Terms xmlns="http://schemas.microsoft.com/office/infopath/2007/PartnerControls"/>
    </lcf76f155ced4ddcb4097134ff3c332f>
    <File_x002f_FolderLink xmlns="5b8fbc58-6ffa-40f7-9ef1-d91232141c9e">
      <Url xsi:nil="true"/>
      <Description xsi:nil="true"/>
    </File_x002f_FolderLink>
    <Values_x0020__x0026__x0020_Behaviors_x0020_ xmlns="5b8fbc58-6ffa-40f7-9ef1-d91232141c9e" xsi:nil="true"/>
    <Key_x0020_Activities xmlns="5b8fbc58-6ffa-40f7-9ef1-d91232141c9e" xsi:nil="true"/>
    <Development_x0020_Need_x002f_TNA xmlns="5b8fbc58-6ffa-40f7-9ef1-d91232141c9e" xsi:nil="true"/>
    <Mandatory_x0020_Training xmlns="5b8fbc58-6ffa-40f7-9ef1-d91232141c9e" xsi:nil="true"/>
    <Manager_x0020_ xmlns="5b8fbc58-6ffa-40f7-9ef1-d91232141c9e">
      <UserInfo>
        <DisplayName/>
        <AccountId xsi:nil="true"/>
        <AccountType/>
      </UserInfo>
    </Manager_x0020_>
    <Objective_x0020_ xmlns="5b8fbc58-6ffa-40f7-9ef1-d91232141c9e" xsi:nil="true"/>
    <Key_x0020_Activities_x0020__x0020_ xmlns="5b8fbc58-6ffa-40f7-9ef1-d91232141c9e" xsi:nil="true"/>
    <Review_x0020_of_x0020_last_x0020_year xmlns="5b8fbc58-6ffa-40f7-9ef1-d91232141c9e" xsi:nil="true"/>
    <Feedback_x0020_for_x0020_Line_x0020_Manager xmlns="5b8fbc58-6ffa-40f7-9ef1-d91232141c9e" xsi:nil="true"/>
    <Workplace_x0020_Challenges xmlns="5b8fbc58-6ffa-40f7-9ef1-d91232141c9e" xsi:nil="true"/>
    <Development_x0020_Plan_x002d__x0020_Combined_x0020_Assessment xmlns="5b8fbc58-6ffa-40f7-9ef1-d91232141c9e" xsi:nil="true"/>
    <Part_x0020_3_x0020_Mid_x002d_Period_x0020_Review xmlns="5b8fbc58-6ffa-40f7-9ef1-d91232141c9e" xsi:nil="true"/>
    <Future_x0020_Aspirations_x002d__x0020_Self_x0020_Assessment_x0020__x0028_Continued_x0029_ xmlns="5b8fbc58-6ffa-40f7-9ef1-d91232141c9e" xsi:nil="true"/>
    <Notes0 xmlns="5b8fbc58-6ffa-40f7-9ef1-d91232141c9e" xsi:nil="true"/>
    <Mandatory_x0020_Training_x002d__x0020_Continued xmlns="5b8fbc58-6ffa-40f7-9ef1-d91232141c9e" xsi:nil="true"/>
    <Personal_x0020_Circumstances xmlns="5b8fbc58-6ffa-40f7-9ef1-d91232141c9e" xsi:nil="true"/>
    <Performance_x002d__x0020_Self_x0020_Assessment_x0020__x0028_Continued_x0029_ xmlns="5b8fbc58-6ffa-40f7-9ef1-d91232141c9e" xsi:nil="true"/>
    <Objective xmlns="5b8fbc58-6ffa-40f7-9ef1-d91232141c9e" xsi:nil="true"/>
    <Timescales xmlns="5b8fbc58-6ffa-40f7-9ef1-d91232141c9e" xsi:nil="true"/>
    <Personal_x0020_Development_x0020_Review xmlns="5b8fbc58-6ffa-40f7-9ef1-d91232141c9e" xsi:nil="true"/>
    <Performance_x002d__x0020_Self_x0020_Assessment_x0020__x0028_Continued_x002d__x0020_Part_x0020_2_x0029_ xmlns="5b8fbc58-6ffa-40f7-9ef1-d91232141c9e" xsi:nil="true"/>
    <Comments xmlns="5b8fbc58-6ffa-40f7-9ef1-d91232141c9e" xsi:nil="true"/>
    <Have_x0020_you_x0020_completed_x0020_your_x0020_mid_x002d_point_x0020_discussion_x0020__x0028_3_x002d_6_x0020_months_x0020_prior_x0020_to_x0020_annual_x0020_review_x0029__x003f_ xmlns="5b8fbc58-6ffa-40f7-9ef1-d91232141c9e" xsi:nil="true"/>
    <Wellbeing_x002d__x0020_Self_x0020_Assessment xmlns="5b8fbc58-6ffa-40f7-9ef1-d91232141c9e" xsi:nil="true"/>
    <What_x0020_do_x0020_you_x0020_feel_x0020_you_x0020_need_x0020_to_x0020_support_x0020_you_x0020_to_x0020_develop_x0020_further_x0020_in_x0020_your_x0020_current_x0020_role_x003f_ xmlns="5b8fbc58-6ffa-40f7-9ef1-d91232141c9e" xsi:nil="true"/>
    <The_x0020_Workplace xmlns="5b8fbc58-6ffa-40f7-9ef1-d91232141c9e" xsi:nil="true"/>
    <Job_x0020_Title xmlns="5b8fbc58-6ffa-40f7-9ef1-d91232141c9e" xsi:nil="true"/>
    <Career_x0020_Aspirations xmlns="5b8fbc58-6ffa-40f7-9ef1-d91232141c9e" xsi:nil="true"/>
    <Date_x0020_of_x0020_the_x0020_Meeting xmlns="5b8fbc58-6ffa-40f7-9ef1-d91232141c9e" xsi:nil="true"/>
    <Opportunities_x0020_ xmlns="5b8fbc58-6ffa-40f7-9ef1-d91232141c9e" xsi:nil="true"/>
    <Performance_x002d__x0020_Self_x0020_Assessment xmlns="5b8fbc58-6ffa-40f7-9ef1-d91232141c9e" xsi:nil="true"/>
    <Your_x0020_Strengths xmlns="5b8fbc58-6ffa-40f7-9ef1-d91232141c9e" xsi:nil="true"/>
    <Areas_x0020_for_x0020_Development_x0020_ xmlns="5b8fbc58-6ffa-40f7-9ef1-d91232141c9e" xsi:nil="true"/>
    <Expected_x0020_Outcome_x0020_ xmlns="5b8fbc58-6ffa-40f7-9ef1-d91232141c9e" xsi:nil="true"/>
    <Wellbeing_x0020_Assessment xmlns="5b8fbc58-6ffa-40f7-9ef1-d91232141c9e" xsi:nil="true"/>
    <Notes_x0020_ xmlns="5b8fbc58-6ffa-40f7-9ef1-d91232141c9e" xsi:nil="true"/>
    <Objectives xmlns="5b8fbc58-6ffa-40f7-9ef1-d91232141c9e" xsi:nil="true"/>
    <Skills xmlns="5b8fbc58-6ffa-40f7-9ef1-d91232141c9e" xsi:nil="true"/>
    <Part_x0020_2_x002d__x0020_Combined_x0020_Assessment_x0020_ xmlns="5b8fbc58-6ffa-40f7-9ef1-d91232141c9e" xsi:nil="true"/>
    <Performance_x0020_and_x0020_Potential_x002d__x0020_Combined_x0020_Assessment xmlns="5b8fbc58-6ffa-40f7-9ef1-d91232141c9e" xsi:nil="true"/>
    <Timescale xmlns="5b8fbc58-6ffa-40f7-9ef1-d91232141c9e" xsi:nil="true"/>
    <Pre_x0020_Meeting_x0020_Checklist xmlns="5b8fbc58-6ffa-40f7-9ef1-d91232141c9e" xsi:nil="true"/>
    <Mid_x0020_Period_x0020_Discussion_x002d__x0020_Combined_x0020_Assessment xmlns="5b8fbc58-6ffa-40f7-9ef1-d91232141c9e" xsi:nil="true"/>
    <Role_x0020_Profile xmlns="5b8fbc58-6ffa-40f7-9ef1-d91232141c9e" xsi:nil="true"/>
    <A_x0020_review_x0020_of_x0020_your_x0020_past_x0020_year_x0027_s_x0020_objectives_x002d__x0020_self_x0020_assessment_x0020_ xmlns="5b8fbc58-6ffa-40f7-9ef1-d91232141c9e" xsi:nil="true"/>
    <Future_x0020_Aspirations_x002d__x0020_Self_x0020_Assessment xmlns="5b8fbc58-6ffa-40f7-9ef1-d91232141c9e" xsi:nil="true"/>
    <Supporting_x0020_the_x0020_OPCC_x0020_ xmlns="5b8fbc58-6ffa-40f7-9ef1-d91232141c9e" xsi:nil="true"/>
    <Agreed_x0020_Aspiration_x002f_Potential xmlns="5b8fbc58-6ffa-40f7-9ef1-d91232141c9e" xsi:nil="true"/>
    <Employee_x0027_s_x0020_Name_x0020_ xmlns="5b8fbc58-6ffa-40f7-9ef1-d91232141c9e">
      <UserInfo>
        <DisplayName/>
        <AccountId xsi:nil="true"/>
        <AccountType/>
      </UserInfo>
    </Employee_x0027_s_x0020_Name_x0020_>
    <Outcomes_x0020_ xmlns="5b8fbc58-6ffa-40f7-9ef1-d91232141c9e" xsi:nil="true"/>
    <Future_x0020_Objectives_x002d__x0020_Combined_x0020_Assessment xmlns="5b8fbc58-6ffa-40f7-9ef1-d91232141c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A17E0B9C7EF348AFDDE981802833D2" ma:contentTypeVersion="69" ma:contentTypeDescription="Create a new document." ma:contentTypeScope="" ma:versionID="b6be6acd59d8b2e20f9b28507a194d49">
  <xsd:schema xmlns:xsd="http://www.w3.org/2001/XMLSchema" xmlns:xs="http://www.w3.org/2001/XMLSchema" xmlns:p="http://schemas.microsoft.com/office/2006/metadata/properties" xmlns:ns2="5b8fbc58-6ffa-40f7-9ef1-d91232141c9e" xmlns:ns3="4039d988-5cac-43f5-bc00-ab052aa50804" targetNamespace="http://schemas.microsoft.com/office/2006/metadata/properties" ma:root="true" ma:fieldsID="0013b6b01a283d71fe21ba23cc8fdb7c" ns2:_="" ns3:_="">
    <xsd:import namespace="5b8fbc58-6ffa-40f7-9ef1-d91232141c9e"/>
    <xsd:import namespace="4039d988-5cac-43f5-bc00-ab052aa50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Image" minOccurs="0"/>
                <xsd:element ref="ns2:MediaServiceBillingMetadata" minOccurs="0"/>
                <xsd:element ref="ns2:File_x002f_FolderLink" minOccurs="0"/>
                <xsd:element ref="ns2:Employee_x0027_s_x0020_Name_x0020_" minOccurs="0"/>
                <xsd:element ref="ns2:Job_x0020_Title" minOccurs="0"/>
                <xsd:element ref="ns2:Manager_x0020_" minOccurs="0"/>
                <xsd:element ref="ns2:Date_x0020_of_x0020_the_x0020_Meeting" minOccurs="0"/>
                <xsd:element ref="ns2:Pre_x0020_Meeting_x0020_Checklist" minOccurs="0"/>
                <xsd:element ref="ns2:Role_x0020_Profile" minOccurs="0"/>
                <xsd:element ref="ns2:Mandatory_x0020_Training" minOccurs="0"/>
                <xsd:element ref="ns2:Mandatory_x0020_Training_x002d__x0020_Continued" minOccurs="0"/>
                <xsd:element ref="ns2:Wellbeing_x0020_Assessment" minOccurs="0"/>
                <xsd:element ref="ns2:Review_x0020_of_x0020_last_x0020_year" minOccurs="0"/>
                <xsd:element ref="ns2:Have_x0020_you_x0020_completed_x0020_your_x0020_mid_x002d_point_x0020_discussion_x0020__x0028_3_x002d_6_x0020_months_x0020_prior_x0020_to_x0020_annual_x0020_review_x0029__x003f_" minOccurs="0"/>
                <xsd:element ref="ns2:Personal_x0020_Circumstances" minOccurs="0"/>
                <xsd:element ref="ns2:Personal_x0020_Development_x0020_Review" minOccurs="0"/>
                <xsd:element ref="ns2:Wellbeing_x002d__x0020_Self_x0020_Assessment" minOccurs="0"/>
                <xsd:element ref="ns2:Performance_x002d__x0020_Self_x0020_Assessment" minOccurs="0"/>
                <xsd:element ref="ns2:Performance_x002d__x0020_Self_x0020_Assessment_x0020__x0028_Continued_x0029_" minOccurs="0"/>
                <xsd:element ref="ns2:Performance_x002d__x0020_Self_x0020_Assessment_x0020__x0028_Continued_x002d__x0020_Part_x0020_2_x0029_" minOccurs="0"/>
                <xsd:element ref="ns2:A_x0020_review_x0020_of_x0020_your_x0020_past_x0020_year_x0027_s_x0020_objectives_x002d__x0020_self_x0020_assessment_x0020_" minOccurs="0"/>
                <xsd:element ref="ns2:Objectives" minOccurs="0"/>
                <xsd:element ref="ns2:Outcomes_x0020_" minOccurs="0"/>
                <xsd:element ref="ns2:Comments" minOccurs="0"/>
                <xsd:element ref="ns2:Future_x0020_Aspirations_x002d__x0020_Self_x0020_Assessment" minOccurs="0"/>
                <xsd:element ref="ns2:Future_x0020_Aspirations_x002d__x0020_Self_x0020_Assessment_x0020__x0028_Continued_x0029_" minOccurs="0"/>
                <xsd:element ref="ns2:What_x0020_do_x0020_you_x0020_feel_x0020_you_x0020_need_x0020_to_x0020_support_x0020_you_x0020_to_x0020_develop_x0020_further_x0020_in_x0020_your_x0020_current_x0020_role_x003f_" minOccurs="0"/>
                <xsd:element ref="ns2:Skills" minOccurs="0"/>
                <xsd:element ref="ns2:Opportunities_x0020_" minOccurs="0"/>
                <xsd:element ref="ns2:Part_x0020_2_x002d__x0020_Combined_x0020_Assessment_x0020_" minOccurs="0"/>
                <xsd:element ref="ns2:Supporting_x0020_the_x0020_OPCC_x0020_" minOccurs="0"/>
                <xsd:element ref="ns2:Values_x0020__x0026__x0020_Behaviors_x0020_" minOccurs="0"/>
                <xsd:element ref="ns2:Your_x0020_Strengths" minOccurs="0"/>
                <xsd:element ref="ns2:Areas_x0020_for_x0020_Development_x0020_" minOccurs="0"/>
                <xsd:element ref="ns2:Feedback_x0020_for_x0020_Line_x0020_Manager" minOccurs="0"/>
                <xsd:element ref="ns2:Career_x0020_Aspirations" minOccurs="0"/>
                <xsd:element ref="ns2:The_x0020_Workplace" minOccurs="0"/>
                <xsd:element ref="ns2:Workplace_x0020_Challenges" minOccurs="0"/>
                <xsd:element ref="ns2:Performance_x0020_and_x0020_Potential_x002d__x0020_Combined_x0020_Assessment" minOccurs="0"/>
                <xsd:element ref="ns2:Notes_x0020_" minOccurs="0"/>
                <xsd:element ref="ns2:Agreed_x0020_Aspiration_x002f_Potential" minOccurs="0"/>
                <xsd:element ref="ns2:Notes0" minOccurs="0"/>
                <xsd:element ref="ns2:Future_x0020_Objectives_x002d__x0020_Combined_x0020_Assessment" minOccurs="0"/>
                <xsd:element ref="ns2:Objective" minOccurs="0"/>
                <xsd:element ref="ns2:Expected_x0020_Outcome_x0020_" minOccurs="0"/>
                <xsd:element ref="ns2:Timescale" minOccurs="0"/>
                <xsd:element ref="ns2:Key_x0020_Activities" minOccurs="0"/>
                <xsd:element ref="ns2:Development_x0020_Plan_x002d__x0020_Combined_x0020_Assessment" minOccurs="0"/>
                <xsd:element ref="ns2:Objective_x0020_" minOccurs="0"/>
                <xsd:element ref="ns2:Development_x0020_Need_x002f_TNA" minOccurs="0"/>
                <xsd:element ref="ns2:Timescales" minOccurs="0"/>
                <xsd:element ref="ns2:Key_x0020_Activities_x0020__x0020_" minOccurs="0"/>
                <xsd:element ref="ns2:Part_x0020_3_x0020_Mid_x002d_Period_x0020_Review" minOccurs="0"/>
                <xsd:element ref="ns2:Mid_x0020_Period_x0020_Discussion_x002d__x0020_Combined_x0020_Assess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bc58-6ffa-40f7-9ef1-d9123214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baf0a1-c071-47d3-9ad9-65ac1334dd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ile_x002f_FolderLink" ma:index="25" nillable="true" ma:displayName="File/ Folder Link" ma:internalName="File_x002f_FolderLink">
      <xsd:complexType>
        <xsd:complexContent>
          <xsd:extension base="dms:URL">
            <xsd:sequence>
              <xsd:element name="Url" type="dms:ValidUrl" minOccurs="0" nillable="true"/>
              <xsd:element name="Description" type="xsd:string" nillable="true"/>
            </xsd:sequence>
          </xsd:extension>
        </xsd:complexContent>
      </xsd:complexType>
    </xsd:element>
    <xsd:element name="Employee_x0027_s_x0020_Name_x0020_" ma:index="26" nillable="true" ma:displayName="Employee's Name " ma:list="UserInfo" ma:SharePointGroup="0" ma:internalName="Employee_x0027_s_x0020_Name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Title" ma:index="27" nillable="true" ma:displayName="Job Title" ma:internalName="Job_x0020_Title">
      <xsd:simpleType>
        <xsd:restriction base="dms:Text">
          <xsd:maxLength value="255"/>
        </xsd:restriction>
      </xsd:simpleType>
    </xsd:element>
    <xsd:element name="Manager_x0020_" ma:index="28" nillable="true" ma:displayName="Manager " ma:list="UserInfo" ma:SharePointGroup="0" ma:internalName="Manager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of_x0020_the_x0020_Meeting" ma:index="29" nillable="true" ma:displayName="Date of the Meeting" ma:format="DateTime" ma:internalName="Date_x0020_of_x0020_the_x0020_Meeting">
      <xsd:simpleType>
        <xsd:restriction base="dms:DateTime"/>
      </xsd:simpleType>
    </xsd:element>
    <xsd:element name="Pre_x0020_Meeting_x0020_Checklist" ma:index="30" nillable="true" ma:displayName="Pre Meeting Checklist" ma:internalName="Pre_x0020_Meeting_x0020_Checklist">
      <xsd:simpleType>
        <xsd:restriction base="dms:Text">
          <xsd:maxLength value="255"/>
        </xsd:restriction>
      </xsd:simpleType>
    </xsd:element>
    <xsd:element name="Role_x0020_Profile" ma:index="31" nillable="true" ma:displayName="Role Profile" ma:internalName="Role_x0020_Profile">
      <xsd:simpleType>
        <xsd:restriction base="dms:Text">
          <xsd:maxLength value="255"/>
        </xsd:restriction>
      </xsd:simpleType>
    </xsd:element>
    <xsd:element name="Mandatory_x0020_Training" ma:index="32" nillable="true" ma:displayName="Mandatory Training" ma:internalName="Mandatory_x0020_Training">
      <xsd:simpleType>
        <xsd:restriction base="dms:Text">
          <xsd:maxLength value="255"/>
        </xsd:restriction>
      </xsd:simpleType>
    </xsd:element>
    <xsd:element name="Mandatory_x0020_Training_x002d__x0020_Continued" ma:index="33" nillable="true" ma:displayName="Mandatory Training- Continued" ma:internalName="Mandatory_x0020_Training_x002d__x0020_Continued">
      <xsd:simpleType>
        <xsd:restriction base="dms:Note">
          <xsd:maxLength value="255"/>
        </xsd:restriction>
      </xsd:simpleType>
    </xsd:element>
    <xsd:element name="Wellbeing_x0020_Assessment" ma:index="34" nillable="true" ma:displayName="Wellbeing Assessment" ma:internalName="Wellbeing_x0020_Assessment">
      <xsd:simpleType>
        <xsd:restriction base="dms:Text">
          <xsd:maxLength value="255"/>
        </xsd:restriction>
      </xsd:simpleType>
    </xsd:element>
    <xsd:element name="Review_x0020_of_x0020_last_x0020_year" ma:index="35" nillable="true" ma:displayName="Review of last year" ma:internalName="Review_x0020_of_x0020_last_x0020_year">
      <xsd:simpleType>
        <xsd:restriction base="dms:Text">
          <xsd:maxLength value="255"/>
        </xsd:restriction>
      </xsd:simpleType>
    </xsd:element>
    <xsd:element name="Have_x0020_you_x0020_completed_x0020_your_x0020_mid_x002d_point_x0020_discussion_x0020__x0028_3_x002d_6_x0020_months_x0020_prior_x0020_to_x0020_annual_x0020_review_x0029__x003f_" ma:index="36" nillable="true" ma:displayName="Have you completed your mid-point discussion (3-6 months prior to annual review)?" ma:internalName="Have_x0020_you_x0020_completed_x0020_your_x0020_mid_x002d_point_x0020_discussion_x0020__x0028_3_x002d_6_x0020_months_x0020_prior_x0020_to_x0020_annual_x0020_review_x0029__x003f_">
      <xsd:simpleType>
        <xsd:restriction base="dms:Text">
          <xsd:maxLength value="255"/>
        </xsd:restriction>
      </xsd:simpleType>
    </xsd:element>
    <xsd:element name="Personal_x0020_Circumstances" ma:index="37" nillable="true" ma:displayName="Personal Circumstances" ma:internalName="Personal_x0020_Circumstances">
      <xsd:simpleType>
        <xsd:restriction base="dms:Text">
          <xsd:maxLength value="255"/>
        </xsd:restriction>
      </xsd:simpleType>
    </xsd:element>
    <xsd:element name="Personal_x0020_Development_x0020_Review" ma:index="38" nillable="true" ma:displayName="Personal Development Review" ma:internalName="Personal_x0020_Development_x0020_Review">
      <xsd:simpleType>
        <xsd:restriction base="dms:Text">
          <xsd:maxLength value="255"/>
        </xsd:restriction>
      </xsd:simpleType>
    </xsd:element>
    <xsd:element name="Wellbeing_x002d__x0020_Self_x0020_Assessment" ma:index="39" nillable="true" ma:displayName="Wellbeing- Self Assessment" ma:internalName="Wellbeing_x002d__x0020_Self_x0020_Assessment">
      <xsd:simpleType>
        <xsd:restriction base="dms:Note">
          <xsd:maxLength value="255"/>
        </xsd:restriction>
      </xsd:simpleType>
    </xsd:element>
    <xsd:element name="Performance_x002d__x0020_Self_x0020_Assessment" ma:index="40" nillable="true" ma:displayName="Performance- Self Assessment" ma:internalName="Performance_x002d__x0020_Self_x0020_Assessment">
      <xsd:simpleType>
        <xsd:restriction base="dms:Note">
          <xsd:maxLength value="255"/>
        </xsd:restriction>
      </xsd:simpleType>
    </xsd:element>
    <xsd:element name="Performance_x002d__x0020_Self_x0020_Assessment_x0020__x0028_Continued_x0029_" ma:index="41" nillable="true" ma:displayName="Performance- Self Assessment (Continued)" ma:internalName="Performance_x002d__x0020_Self_x0020_Assessment_x0020__x0028_Continued_x0029_">
      <xsd:simpleType>
        <xsd:restriction base="dms:Note">
          <xsd:maxLength value="255"/>
        </xsd:restriction>
      </xsd:simpleType>
    </xsd:element>
    <xsd:element name="Performance_x002d__x0020_Self_x0020_Assessment_x0020__x0028_Continued_x002d__x0020_Part_x0020_2_x0029_" ma:index="42" nillable="true" ma:displayName="Performance- Self Assessment (Continued- Part 2)" ma:internalName="Performance_x002d__x0020_Self_x0020_Assessment_x0020__x0028_Continued_x002d__x0020_Part_x0020_2_x0029_">
      <xsd:simpleType>
        <xsd:restriction base="dms:Note">
          <xsd:maxLength value="255"/>
        </xsd:restriction>
      </xsd:simpleType>
    </xsd:element>
    <xsd:element name="A_x0020_review_x0020_of_x0020_your_x0020_past_x0020_year_x0027_s_x0020_objectives_x002d__x0020_self_x0020_assessment_x0020_" ma:index="43" nillable="true" ma:displayName="A review of your past year's objectives- self assessment " ma:internalName="A_x0020_review_x0020_of_x0020_your_x0020_past_x0020_year_x0027_s_x0020_objectives_x002d__x0020_self_x0020_assessment_x0020_">
      <xsd:simpleType>
        <xsd:restriction base="dms:Text">
          <xsd:maxLength value="255"/>
        </xsd:restriction>
      </xsd:simpleType>
    </xsd:element>
    <xsd:element name="Objectives" ma:index="44" nillable="true" ma:displayName="Objectives" ma:internalName="Objectives">
      <xsd:simpleType>
        <xsd:restriction base="dms:Note">
          <xsd:maxLength value="255"/>
        </xsd:restriction>
      </xsd:simpleType>
    </xsd:element>
    <xsd:element name="Outcomes_x0020_" ma:index="45" nillable="true" ma:displayName="Outcomes " ma:internalName="Outcomes_x0020_">
      <xsd:simpleType>
        <xsd:restriction base="dms:Note">
          <xsd:maxLength value="255"/>
        </xsd:restriction>
      </xsd:simpleType>
    </xsd:element>
    <xsd:element name="Comments" ma:index="46" nillable="true" ma:displayName="Comments" ma:internalName="Comments">
      <xsd:simpleType>
        <xsd:restriction base="dms:Note">
          <xsd:maxLength value="255"/>
        </xsd:restriction>
      </xsd:simpleType>
    </xsd:element>
    <xsd:element name="Future_x0020_Aspirations_x002d__x0020_Self_x0020_Assessment" ma:index="47" nillable="true" ma:displayName="Future Aspirations- Self Assessment" ma:internalName="Future_x0020_Aspirations_x002d__x0020_Self_x0020_Assessment">
      <xsd:simpleType>
        <xsd:restriction base="dms:Note">
          <xsd:maxLength value="255"/>
        </xsd:restriction>
      </xsd:simpleType>
    </xsd:element>
    <xsd:element name="Future_x0020_Aspirations_x002d__x0020_Self_x0020_Assessment_x0020__x0028_Continued_x0029_" ma:index="48" nillable="true" ma:displayName="Future Aspirations- Self Assessment (Continued)" ma:format="Dropdown" ma:internalName="Future_x0020_Aspirations_x002d__x0020_Self_x0020_Assessment_x0020__x0028_Continued_x0029_">
      <xsd:simpleType>
        <xsd:restriction base="dms:Choice">
          <xsd:enumeration value="Stay in role- I am happy with my current role"/>
          <xsd:enumeration value="Seeking enhancement in skills and experience- I would benefit from gaining wider experience and more skills to help me progress my career further"/>
          <xsd:enumeration value="Something else- I have other plans for the medium to long term (12-24 months +)"/>
        </xsd:restriction>
      </xsd:simpleType>
    </xsd:element>
    <xsd:element name="What_x0020_do_x0020_you_x0020_feel_x0020_you_x0020_need_x0020_to_x0020_support_x0020_you_x0020_to_x0020_develop_x0020_further_x0020_in_x0020_your_x0020_current_x0020_role_x003f_" ma:index="49" nillable="true" ma:displayName="What do you feel you need to support you to develop further in your current role?" ma:internalName="What_x0020_do_x0020_you_x0020_feel_x0020_you_x0020_need_x0020_to_x0020_support_x0020_you_x0020_to_x0020_develop_x0020_further_x0020_in_x0020_your_x0020_current_x0020_role_x003f_">
      <xsd:simpleType>
        <xsd:restriction base="dms:Note">
          <xsd:maxLength value="255"/>
        </xsd:restriction>
      </xsd:simpleType>
    </xsd:element>
    <xsd:element name="Skills" ma:index="50" nillable="true" ma:displayName="Skills" ma:internalName="Skills">
      <xsd:simpleType>
        <xsd:restriction base="dms:Note">
          <xsd:maxLength value="255"/>
        </xsd:restriction>
      </xsd:simpleType>
    </xsd:element>
    <xsd:element name="Opportunities_x0020_" ma:index="51" nillable="true" ma:displayName="Opportunities " ma:internalName="Opportunities_x0020_">
      <xsd:simpleType>
        <xsd:restriction base="dms:Note">
          <xsd:maxLength value="255"/>
        </xsd:restriction>
      </xsd:simpleType>
    </xsd:element>
    <xsd:element name="Part_x0020_2_x002d__x0020_Combined_x0020_Assessment_x0020_" ma:index="52" nillable="true" ma:displayName="Part 2- Combined Assessment " ma:internalName="Part_x0020_2_x002d__x0020_Combined_x0020_Assessment_x0020_">
      <xsd:simpleType>
        <xsd:restriction base="dms:Text">
          <xsd:maxLength value="255"/>
        </xsd:restriction>
      </xsd:simpleType>
    </xsd:element>
    <xsd:element name="Supporting_x0020_the_x0020_OPCC_x0020_" ma:index="53" nillable="true" ma:displayName="Supporting the OPCC " ma:internalName="Supporting_x0020_the_x0020_OPCC_x0020_">
      <xsd:simpleType>
        <xsd:restriction base="dms:Note">
          <xsd:maxLength value="255"/>
        </xsd:restriction>
      </xsd:simpleType>
    </xsd:element>
    <xsd:element name="Values_x0020__x0026__x0020_Behaviors_x0020_" ma:index="54" nillable="true" ma:displayName="Values &amp; Behaviors " ma:internalName="Values_x0020__x0026__x0020_Behaviors_x0020_">
      <xsd:simpleType>
        <xsd:restriction base="dms:Note">
          <xsd:maxLength value="255"/>
        </xsd:restriction>
      </xsd:simpleType>
    </xsd:element>
    <xsd:element name="Your_x0020_Strengths" ma:index="55" nillable="true" ma:displayName="Your Strengths" ma:internalName="Your_x0020_Strengths">
      <xsd:simpleType>
        <xsd:restriction base="dms:Note">
          <xsd:maxLength value="255"/>
        </xsd:restriction>
      </xsd:simpleType>
    </xsd:element>
    <xsd:element name="Areas_x0020_for_x0020_Development_x0020_" ma:index="56" nillable="true" ma:displayName="Areas for Development " ma:internalName="Areas_x0020_for_x0020_Development_x0020_">
      <xsd:simpleType>
        <xsd:restriction base="dms:Note">
          <xsd:maxLength value="255"/>
        </xsd:restriction>
      </xsd:simpleType>
    </xsd:element>
    <xsd:element name="Feedback_x0020_for_x0020_Line_x0020_Manager" ma:index="57" nillable="true" ma:displayName="Feedback for Line Manager" ma:internalName="Feedback_x0020_for_x0020_Line_x0020_Manager">
      <xsd:simpleType>
        <xsd:restriction base="dms:Note">
          <xsd:maxLength value="255"/>
        </xsd:restriction>
      </xsd:simpleType>
    </xsd:element>
    <xsd:element name="Career_x0020_Aspirations" ma:index="58" nillable="true" ma:displayName="Career Aspirations" ma:internalName="Career_x0020_Aspirations">
      <xsd:simpleType>
        <xsd:restriction base="dms:Note">
          <xsd:maxLength value="255"/>
        </xsd:restriction>
      </xsd:simpleType>
    </xsd:element>
    <xsd:element name="The_x0020_Workplace" ma:index="59" nillable="true" ma:displayName="The Workplace" ma:internalName="The_x0020_Workplace">
      <xsd:simpleType>
        <xsd:restriction base="dms:Note">
          <xsd:maxLength value="255"/>
        </xsd:restriction>
      </xsd:simpleType>
    </xsd:element>
    <xsd:element name="Workplace_x0020_Challenges" ma:index="60" nillable="true" ma:displayName="Workplace Challenges" ma:internalName="Workplace_x0020_Challenges">
      <xsd:simpleType>
        <xsd:restriction base="dms:Note">
          <xsd:maxLength value="255"/>
        </xsd:restriction>
      </xsd:simpleType>
    </xsd:element>
    <xsd:element name="Performance_x0020_and_x0020_Potential_x002d__x0020_Combined_x0020_Assessment" ma:index="61" nillable="true" ma:displayName="Performance and Potential- Combined Assessment" ma:format="Dropdown" ma:internalName="Performance_x0020_and_x0020_Potential_x002d__x0020_Combined_x0020_Assessment">
      <xsd:simpleType>
        <xsd:restriction base="dms:Choice">
          <xsd:enumeration value="Exceeding"/>
          <xsd:enumeration value="Achieving"/>
          <xsd:enumeration value="Not (Fully) Achieving"/>
        </xsd:restriction>
      </xsd:simpleType>
    </xsd:element>
    <xsd:element name="Notes_x0020_" ma:index="62" nillable="true" ma:displayName="Notes " ma:internalName="Notes_x0020_">
      <xsd:simpleType>
        <xsd:restriction base="dms:Note">
          <xsd:maxLength value="255"/>
        </xsd:restriction>
      </xsd:simpleType>
    </xsd:element>
    <xsd:element name="Agreed_x0020_Aspiration_x002f_Potential" ma:index="63" nillable="true" ma:displayName="Agreed Aspiration/Potential" ma:format="Dropdown" ma:internalName="Agreed_x0020_Aspiration_x002f_Potential">
      <xsd:simpleType>
        <xsd:restriction base="dms:Choice">
          <xsd:enumeration value="Develop further in role within next 6-12 months"/>
          <xsd:enumeration value="Develop further in role within next 2-3 years"/>
          <xsd:enumeration value="Aspires progression within role within 6-12 months"/>
          <xsd:enumeration value="Aspires progression within role within 2-3 years"/>
          <xsd:enumeration value="Aspires progression into another role within 6-12 months"/>
          <xsd:enumeration value="Aspires progression into another role within 2-3 years"/>
          <xsd:enumeration value="Aspires progression into management within 6-12 months"/>
          <xsd:enumeration value="Aspires progression into management within 2-3 years"/>
          <xsd:enumeration value="Career Step Down"/>
          <xsd:enumeration value="Other"/>
        </xsd:restriction>
      </xsd:simpleType>
    </xsd:element>
    <xsd:element name="Notes0" ma:index="64" nillable="true" ma:displayName="Notes" ma:internalName="Notes0">
      <xsd:simpleType>
        <xsd:restriction base="dms:Note">
          <xsd:maxLength value="255"/>
        </xsd:restriction>
      </xsd:simpleType>
    </xsd:element>
    <xsd:element name="Future_x0020_Objectives_x002d__x0020_Combined_x0020_Assessment" ma:index="65" nillable="true" ma:displayName="Future Objectives- Combined Assessment" ma:internalName="Future_x0020_Objectives_x002d__x0020_Combined_x0020_Assessment">
      <xsd:simpleType>
        <xsd:restriction base="dms:Text">
          <xsd:maxLength value="255"/>
        </xsd:restriction>
      </xsd:simpleType>
    </xsd:element>
    <xsd:element name="Objective" ma:index="66" nillable="true" ma:displayName="Objective" ma:internalName="Objective">
      <xsd:simpleType>
        <xsd:restriction base="dms:Note">
          <xsd:maxLength value="255"/>
        </xsd:restriction>
      </xsd:simpleType>
    </xsd:element>
    <xsd:element name="Expected_x0020_Outcome_x0020_" ma:index="67" nillable="true" ma:displayName="Expected Outcome " ma:internalName="Expected_x0020_Outcome_x0020_">
      <xsd:simpleType>
        <xsd:restriction base="dms:Note">
          <xsd:maxLength value="255"/>
        </xsd:restriction>
      </xsd:simpleType>
    </xsd:element>
    <xsd:element name="Timescale" ma:index="68" nillable="true" ma:displayName="Timescale" ma:internalName="Timescale">
      <xsd:simpleType>
        <xsd:restriction base="dms:Text">
          <xsd:maxLength value="255"/>
        </xsd:restriction>
      </xsd:simpleType>
    </xsd:element>
    <xsd:element name="Key_x0020_Activities" ma:index="69" nillable="true" ma:displayName="Key Activities" ma:internalName="Key_x0020_Activities">
      <xsd:simpleType>
        <xsd:restriction base="dms:Note">
          <xsd:maxLength value="255"/>
        </xsd:restriction>
      </xsd:simpleType>
    </xsd:element>
    <xsd:element name="Development_x0020_Plan_x002d__x0020_Combined_x0020_Assessment" ma:index="70" nillable="true" ma:displayName="Development Plan- Combined Assessment" ma:internalName="Development_x0020_Plan_x002d__x0020_Combined_x0020_Assessment">
      <xsd:simpleType>
        <xsd:restriction base="dms:Text">
          <xsd:maxLength value="255"/>
        </xsd:restriction>
      </xsd:simpleType>
    </xsd:element>
    <xsd:element name="Objective_x0020_" ma:index="71" nillable="true" ma:displayName="Objective " ma:internalName="Objective_x0020_">
      <xsd:simpleType>
        <xsd:restriction base="dms:Note">
          <xsd:maxLength value="255"/>
        </xsd:restriction>
      </xsd:simpleType>
    </xsd:element>
    <xsd:element name="Development_x0020_Need_x002f_TNA" ma:index="72" nillable="true" ma:displayName="Development Need/TNA" ma:internalName="Development_x0020_Need_x002f_TNA">
      <xsd:simpleType>
        <xsd:restriction base="dms:Note">
          <xsd:maxLength value="255"/>
        </xsd:restriction>
      </xsd:simpleType>
    </xsd:element>
    <xsd:element name="Timescales" ma:index="73" nillable="true" ma:displayName="Timescales" ma:internalName="Timescales">
      <xsd:simpleType>
        <xsd:restriction base="dms:Text">
          <xsd:maxLength value="255"/>
        </xsd:restriction>
      </xsd:simpleType>
    </xsd:element>
    <xsd:element name="Key_x0020_Activities_x0020__x0020_" ma:index="74" nillable="true" ma:displayName="Key Activities  " ma:internalName="Key_x0020_Activities_x0020__x0020_">
      <xsd:simpleType>
        <xsd:restriction base="dms:Note">
          <xsd:maxLength value="255"/>
        </xsd:restriction>
      </xsd:simpleType>
    </xsd:element>
    <xsd:element name="Part_x0020_3_x0020_Mid_x002d_Period_x0020_Review" ma:index="75" nillable="true" ma:displayName="Part 3 Mid-Period Review" ma:internalName="Part_x0020_3_x0020_Mid_x002d_Period_x0020_Review">
      <xsd:simpleType>
        <xsd:restriction base="dms:Text">
          <xsd:maxLength value="255"/>
        </xsd:restriction>
      </xsd:simpleType>
    </xsd:element>
    <xsd:element name="Mid_x0020_Period_x0020_Discussion_x002d__x0020_Combined_x0020_Assessment" ma:index="76" nillable="true" ma:displayName="Mid Period Discussion- Combined Assessment" ma:internalName="Mid_x0020_Period_x0020_Discussion_x002d__x0020_Combined_x0020_Assess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9d988-5cac-43f5-bc00-ab052aa50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42d771-622d-4807-8959-ce3610e2cb81}" ma:internalName="TaxCatchAll" ma:showField="CatchAllData" ma:web="4039d988-5cac-43f5-bc00-ab052aa50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73C65-8246-4B7C-90F3-52A1739F57D4}">
  <ds:schemaRefs>
    <ds:schemaRef ds:uri="http://schemas.microsoft.com/office/2006/metadata/properties"/>
    <ds:schemaRef ds:uri="http://schemas.microsoft.com/office/infopath/2007/PartnerControls"/>
    <ds:schemaRef ds:uri="5b8fbc58-6ffa-40f7-9ef1-d91232141c9e"/>
    <ds:schemaRef ds:uri="4039d988-5cac-43f5-bc00-ab052aa50804"/>
  </ds:schemaRefs>
</ds:datastoreItem>
</file>

<file path=customXml/itemProps2.xml><?xml version="1.0" encoding="utf-8"?>
<ds:datastoreItem xmlns:ds="http://schemas.openxmlformats.org/officeDocument/2006/customXml" ds:itemID="{994878B5-49AC-40A1-B18A-27E8FBCA7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bc58-6ffa-40f7-9ef1-d91232141c9e"/>
    <ds:schemaRef ds:uri="4039d988-5cac-43f5-bc00-ab052aa50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01DD4-9128-4375-8D8E-4A1561354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Georgina (C9756)</dc:creator>
  <cp:keywords/>
  <dc:description/>
  <cp:lastModifiedBy>MOORE, Georgina (C9756)</cp:lastModifiedBy>
  <cp:revision>11</cp:revision>
  <cp:lastPrinted>2026-01-07T16:02:00Z</cp:lastPrinted>
  <dcterms:created xsi:type="dcterms:W3CDTF">2026-03-26T13:53:00Z</dcterms:created>
  <dcterms:modified xsi:type="dcterms:W3CDTF">2026-04-30T16:29:00Z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b7639-1bea-4e62-9a4e-16db8092c254_Enabled">
    <vt:lpwstr>true</vt:lpwstr>
  </property>
  <property fmtid="{D5CDD505-2E9C-101B-9397-08002B2CF9AE}" pid="3" name="MSIP_Label_431b7639-1bea-4e62-9a4e-16db8092c254_SetDate">
    <vt:lpwstr>2025-08-05T13:40:46Z</vt:lpwstr>
  </property>
  <property fmtid="{D5CDD505-2E9C-101B-9397-08002B2CF9AE}" pid="4" name="MSIP_Label_431b7639-1bea-4e62-9a4e-16db8092c254_Method">
    <vt:lpwstr>Standard</vt:lpwstr>
  </property>
  <property fmtid="{D5CDD505-2E9C-101B-9397-08002B2CF9AE}" pid="5" name="MSIP_Label_431b7639-1bea-4e62-9a4e-16db8092c254_Name">
    <vt:lpwstr>OFFICIAL</vt:lpwstr>
  </property>
  <property fmtid="{D5CDD505-2E9C-101B-9397-08002B2CF9AE}" pid="6" name="MSIP_Label_431b7639-1bea-4e62-9a4e-16db8092c254_SiteId">
    <vt:lpwstr>d9f19db2-65c6-4c0b-aecf-45abeba37c6f</vt:lpwstr>
  </property>
  <property fmtid="{D5CDD505-2E9C-101B-9397-08002B2CF9AE}" pid="7" name="MSIP_Label_431b7639-1bea-4e62-9a4e-16db8092c254_ActionId">
    <vt:lpwstr>9224c852-d2f3-4ae4-a370-190db4d46109</vt:lpwstr>
  </property>
  <property fmtid="{D5CDD505-2E9C-101B-9397-08002B2CF9AE}" pid="8" name="MSIP_Label_431b7639-1bea-4e62-9a4e-16db8092c254_ContentBits">
    <vt:lpwstr>0</vt:lpwstr>
  </property>
  <property fmtid="{D5CDD505-2E9C-101B-9397-08002B2CF9AE}" pid="9" name="MSIP_Label_431b7639-1bea-4e62-9a4e-16db8092c254_Tag">
    <vt:lpwstr>10, 3, 0, 1</vt:lpwstr>
  </property>
  <property fmtid="{D5CDD505-2E9C-101B-9397-08002B2CF9AE}" pid="10" name="ContentTypeId">
    <vt:lpwstr>0x01010074A17E0B9C7EF348AFDDE981802833D2</vt:lpwstr>
  </property>
  <property fmtid="{D5CDD505-2E9C-101B-9397-08002B2CF9AE}" pid="11" name="MediaServiceImageTags">
    <vt:lpwstr/>
  </property>
</Properties>
</file>